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B667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方正小标宋简体" w:hAnsi="方正小标宋简体" w:eastAsia="方正小标宋简体" w:cs="方正小标宋简体"/>
          <w:b w:val="0"/>
          <w:bCs/>
          <w:color w:val="auto"/>
          <w:spacing w:val="-11"/>
          <w:sz w:val="44"/>
          <w:szCs w:val="44"/>
          <w:lang w:val="en-US" w:eastAsia="zh-CN"/>
        </w:rPr>
      </w:pPr>
      <w:bookmarkStart w:id="0" w:name="_GoBack"/>
      <w:bookmarkEnd w:id="0"/>
      <w:r>
        <w:rPr>
          <w:rFonts w:hint="eastAsia" w:ascii="方正小标宋简体" w:hAnsi="方正小标宋简体" w:eastAsia="方正小标宋简体" w:cs="方正小标宋简体"/>
          <w:b w:val="0"/>
          <w:bCs/>
          <w:color w:val="auto"/>
          <w:spacing w:val="-11"/>
          <w:sz w:val="44"/>
          <w:szCs w:val="44"/>
          <w:lang w:val="en-US" w:eastAsia="zh-CN"/>
        </w:rPr>
        <w:t>龙泉关镇人民政府</w:t>
      </w:r>
    </w:p>
    <w:p w14:paraId="70EC902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color w:val="000000"/>
          <w:spacing w:val="-11"/>
          <w:sz w:val="44"/>
          <w:szCs w:val="44"/>
        </w:rPr>
      </w:pPr>
      <w:r>
        <w:rPr>
          <w:rFonts w:hint="eastAsia" w:ascii="方正小标宋简体" w:hAnsi="方正小标宋简体" w:eastAsia="方正小标宋简体" w:cs="方正小标宋简体"/>
          <w:b w:val="0"/>
          <w:bCs/>
          <w:color w:val="000000"/>
          <w:spacing w:val="-11"/>
          <w:sz w:val="44"/>
          <w:szCs w:val="44"/>
        </w:rPr>
        <w:t>202</w:t>
      </w:r>
      <w:r>
        <w:rPr>
          <w:rFonts w:hint="eastAsia" w:ascii="方正小标宋简体" w:hAnsi="方正小标宋简体" w:eastAsia="方正小标宋简体" w:cs="方正小标宋简体"/>
          <w:b w:val="0"/>
          <w:bCs/>
          <w:color w:val="000000"/>
          <w:spacing w:val="-11"/>
          <w:sz w:val="44"/>
          <w:szCs w:val="44"/>
          <w:lang w:val="en-US" w:eastAsia="zh-CN"/>
        </w:rPr>
        <w:t>5</w:t>
      </w:r>
      <w:r>
        <w:rPr>
          <w:rFonts w:hint="eastAsia" w:ascii="方正小标宋简体" w:hAnsi="方正小标宋简体" w:eastAsia="方正小标宋简体" w:cs="方正小标宋简体"/>
          <w:b w:val="0"/>
          <w:bCs/>
          <w:color w:val="000000"/>
          <w:spacing w:val="-11"/>
          <w:sz w:val="44"/>
          <w:szCs w:val="44"/>
        </w:rPr>
        <w:t>年政府信息公开工作年度报告</w:t>
      </w:r>
    </w:p>
    <w:p w14:paraId="541F0AB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cs="方正小标宋简体" w:asciiTheme="majorEastAsia" w:hAnsiTheme="majorEastAsia" w:eastAsiaTheme="majorEastAsia"/>
          <w:b/>
          <w:color w:val="000000"/>
          <w:spacing w:val="-11"/>
          <w:sz w:val="36"/>
          <w:szCs w:val="36"/>
        </w:rPr>
      </w:pPr>
    </w:p>
    <w:p w14:paraId="3A9791AF">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hAnsi="仿宋_GB2312" w:cs="仿宋_GB2312"/>
          <w:b w:val="0"/>
          <w:bCs/>
          <w:color w:val="000000"/>
          <w:spacing w:val="-11"/>
          <w:sz w:val="32"/>
          <w:szCs w:val="32"/>
          <w:lang w:eastAsia="zh-CN"/>
        </w:rPr>
      </w:pPr>
      <w:r>
        <w:rPr>
          <w:rFonts w:hint="eastAsia" w:ascii="仿宋_GB2312" w:hAnsi="仿宋_GB2312" w:eastAsia="仿宋_GB2312" w:cs="仿宋_GB2312"/>
          <w:b w:val="0"/>
          <w:bCs/>
          <w:color w:val="000000"/>
          <w:spacing w:val="-11"/>
          <w:sz w:val="32"/>
          <w:szCs w:val="32"/>
          <w:lang w:eastAsia="zh-CN"/>
        </w:rPr>
        <w:t>根</w:t>
      </w:r>
      <w:r>
        <w:rPr>
          <w:rFonts w:hint="eastAsia" w:ascii="仿宋_GB2312" w:hAnsi="仿宋_GB2312" w:eastAsia="仿宋_GB2312" w:cs="仿宋_GB2312"/>
          <w:b w:val="0"/>
          <w:bCs/>
          <w:color w:val="000000"/>
          <w:spacing w:val="-11"/>
          <w:sz w:val="32"/>
          <w:szCs w:val="32"/>
        </w:rPr>
        <w:t>据《中华人民共和国政府信息公开条例》《</w:t>
      </w:r>
      <w:r>
        <w:rPr>
          <w:rFonts w:hint="eastAsia" w:ascii="仿宋_GB2312" w:hAnsi="仿宋_GB2312" w:eastAsia="仿宋_GB2312" w:cs="仿宋_GB2312"/>
          <w:b w:val="0"/>
          <w:bCs/>
          <w:color w:val="000000"/>
          <w:spacing w:val="-11"/>
          <w:sz w:val="32"/>
          <w:szCs w:val="32"/>
          <w:lang w:eastAsia="zh-CN"/>
        </w:rPr>
        <w:t>河北省实施</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&lt;</w:t>
      </w:r>
      <w:r>
        <w:rPr>
          <w:rFonts w:hint="eastAsia" w:ascii="仿宋_GB2312" w:hAnsi="仿宋_GB2312" w:eastAsia="仿宋_GB2312" w:cs="仿宋_GB2312"/>
          <w:b w:val="0"/>
          <w:bCs/>
          <w:color w:val="000000"/>
          <w:spacing w:val="-11"/>
          <w:sz w:val="32"/>
          <w:szCs w:val="32"/>
        </w:rPr>
        <w:t>中华人民共和国政府信息公开</w:t>
      </w:r>
      <w:r>
        <w:rPr>
          <w:rFonts w:hint="eastAsia" w:ascii="仿宋_GB2312" w:hAnsi="仿宋_GB2312" w:eastAsia="仿宋_GB2312" w:cs="仿宋_GB2312"/>
          <w:b w:val="0"/>
          <w:bCs/>
          <w:color w:val="000000"/>
          <w:spacing w:val="-11"/>
          <w:sz w:val="32"/>
          <w:szCs w:val="32"/>
          <w:lang w:eastAsia="zh-CN"/>
        </w:rPr>
        <w:t>条例</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&gt;</w:t>
      </w:r>
      <w:r>
        <w:rPr>
          <w:rFonts w:hint="eastAsia" w:ascii="仿宋_GB2312" w:hAnsi="仿宋_GB2312" w:eastAsia="仿宋_GB2312" w:cs="仿宋_GB2312"/>
          <w:b w:val="0"/>
          <w:bCs/>
          <w:color w:val="000000"/>
          <w:spacing w:val="-11"/>
          <w:sz w:val="32"/>
          <w:szCs w:val="32"/>
          <w:lang w:val="en-US" w:eastAsia="zh-CN"/>
        </w:rPr>
        <w:t xml:space="preserve"> </w:t>
      </w:r>
      <w:r>
        <w:rPr>
          <w:rFonts w:hint="eastAsia" w:ascii="仿宋_GB2312" w:hAnsi="仿宋_GB2312" w:eastAsia="仿宋_GB2312" w:cs="仿宋_GB2312"/>
          <w:b w:val="0"/>
          <w:bCs/>
          <w:color w:val="000000"/>
          <w:spacing w:val="-11"/>
          <w:sz w:val="32"/>
          <w:szCs w:val="32"/>
          <w:lang w:eastAsia="zh-CN"/>
        </w:rPr>
        <w:t>办法</w:t>
      </w:r>
      <w:r>
        <w:rPr>
          <w:rFonts w:hint="eastAsia" w:ascii="仿宋_GB2312" w:hAnsi="仿宋_GB2312" w:eastAsia="仿宋_GB2312" w:cs="仿宋_GB2312"/>
          <w:b w:val="0"/>
          <w:bCs/>
          <w:color w:val="000000"/>
          <w:spacing w:val="-11"/>
          <w:sz w:val="32"/>
          <w:szCs w:val="32"/>
        </w:rPr>
        <w:t>》</w:t>
      </w:r>
      <w:r>
        <w:rPr>
          <w:rFonts w:hint="eastAsia" w:ascii="仿宋_GB2312" w:hAnsi="仿宋_GB2312" w:eastAsia="仿宋_GB2312" w:cs="仿宋_GB2312"/>
          <w:b w:val="0"/>
          <w:bCs/>
          <w:color w:val="000000"/>
          <w:spacing w:val="-11"/>
          <w:sz w:val="32"/>
          <w:szCs w:val="32"/>
          <w:lang w:eastAsia="zh-CN"/>
        </w:rPr>
        <w:t>等规定，发布本年度报告</w:t>
      </w:r>
      <w:r>
        <w:rPr>
          <w:rFonts w:hint="eastAsia" w:ascii="仿宋_GB2312" w:hAnsi="仿宋_GB2312" w:eastAsia="仿宋_GB2312" w:cs="仿宋_GB2312"/>
          <w:b w:val="0"/>
          <w:bCs/>
          <w:color w:val="000000"/>
          <w:spacing w:val="-11"/>
          <w:sz w:val="32"/>
          <w:szCs w:val="32"/>
        </w:rPr>
        <w:t>。报告中所列数据统计期限</w:t>
      </w:r>
      <w:r>
        <w:rPr>
          <w:rFonts w:hint="eastAsia" w:ascii="仿宋_GB2312" w:hAnsi="仿宋_GB2312" w:eastAsia="仿宋_GB2312" w:cs="仿宋_GB2312"/>
          <w:b w:val="0"/>
          <w:bCs/>
          <w:color w:val="000000"/>
          <w:spacing w:val="-11"/>
          <w:sz w:val="32"/>
          <w:szCs w:val="32"/>
          <w:lang w:eastAsia="zh-CN"/>
        </w:rPr>
        <w:t>为</w:t>
      </w:r>
      <w:r>
        <w:rPr>
          <w:rFonts w:hint="eastAsia" w:ascii="仿宋_GB2312" w:hAnsi="仿宋_GB2312" w:eastAsia="仿宋_GB2312" w:cs="仿宋_GB2312"/>
          <w:b w:val="0"/>
          <w:bCs/>
          <w:color w:val="000000"/>
          <w:spacing w:val="-11"/>
          <w:sz w:val="32"/>
          <w:szCs w:val="32"/>
        </w:rPr>
        <w:t>202</w:t>
      </w:r>
      <w:r>
        <w:rPr>
          <w:rFonts w:hint="eastAsia" w:hAnsi="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rPr>
        <w:t>年1月1日至202</w:t>
      </w:r>
      <w:r>
        <w:rPr>
          <w:rFonts w:hint="eastAsia" w:hAnsi="仿宋_GB2312" w:cs="仿宋_GB2312"/>
          <w:b w:val="0"/>
          <w:bCs/>
          <w:color w:val="000000"/>
          <w:spacing w:val="-11"/>
          <w:sz w:val="32"/>
          <w:szCs w:val="32"/>
          <w:lang w:val="en-US" w:eastAsia="zh-CN"/>
        </w:rPr>
        <w:t>5</w:t>
      </w:r>
      <w:r>
        <w:rPr>
          <w:rFonts w:hint="eastAsia" w:ascii="仿宋_GB2312" w:hAnsi="仿宋_GB2312" w:eastAsia="仿宋_GB2312" w:cs="仿宋_GB2312"/>
          <w:b w:val="0"/>
          <w:bCs/>
          <w:color w:val="000000"/>
          <w:spacing w:val="-11"/>
          <w:sz w:val="32"/>
          <w:szCs w:val="32"/>
        </w:rPr>
        <w:t>年12月31日</w:t>
      </w:r>
      <w:r>
        <w:rPr>
          <w:rFonts w:hint="eastAsia" w:hAnsi="仿宋_GB2312" w:cs="仿宋_GB2312"/>
          <w:b w:val="0"/>
          <w:bCs/>
          <w:color w:val="000000"/>
          <w:spacing w:val="-11"/>
          <w:sz w:val="32"/>
          <w:szCs w:val="32"/>
          <w:lang w:eastAsia="zh-CN"/>
        </w:rPr>
        <w:t>。</w:t>
      </w:r>
    </w:p>
    <w:p w14:paraId="49EC5C96">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eastAsia" w:ascii="黑体" w:hAnsi="黑体" w:eastAsia="黑体" w:cs="黑体"/>
          <w:b w:val="0"/>
          <w:bCs/>
          <w:color w:val="000000"/>
          <w:spacing w:val="-11"/>
          <w:sz w:val="32"/>
          <w:szCs w:val="32"/>
        </w:rPr>
      </w:pPr>
      <w:r>
        <w:rPr>
          <w:rFonts w:hint="eastAsia" w:ascii="黑体" w:hAnsi="黑体" w:eastAsia="黑体" w:cs="黑体"/>
          <w:b w:val="0"/>
          <w:bCs/>
          <w:color w:val="000000"/>
          <w:spacing w:val="-11"/>
          <w:sz w:val="32"/>
          <w:szCs w:val="32"/>
          <w:lang w:val="en-US" w:eastAsia="zh-CN"/>
        </w:rPr>
        <w:t>一、</w:t>
      </w:r>
      <w:r>
        <w:rPr>
          <w:rFonts w:hint="eastAsia" w:ascii="黑体" w:hAnsi="黑体" w:eastAsia="黑体" w:cs="黑体"/>
          <w:b w:val="0"/>
          <w:bCs/>
          <w:color w:val="000000"/>
          <w:spacing w:val="-11"/>
          <w:sz w:val="32"/>
          <w:szCs w:val="32"/>
        </w:rPr>
        <w:t>总体情况</w:t>
      </w:r>
    </w:p>
    <w:p w14:paraId="77B71F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outlineLvl w:val="1"/>
        <w:rPr>
          <w:rFonts w:hint="eastAsia" w:ascii="仿宋_GB2312" w:hAnsi="仿宋_GB2312" w:eastAsia="仿宋_GB2312" w:cs="仿宋_GB2312"/>
          <w:b w:val="0"/>
          <w:bCs/>
          <w:color w:val="000000"/>
          <w:spacing w:val="-11"/>
          <w:sz w:val="32"/>
          <w:szCs w:val="32"/>
        </w:rPr>
      </w:pPr>
      <w:r>
        <w:rPr>
          <w:rFonts w:hint="eastAsia" w:ascii="仿宋_GB2312" w:hAnsi="仿宋_GB2312" w:eastAsia="仿宋_GB2312" w:cs="仿宋_GB2312"/>
          <w:b w:val="0"/>
          <w:bCs/>
          <w:color w:val="000000"/>
          <w:spacing w:val="-11"/>
          <w:sz w:val="32"/>
          <w:szCs w:val="32"/>
        </w:rPr>
        <w:t>2025年，龙泉关镇人民政府坚持以习近平新时代中国特色社会主义思想为指导，深入贯彻落实国家及省、市、县关于政务公开工作的决策部署，紧紧围绕镇党委、政府中心工作及群众关切，以提升政府工作透明度和公信力为目标，持续深化政府信息公开内容，完善公开平台，规范公开流程，强化监督保障，扎实推进政府信息公开各项工作，切实保障人民群众的知情权、参与权、表达权和监督权。</w:t>
      </w:r>
    </w:p>
    <w:p w14:paraId="690AE6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both"/>
        <w:textAlignment w:val="auto"/>
        <w:rPr>
          <w:rFonts w:hint="eastAsia" w:ascii="仿宋_GB2312" w:hAnsi="仿宋_GB2312" w:eastAsia="仿宋_GB2312" w:cs="仿宋_GB2312"/>
          <w:b w:val="0"/>
          <w:bCs/>
          <w:color w:val="auto"/>
          <w:spacing w:val="-11"/>
          <w:sz w:val="32"/>
          <w:szCs w:val="32"/>
        </w:rPr>
      </w:pPr>
      <w:r>
        <w:rPr>
          <w:rFonts w:hint="eastAsia" w:ascii="楷体_GB2312" w:hAnsi="楷体_GB2312" w:eastAsia="楷体_GB2312" w:cs="楷体_GB2312"/>
          <w:b/>
          <w:bCs w:val="0"/>
          <w:color w:val="auto"/>
          <w:spacing w:val="-11"/>
          <w:sz w:val="32"/>
          <w:szCs w:val="32"/>
          <w:lang w:val="en-US" w:eastAsia="zh-CN"/>
        </w:rPr>
        <w:t>（一）</w:t>
      </w:r>
      <w:r>
        <w:rPr>
          <w:rFonts w:hint="eastAsia" w:ascii="楷体_GB2312" w:hAnsi="楷体_GB2312" w:eastAsia="楷体_GB2312" w:cs="楷体_GB2312"/>
          <w:b/>
          <w:bCs w:val="0"/>
          <w:color w:val="auto"/>
          <w:spacing w:val="-11"/>
          <w:sz w:val="32"/>
          <w:szCs w:val="32"/>
        </w:rPr>
        <w:t>主动公开政府信息情况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rPr>
        <w:t>我镇将政府信息主动公开作为服务群众生活的重要抓手，紧扣“五公开”要求，不断拓宽公开渠道，丰富公开内容</w:t>
      </w:r>
      <w:r>
        <w:rPr>
          <w:rFonts w:hint="eastAsia" w:hAnsi="仿宋_GB2312" w:cs="仿宋_GB2312"/>
          <w:b w:val="0"/>
          <w:bCs/>
          <w:color w:val="auto"/>
          <w:spacing w:val="-11"/>
          <w:sz w:val="32"/>
          <w:szCs w:val="32"/>
          <w:lang w:eastAsia="zh-CN"/>
        </w:rPr>
        <w:t>，</w:t>
      </w:r>
      <w:r>
        <w:rPr>
          <w:rFonts w:hint="eastAsia" w:ascii="仿宋_GB2312" w:hAnsi="仿宋_GB2312" w:eastAsia="仿宋_GB2312" w:cs="仿宋_GB2312"/>
          <w:b w:val="0"/>
          <w:bCs/>
          <w:color w:val="auto"/>
          <w:spacing w:val="-11"/>
          <w:sz w:val="32"/>
          <w:szCs w:val="32"/>
        </w:rPr>
        <w:t>聚焦群众关切和经济社会发展需要</w:t>
      </w:r>
      <w:r>
        <w:rPr>
          <w:rFonts w:hint="eastAsia" w:hAnsi="仿宋_GB2312" w:cs="仿宋_GB2312"/>
          <w:b w:val="0"/>
          <w:bCs/>
          <w:color w:val="auto"/>
          <w:spacing w:val="-11"/>
          <w:sz w:val="32"/>
          <w:szCs w:val="32"/>
          <w:lang w:eastAsia="zh-CN"/>
        </w:rPr>
        <w:t>，</w:t>
      </w:r>
      <w:r>
        <w:rPr>
          <w:rFonts w:hint="eastAsia" w:hAnsi="仿宋_GB2312" w:cs="仿宋_GB2312"/>
          <w:b w:val="0"/>
          <w:bCs/>
          <w:color w:val="auto"/>
          <w:spacing w:val="-11"/>
          <w:sz w:val="32"/>
          <w:szCs w:val="32"/>
          <w:lang w:val="en-US" w:eastAsia="zh-CN"/>
        </w:rPr>
        <w:t>围绕</w:t>
      </w:r>
      <w:r>
        <w:rPr>
          <w:rFonts w:hint="eastAsia" w:ascii="仿宋_GB2312" w:hAnsi="仿宋_GB2312" w:eastAsia="仿宋_GB2312" w:cs="仿宋_GB2312"/>
          <w:b w:val="0"/>
          <w:bCs/>
          <w:color w:val="auto"/>
          <w:spacing w:val="-11"/>
          <w:sz w:val="32"/>
          <w:szCs w:val="32"/>
        </w:rPr>
        <w:t>乡村振兴、民生实事、财政资金、惠农政策等重点领域</w:t>
      </w:r>
      <w:r>
        <w:rPr>
          <w:rFonts w:hint="eastAsia" w:hAnsi="仿宋_GB2312" w:cs="仿宋_GB2312"/>
          <w:b w:val="0"/>
          <w:bCs/>
          <w:color w:val="auto"/>
          <w:spacing w:val="-11"/>
          <w:sz w:val="32"/>
          <w:szCs w:val="32"/>
          <w:lang w:eastAsia="zh-CN"/>
        </w:rPr>
        <w:t>，</w:t>
      </w:r>
      <w:r>
        <w:rPr>
          <w:rFonts w:hint="eastAsia" w:ascii="FangSong_GB2312" w:hAnsi="FangSong_GB2312" w:eastAsia="FangSong_GB2312" w:cs="FangSong_GB2312"/>
          <w:color w:val="000000"/>
          <w:sz w:val="32"/>
          <w:szCs w:val="32"/>
          <w:lang w:val="en-US" w:eastAsia="zh-CN"/>
        </w:rPr>
        <w:t>2025年以来，主动公开并办理政务服务事项12项、644件，其中市场准入45件、卫生健康20件、民生保障85件、涉军事务42件、医保办理12件、社保办理395件、咨询各项业务45余件，实现了百姓办事“大事不出乡，小事不出村”。</w:t>
      </w:r>
    </w:p>
    <w:p w14:paraId="0F07A3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both"/>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lang w:val="en-US" w:eastAsia="zh-CN"/>
        </w:rPr>
        <w:t>二</w:t>
      </w:r>
      <w:r>
        <w:rPr>
          <w:rFonts w:hint="eastAsia" w:ascii="楷体_GB2312" w:hAnsi="楷体_GB2312" w:eastAsia="楷体_GB2312" w:cs="楷体_GB2312"/>
          <w:b/>
          <w:bCs w:val="0"/>
          <w:color w:val="auto"/>
          <w:spacing w:val="-11"/>
          <w:sz w:val="32"/>
          <w:szCs w:val="32"/>
          <w:lang w:eastAsia="zh-CN"/>
        </w:rPr>
        <w:t>）</w:t>
      </w:r>
      <w:r>
        <w:rPr>
          <w:rFonts w:hint="eastAsia" w:ascii="楷体_GB2312" w:hAnsi="楷体_GB2312" w:eastAsia="楷体_GB2312" w:cs="楷体_GB2312"/>
          <w:b/>
          <w:bCs w:val="0"/>
          <w:color w:val="auto"/>
          <w:spacing w:val="-11"/>
          <w:sz w:val="32"/>
          <w:szCs w:val="32"/>
        </w:rPr>
        <w:t>依</w:t>
      </w:r>
      <w:r>
        <w:rPr>
          <w:rFonts w:hint="eastAsia" w:ascii="楷体_GB2312" w:hAnsi="楷体_GB2312" w:eastAsia="楷体_GB2312" w:cs="楷体_GB2312"/>
          <w:b/>
          <w:bCs w:val="0"/>
          <w:color w:val="auto"/>
          <w:spacing w:val="-11"/>
          <w:sz w:val="32"/>
          <w:szCs w:val="32"/>
          <w:lang w:val="en-US" w:eastAsia="zh-CN"/>
        </w:rPr>
        <w:t>法</w:t>
      </w:r>
      <w:r>
        <w:rPr>
          <w:rFonts w:hint="eastAsia" w:ascii="楷体_GB2312" w:hAnsi="楷体_GB2312" w:eastAsia="楷体_GB2312" w:cs="楷体_GB2312"/>
          <w:b/>
          <w:bCs w:val="0"/>
          <w:color w:val="auto"/>
          <w:spacing w:val="-11"/>
          <w:sz w:val="32"/>
          <w:szCs w:val="32"/>
        </w:rPr>
        <w:t>申请公开政府信息情况</w:t>
      </w:r>
      <w:r>
        <w:rPr>
          <w:rFonts w:hint="eastAsia" w:ascii="楷体_GB2312" w:hAnsi="楷体_GB2312" w:eastAsia="楷体_GB2312" w:cs="楷体_GB2312"/>
          <w:b/>
          <w:bCs w:val="0"/>
          <w:color w:val="auto"/>
          <w:spacing w:val="-11"/>
          <w:sz w:val="32"/>
          <w:szCs w:val="32"/>
          <w:lang w:eastAsia="zh-CN"/>
        </w:rPr>
        <w:t>。</w:t>
      </w:r>
      <w:r>
        <w:rPr>
          <w:rFonts w:hint="eastAsia" w:ascii="仿宋_GB2312" w:hAnsi="仿宋_GB2312" w:eastAsia="仿宋_GB2312" w:cs="仿宋_GB2312"/>
          <w:b w:val="0"/>
          <w:bCs/>
          <w:color w:val="auto"/>
          <w:spacing w:val="-11"/>
          <w:sz w:val="32"/>
          <w:szCs w:val="32"/>
          <w:lang w:val="en-US" w:eastAsia="zh-CN"/>
        </w:rPr>
        <w:t>我镇持续完善依申请公开工作规程，确保公众依法获取政府信息的权利得到充分保障。明确了从申请受理、分办核查、拟定答复到送达归档的全链条工作责任，注重答复内容的合法性、规范性、针对性，努力为申请人提供清晰、准确的政府信息。202</w:t>
      </w:r>
      <w:r>
        <w:rPr>
          <w:rFonts w:hint="eastAsia" w:hAnsi="仿宋_GB2312" w:cs="仿宋_GB2312"/>
          <w:b w:val="0"/>
          <w:bCs/>
          <w:color w:val="auto"/>
          <w:spacing w:val="-11"/>
          <w:sz w:val="32"/>
          <w:szCs w:val="32"/>
          <w:lang w:val="en-US" w:eastAsia="zh-CN"/>
        </w:rPr>
        <w:t>5</w:t>
      </w:r>
      <w:r>
        <w:rPr>
          <w:rFonts w:hint="eastAsia" w:ascii="仿宋_GB2312" w:hAnsi="仿宋_GB2312" w:eastAsia="仿宋_GB2312" w:cs="仿宋_GB2312"/>
          <w:b w:val="0"/>
          <w:bCs/>
          <w:color w:val="auto"/>
          <w:spacing w:val="-11"/>
          <w:sz w:val="32"/>
          <w:szCs w:val="32"/>
          <w:lang w:val="en-US" w:eastAsia="zh-CN"/>
        </w:rPr>
        <w:t>年</w:t>
      </w:r>
      <w:r>
        <w:rPr>
          <w:rFonts w:hint="eastAsia" w:hAnsi="仿宋_GB2312" w:cs="仿宋_GB2312"/>
          <w:b w:val="0"/>
          <w:bCs/>
          <w:color w:val="auto"/>
          <w:spacing w:val="-11"/>
          <w:sz w:val="32"/>
          <w:szCs w:val="32"/>
          <w:lang w:val="en-US" w:eastAsia="zh-CN"/>
        </w:rPr>
        <w:t>，龙泉关镇未收到政府信息公开申请，在后续工作中，我镇</w:t>
      </w:r>
      <w:r>
        <w:rPr>
          <w:rFonts w:hint="eastAsia" w:ascii="仿宋_GB2312" w:hAnsi="仿宋_GB2312" w:eastAsia="仿宋_GB2312" w:cs="仿宋_GB2312"/>
          <w:b w:val="0"/>
          <w:bCs/>
          <w:color w:val="auto"/>
          <w:spacing w:val="-11"/>
          <w:sz w:val="32"/>
          <w:szCs w:val="32"/>
          <w:lang w:val="en-US" w:eastAsia="zh-CN"/>
        </w:rPr>
        <w:t>将继续保持渠道畅通，做好应对准备，依法保障公众合理的信息获取权利。</w:t>
      </w:r>
    </w:p>
    <w:p w14:paraId="17E645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both"/>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（三）政府信息管理情况。</w:t>
      </w:r>
      <w:r>
        <w:rPr>
          <w:rFonts w:hint="eastAsia" w:ascii="仿宋_GB2312" w:hAnsi="仿宋_GB2312" w:eastAsia="仿宋_GB2312" w:cs="仿宋_GB2312"/>
          <w:b w:val="0"/>
          <w:bCs/>
          <w:color w:val="auto"/>
          <w:spacing w:val="-11"/>
          <w:sz w:val="32"/>
          <w:szCs w:val="32"/>
          <w:lang w:val="en-US" w:eastAsia="zh-CN"/>
        </w:rPr>
        <w:t>健全政府信息制作、获取、保存、处理、发布的全链条管理制度，加强信息源头管理，明确公开属性认定。定期对不予公开的政府信息进行评估审查，对因情势变化可以公开的信息及时予以公开。更新完善《龙泉关镇政府信息公开指南》和目录，提升信息管理规范化水平。</w:t>
      </w:r>
    </w:p>
    <w:p w14:paraId="5467C0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both"/>
        <w:textAlignment w:val="auto"/>
        <w:outlineLvl w:val="1"/>
        <w:rPr>
          <w:rFonts w:hint="eastAsia" w:ascii="仿宋_GB2312" w:hAnsi="仿宋_GB2312" w:eastAsia="仿宋_GB2312" w:cs="仿宋_GB2312"/>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（四）平台建设情况。</w:t>
      </w:r>
      <w:r>
        <w:rPr>
          <w:rFonts w:hint="eastAsia" w:ascii="仿宋_GB2312" w:hAnsi="仿宋_GB2312" w:eastAsia="仿宋_GB2312" w:cs="仿宋_GB2312"/>
          <w:b w:val="0"/>
          <w:bCs/>
          <w:color w:val="auto"/>
          <w:spacing w:val="-11"/>
          <w:sz w:val="32"/>
          <w:szCs w:val="32"/>
          <w:lang w:val="en-US" w:eastAsia="zh-CN"/>
        </w:rPr>
        <w:t>坚持以阜平县人民政府门户网站作为政府信息公开第一平台，指定专人负责信息维护更新，确保栏目清晰、内容准确、链接有效。同时，规范运营“</w:t>
      </w:r>
      <w:r>
        <w:rPr>
          <w:rFonts w:hint="eastAsia" w:hAnsi="仿宋_GB2312" w:cs="仿宋_GB2312"/>
          <w:b w:val="0"/>
          <w:bCs/>
          <w:color w:val="auto"/>
          <w:spacing w:val="-11"/>
          <w:sz w:val="32"/>
          <w:szCs w:val="32"/>
          <w:lang w:val="en-US" w:eastAsia="zh-CN"/>
        </w:rPr>
        <w:t>in阜平</w:t>
      </w:r>
      <w:r>
        <w:rPr>
          <w:rFonts w:hint="eastAsia" w:ascii="仿宋_GB2312" w:hAnsi="仿宋_GB2312" w:eastAsia="仿宋_GB2312" w:cs="仿宋_GB2312"/>
          <w:b w:val="0"/>
          <w:bCs/>
          <w:color w:val="auto"/>
          <w:spacing w:val="-11"/>
          <w:sz w:val="32"/>
          <w:szCs w:val="32"/>
          <w:lang w:val="en-US" w:eastAsia="zh-CN"/>
        </w:rPr>
        <w:t>”微信</w:t>
      </w:r>
      <w:r>
        <w:rPr>
          <w:rFonts w:hint="eastAsia" w:hAnsi="仿宋_GB2312" w:cs="仿宋_GB2312"/>
          <w:b w:val="0"/>
          <w:bCs/>
          <w:color w:val="auto"/>
          <w:spacing w:val="-11"/>
          <w:sz w:val="32"/>
          <w:szCs w:val="32"/>
          <w:lang w:val="en-US" w:eastAsia="zh-CN"/>
        </w:rPr>
        <w:t>视频</w:t>
      </w:r>
      <w:r>
        <w:rPr>
          <w:rFonts w:hint="eastAsia" w:ascii="仿宋_GB2312" w:hAnsi="仿宋_GB2312" w:eastAsia="仿宋_GB2312" w:cs="仿宋_GB2312"/>
          <w:b w:val="0"/>
          <w:bCs/>
          <w:color w:val="auto"/>
          <w:spacing w:val="-11"/>
          <w:sz w:val="32"/>
          <w:szCs w:val="32"/>
          <w:lang w:val="en-US" w:eastAsia="zh-CN"/>
        </w:rPr>
        <w:t>号等政务新媒体，及时发布权威信息、解读政策措施、提供便民服务。2025年通过政务新媒体发布信息1</w:t>
      </w:r>
      <w:r>
        <w:rPr>
          <w:rFonts w:hint="eastAsia" w:hAnsi="仿宋_GB2312" w:cs="仿宋_GB2312"/>
          <w:b w:val="0"/>
          <w:bCs/>
          <w:color w:val="auto"/>
          <w:spacing w:val="-11"/>
          <w:sz w:val="32"/>
          <w:szCs w:val="32"/>
          <w:lang w:val="en-US" w:eastAsia="zh-CN"/>
        </w:rPr>
        <w:t>20</w:t>
      </w:r>
      <w:r>
        <w:rPr>
          <w:rFonts w:hint="eastAsia" w:ascii="仿宋_GB2312" w:hAnsi="仿宋_GB2312" w:eastAsia="仿宋_GB2312" w:cs="仿宋_GB2312"/>
          <w:b w:val="0"/>
          <w:bCs/>
          <w:color w:val="auto"/>
          <w:spacing w:val="-11"/>
          <w:sz w:val="32"/>
          <w:szCs w:val="32"/>
          <w:lang w:val="en-US" w:eastAsia="zh-CN"/>
        </w:rPr>
        <w:t>条。</w:t>
      </w:r>
    </w:p>
    <w:p w14:paraId="3F0A26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9" w:firstLineChars="200"/>
        <w:jc w:val="both"/>
        <w:textAlignment w:val="auto"/>
        <w:outlineLvl w:val="1"/>
        <w:rPr>
          <w:rFonts w:hint="eastAsia" w:ascii="黑体" w:hAnsi="黑体" w:eastAsia="黑体" w:cs="黑体"/>
          <w:b w:val="0"/>
          <w:bCs/>
          <w:color w:val="auto"/>
          <w:spacing w:val="-11"/>
          <w:sz w:val="32"/>
          <w:szCs w:val="32"/>
          <w:lang w:val="en-US" w:eastAsia="zh-CN"/>
        </w:rPr>
      </w:pPr>
      <w:r>
        <w:rPr>
          <w:rFonts w:hint="eastAsia" w:ascii="楷体_GB2312" w:hAnsi="楷体_GB2312" w:eastAsia="楷体_GB2312" w:cs="楷体_GB2312"/>
          <w:b/>
          <w:bCs w:val="0"/>
          <w:color w:val="auto"/>
          <w:spacing w:val="-11"/>
          <w:sz w:val="32"/>
          <w:szCs w:val="32"/>
          <w:lang w:val="en-US" w:eastAsia="zh-CN"/>
        </w:rPr>
        <w:t>（五）监督保障情况。</w:t>
      </w:r>
      <w:r>
        <w:rPr>
          <w:rFonts w:hint="eastAsia" w:ascii="仿宋_GB2312" w:hAnsi="仿宋_GB2312" w:eastAsia="仿宋_GB2312" w:cs="仿宋_GB2312"/>
          <w:b w:val="0"/>
          <w:bCs/>
          <w:color w:val="auto"/>
          <w:spacing w:val="-11"/>
          <w:sz w:val="32"/>
          <w:szCs w:val="32"/>
          <w:lang w:val="en-US" w:eastAsia="zh-CN"/>
        </w:rPr>
        <w:t>我镇高度重视政务公开工作的组织领导和机制保障。</w:t>
      </w:r>
      <w:r>
        <w:rPr>
          <w:rFonts w:hint="eastAsia" w:ascii="仿宋_GB2312" w:hAnsi="仿宋_GB2312" w:eastAsia="仿宋_GB2312" w:cs="仿宋_GB2312"/>
          <w:b/>
          <w:bCs w:val="0"/>
          <w:color w:val="auto"/>
          <w:spacing w:val="-11"/>
          <w:sz w:val="32"/>
          <w:szCs w:val="32"/>
          <w:lang w:val="en-US" w:eastAsia="zh-CN"/>
        </w:rPr>
        <w:t>一是强化顶层设计，</w:t>
      </w:r>
      <w:r>
        <w:rPr>
          <w:rFonts w:hint="eastAsia" w:ascii="仿宋_GB2312" w:hAnsi="仿宋_GB2312" w:eastAsia="仿宋_GB2312" w:cs="仿宋_GB2312"/>
          <w:b w:val="0"/>
          <w:bCs/>
          <w:color w:val="auto"/>
          <w:spacing w:val="-11"/>
          <w:sz w:val="32"/>
          <w:szCs w:val="32"/>
          <w:lang w:val="en-US" w:eastAsia="zh-CN"/>
        </w:rPr>
        <w:t>及时调整镇政务公开工作领导小组，由镇政府主要负责同志统筹部署，分管领导具体抓落实，明确党政综合办公室为牵头责任科室，并配备专职人员，构建了职责清晰、协同高效的工作体系。</w:t>
      </w:r>
      <w:r>
        <w:rPr>
          <w:rFonts w:hint="eastAsia" w:ascii="仿宋_GB2312" w:hAnsi="仿宋_GB2312" w:eastAsia="仿宋_GB2312" w:cs="仿宋_GB2312"/>
          <w:b/>
          <w:bCs w:val="0"/>
          <w:color w:val="auto"/>
          <w:spacing w:val="-11"/>
          <w:sz w:val="32"/>
          <w:szCs w:val="32"/>
          <w:lang w:val="en-US" w:eastAsia="zh-CN"/>
        </w:rPr>
        <w:t>二是健全制度规范，</w:t>
      </w:r>
      <w:r>
        <w:rPr>
          <w:rFonts w:hint="eastAsia" w:ascii="仿宋_GB2312" w:hAnsi="仿宋_GB2312" w:eastAsia="仿宋_GB2312" w:cs="仿宋_GB2312"/>
          <w:b w:val="0"/>
          <w:bCs/>
          <w:color w:val="auto"/>
          <w:spacing w:val="-11"/>
          <w:sz w:val="32"/>
          <w:szCs w:val="32"/>
          <w:lang w:val="en-US" w:eastAsia="zh-CN"/>
        </w:rPr>
        <w:t>动态更新《龙泉关镇政府信息公开指南》与公开目录，细化工作标准，使公开工作有章可循、规范运行。</w:t>
      </w:r>
      <w:r>
        <w:rPr>
          <w:rFonts w:hint="eastAsia" w:ascii="仿宋_GB2312" w:hAnsi="仿宋_GB2312" w:eastAsia="仿宋_GB2312" w:cs="仿宋_GB2312"/>
          <w:b/>
          <w:bCs w:val="0"/>
          <w:color w:val="auto"/>
          <w:spacing w:val="-11"/>
          <w:sz w:val="32"/>
          <w:szCs w:val="32"/>
          <w:lang w:val="en-US" w:eastAsia="zh-CN"/>
        </w:rPr>
        <w:t>三是注重队伍建设，</w:t>
      </w:r>
      <w:r>
        <w:rPr>
          <w:rFonts w:hint="eastAsia" w:ascii="仿宋_GB2312" w:hAnsi="仿宋_GB2312" w:eastAsia="仿宋_GB2312" w:cs="仿宋_GB2312"/>
          <w:b w:val="0"/>
          <w:bCs/>
          <w:color w:val="auto"/>
          <w:spacing w:val="-11"/>
          <w:sz w:val="32"/>
          <w:szCs w:val="32"/>
          <w:lang w:val="en-US" w:eastAsia="zh-CN"/>
        </w:rPr>
        <w:t>组织镇、村两级工作人员开展专题培训4场次，覆盖60余人次，有效提升了队伍的专业素养和实操能力，为全镇政务公开工作持续深化提供了坚实支撑。</w:t>
      </w:r>
    </w:p>
    <w:p w14:paraId="2B1846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outlineLvl w:val="0"/>
        <w:rPr>
          <w:rFonts w:hint="eastAsia" w:asciiTheme="minorEastAsia" w:hAnsiTheme="minorEastAsia" w:eastAsiaTheme="minorEastAsia" w:cstheme="minorEastAsia"/>
          <w:b/>
          <w:bCs w:val="0"/>
          <w:color w:val="auto"/>
          <w:spacing w:val="-11"/>
          <w:sz w:val="32"/>
          <w:szCs w:val="32"/>
          <w:lang w:val="en-US" w:eastAsia="zh-CN"/>
        </w:rPr>
      </w:pPr>
      <w:r>
        <w:rPr>
          <w:rFonts w:hint="eastAsia" w:ascii="黑体" w:hAnsi="黑体" w:eastAsia="黑体" w:cs="黑体"/>
          <w:b w:val="0"/>
          <w:bCs/>
          <w:color w:val="auto"/>
          <w:spacing w:val="-11"/>
          <w:sz w:val="32"/>
          <w:szCs w:val="32"/>
          <w:lang w:val="en-US" w:eastAsia="zh-CN"/>
        </w:rPr>
        <w:t>二、主动公开政府信息情况</w:t>
      </w:r>
    </w:p>
    <w:tbl>
      <w:tblPr>
        <w:tblStyle w:val="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37"/>
        <w:gridCol w:w="2238"/>
        <w:gridCol w:w="2238"/>
        <w:gridCol w:w="2245"/>
      </w:tblGrid>
      <w:tr w14:paraId="7714E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0F0363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第二十条第（一）项</w:t>
            </w:r>
          </w:p>
        </w:tc>
      </w:tr>
      <w:tr w14:paraId="01213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B6118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信息内容</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89CE5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本年</w:t>
            </w:r>
            <w:r>
              <w:rPr>
                <w:rFonts w:hint="eastAsia" w:ascii="宋体" w:hAnsi="宋体" w:eastAsia="宋体" w:cs="宋体"/>
                <w:i w:val="0"/>
                <w:caps w:val="0"/>
                <w:color w:val="333333"/>
                <w:spacing w:val="0"/>
                <w:kern w:val="0"/>
                <w:sz w:val="20"/>
                <w:szCs w:val="20"/>
                <w:lang w:val="en-US" w:eastAsia="zh-CN" w:bidi="ar"/>
              </w:rPr>
              <w:t>制发件数</w:t>
            </w:r>
          </w:p>
        </w:tc>
        <w:tc>
          <w:tcPr>
            <w:tcW w:w="1249"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7F7806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本年废止件数</w:t>
            </w:r>
          </w:p>
        </w:tc>
        <w:tc>
          <w:tcPr>
            <w:tcW w:w="1252" w:type="pct"/>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AD94E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现行有效件</w:t>
            </w:r>
            <w:r>
              <w:rPr>
                <w:rFonts w:hint="eastAsia" w:ascii="宋体" w:hAnsi="宋体" w:eastAsia="宋体" w:cs="宋体"/>
                <w:i w:val="0"/>
                <w:caps w:val="0"/>
                <w:color w:val="333333"/>
                <w:spacing w:val="0"/>
                <w:kern w:val="0"/>
                <w:sz w:val="20"/>
                <w:szCs w:val="20"/>
                <w:lang w:val="en-US" w:eastAsia="zh-CN" w:bidi="ar"/>
              </w:rPr>
              <w:t>数</w:t>
            </w:r>
          </w:p>
        </w:tc>
      </w:tr>
      <w:tr w14:paraId="3ADED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3D45C7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规章</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1CD2C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30627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0CDEF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07AE2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E4E16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行政规范性文件</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A077A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49"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91E54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c>
          <w:tcPr>
            <w:tcW w:w="1252" w:type="pct"/>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B565E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cs="宋体"/>
                <w:i w:val="0"/>
                <w:caps w:val="0"/>
                <w:color w:val="000000"/>
                <w:spacing w:val="0"/>
                <w:kern w:val="0"/>
                <w:sz w:val="20"/>
                <w:szCs w:val="20"/>
                <w:lang w:val="en-US" w:eastAsia="zh-CN" w:bidi="ar"/>
              </w:rPr>
              <w:t>0</w:t>
            </w:r>
          </w:p>
        </w:tc>
      </w:tr>
      <w:tr w14:paraId="4BC78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249FB5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第二十条第（五）项</w:t>
            </w:r>
          </w:p>
        </w:tc>
      </w:tr>
      <w:tr w14:paraId="4D638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5B77B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C5EA6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本年处理决定数量</w:t>
            </w:r>
          </w:p>
        </w:tc>
      </w:tr>
      <w:tr w14:paraId="19846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098AB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行政许可</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360BDF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644</w:t>
            </w:r>
          </w:p>
        </w:tc>
      </w:tr>
      <w:tr w14:paraId="07098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2D0930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第二十条第（六）项</w:t>
            </w:r>
          </w:p>
        </w:tc>
      </w:tr>
      <w:tr w14:paraId="78E66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007A3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single" w:color="auto" w:sz="8" w:space="0"/>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778B58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本年处理决定数量</w:t>
            </w:r>
          </w:p>
        </w:tc>
      </w:tr>
      <w:tr w14:paraId="7B44A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E315E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行政处罚</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462653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70348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0D911D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行政强制</w:t>
            </w:r>
          </w:p>
        </w:tc>
        <w:tc>
          <w:tcPr>
            <w:tcW w:w="3750" w:type="pct"/>
            <w:gridSpan w:val="3"/>
            <w:tcBorders>
              <w:top w:val="nil"/>
              <w:left w:val="nil"/>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1C25B3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r w14:paraId="032D7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5000" w:type="pct"/>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5477C7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第二十条第（八）项</w:t>
            </w:r>
          </w:p>
        </w:tc>
      </w:tr>
      <w:tr w14:paraId="28997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62"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DD2AD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信息内容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14:paraId="3DF102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本年收费金额（单位：万元）</w:t>
            </w:r>
          </w:p>
        </w:tc>
      </w:tr>
      <w:tr w14:paraId="170BB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84" w:hRule="atLeast"/>
          <w:jc w:val="center"/>
        </w:trPr>
        <w:tc>
          <w:tcPr>
            <w:tcW w:w="1249" w:type="pct"/>
            <w:tcBorders>
              <w:top w:val="nil"/>
              <w:left w:val="single" w:color="auto" w:sz="8" w:space="0"/>
              <w:bottom w:val="single" w:color="auto" w:sz="8" w:space="0"/>
              <w:right w:val="single" w:color="auto" w:sz="8" w:space="0"/>
            </w:tcBorders>
            <w:shd w:val="clear" w:color="auto" w:fill="FFFFFF"/>
            <w:noWrap w:val="0"/>
            <w:tcMar>
              <w:top w:w="0" w:type="dxa"/>
              <w:left w:w="57" w:type="dxa"/>
              <w:bottom w:w="0" w:type="dxa"/>
              <w:right w:w="57" w:type="dxa"/>
            </w:tcMar>
            <w:vAlign w:val="center"/>
          </w:tcPr>
          <w:p w14:paraId="694F30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i w:val="0"/>
                <w:caps w:val="0"/>
                <w:color w:val="000000"/>
                <w:spacing w:val="0"/>
                <w:kern w:val="0"/>
                <w:sz w:val="20"/>
                <w:szCs w:val="20"/>
                <w:lang w:val="en-US" w:eastAsia="zh-CN" w:bidi="ar"/>
              </w:rPr>
              <w:t>行政事业性收费</w:t>
            </w:r>
          </w:p>
        </w:tc>
        <w:tc>
          <w:tcPr>
            <w:tcW w:w="3750" w:type="pct"/>
            <w:gridSpan w:val="3"/>
            <w:tcBorders>
              <w:top w:val="nil"/>
              <w:left w:val="nil"/>
              <w:bottom w:val="single" w:color="auto" w:sz="8" w:space="0"/>
              <w:right w:val="single" w:color="000000" w:sz="8" w:space="0"/>
            </w:tcBorders>
            <w:shd w:val="clear" w:color="auto" w:fill="FFFFFF"/>
            <w:noWrap w:val="0"/>
            <w:tcMar>
              <w:top w:w="0" w:type="dxa"/>
              <w:left w:w="57" w:type="dxa"/>
              <w:bottom w:w="0" w:type="dxa"/>
              <w:right w:w="57" w:type="dxa"/>
            </w:tcMar>
            <w:vAlign w:val="center"/>
          </w:tcPr>
          <w:p w14:paraId="7B3DB0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i w:val="0"/>
                <w:caps w:val="0"/>
                <w:color w:val="000000"/>
                <w:spacing w:val="0"/>
                <w:kern w:val="0"/>
                <w:sz w:val="20"/>
                <w:szCs w:val="20"/>
                <w:lang w:val="en-US" w:eastAsia="zh-CN" w:bidi="ar"/>
              </w:rPr>
            </w:pPr>
            <w:r>
              <w:rPr>
                <w:rFonts w:hint="eastAsia" w:ascii="宋体" w:hAnsi="宋体" w:eastAsia="宋体" w:cs="宋体"/>
                <w:i w:val="0"/>
                <w:caps w:val="0"/>
                <w:color w:val="000000"/>
                <w:spacing w:val="0"/>
                <w:kern w:val="0"/>
                <w:sz w:val="20"/>
                <w:szCs w:val="20"/>
                <w:lang w:val="en-US" w:eastAsia="zh-CN" w:bidi="ar"/>
              </w:rPr>
              <w:t>0</w:t>
            </w:r>
          </w:p>
        </w:tc>
      </w:tr>
    </w:tbl>
    <w:p w14:paraId="1A58C8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val="0"/>
          <w:color w:val="auto"/>
          <w:spacing w:val="-11"/>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收到和处理政府信息公开申请情况</w:t>
      </w:r>
    </w:p>
    <w:tbl>
      <w:tblPr>
        <w:tblStyle w:val="8"/>
        <w:tblW w:w="9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782"/>
        <w:gridCol w:w="3637"/>
        <w:gridCol w:w="630"/>
        <w:gridCol w:w="730"/>
        <w:gridCol w:w="697"/>
        <w:gridCol w:w="808"/>
        <w:gridCol w:w="865"/>
        <w:gridCol w:w="611"/>
        <w:gridCol w:w="563"/>
      </w:tblGrid>
      <w:tr w14:paraId="7E721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875"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5CC62E2">
            <w:pPr>
              <w:keepNext w:val="0"/>
              <w:keepLines w:val="0"/>
              <w:widowControl/>
              <w:suppressLineNumbers w:val="0"/>
              <w:jc w:val="both"/>
              <w:textAlignment w:val="center"/>
              <w:rPr>
                <w:rFonts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（本列数据的勾稽关系为：第一项加第二项之和，等于第三项加第四项之和）</w:t>
            </w:r>
          </w:p>
        </w:tc>
        <w:tc>
          <w:tcPr>
            <w:tcW w:w="4904" w:type="dxa"/>
            <w:gridSpan w:val="7"/>
            <w:tcBorders>
              <w:top w:val="single" w:color="000000" w:sz="4" w:space="0"/>
              <w:left w:val="single" w:color="000000" w:sz="4" w:space="0"/>
              <w:bottom w:val="single" w:color="000000" w:sz="4" w:space="0"/>
              <w:right w:val="single" w:color="000000" w:sz="4" w:space="0"/>
            </w:tcBorders>
            <w:noWrap w:val="0"/>
            <w:vAlign w:val="center"/>
          </w:tcPr>
          <w:p w14:paraId="04FAD8B7">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申请人情况</w:t>
            </w:r>
          </w:p>
        </w:tc>
      </w:tr>
      <w:tr w14:paraId="7B206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87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F9F0A40">
            <w:pPr>
              <w:jc w:val="both"/>
              <w:rPr>
                <w:rFonts w:hint="eastAsia" w:ascii="楷体" w:hAnsi="楷体" w:eastAsia="楷体" w:cs="楷体"/>
                <w:i w:val="0"/>
                <w:color w:val="000000"/>
                <w:sz w:val="20"/>
                <w:szCs w:val="20"/>
                <w:u w:val="none"/>
              </w:rPr>
            </w:pPr>
          </w:p>
        </w:tc>
        <w:tc>
          <w:tcPr>
            <w:tcW w:w="630" w:type="dxa"/>
            <w:vMerge w:val="restart"/>
            <w:tcBorders>
              <w:top w:val="single" w:color="000000" w:sz="4" w:space="0"/>
              <w:left w:val="single" w:color="000000" w:sz="4" w:space="0"/>
              <w:bottom w:val="single" w:color="000000" w:sz="4" w:space="0"/>
              <w:right w:val="single" w:color="000000" w:sz="4" w:space="0"/>
            </w:tcBorders>
            <w:noWrap w:val="0"/>
            <w:vAlign w:val="center"/>
          </w:tcPr>
          <w:p w14:paraId="7F568148">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自然人</w:t>
            </w:r>
          </w:p>
        </w:tc>
        <w:tc>
          <w:tcPr>
            <w:tcW w:w="3711" w:type="dxa"/>
            <w:gridSpan w:val="5"/>
            <w:tcBorders>
              <w:top w:val="single" w:color="000000" w:sz="4" w:space="0"/>
              <w:left w:val="single" w:color="000000" w:sz="4" w:space="0"/>
              <w:bottom w:val="single" w:color="000000" w:sz="4" w:space="0"/>
              <w:right w:val="single" w:color="000000" w:sz="4" w:space="0"/>
            </w:tcBorders>
            <w:noWrap w:val="0"/>
            <w:vAlign w:val="center"/>
          </w:tcPr>
          <w:p w14:paraId="00E91838">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法人或其他组织</w:t>
            </w:r>
          </w:p>
        </w:tc>
        <w:tc>
          <w:tcPr>
            <w:tcW w:w="56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8CFDBA">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总计</w:t>
            </w:r>
          </w:p>
        </w:tc>
      </w:tr>
      <w:tr w14:paraId="31632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87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FBCA93">
            <w:pPr>
              <w:jc w:val="both"/>
              <w:rPr>
                <w:rFonts w:hint="eastAsia" w:ascii="楷体" w:hAnsi="楷体" w:eastAsia="楷体" w:cs="楷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9F7EE">
            <w:pPr>
              <w:jc w:val="both"/>
              <w:rPr>
                <w:rFonts w:hint="eastAsia" w:ascii="宋体" w:hAnsi="宋体" w:eastAsia="宋体" w:cs="宋体"/>
                <w:i w:val="0"/>
                <w:color w:val="000000"/>
                <w:sz w:val="20"/>
                <w:szCs w:val="20"/>
                <w:u w:val="none"/>
              </w:rPr>
            </w:pPr>
          </w:p>
        </w:tc>
        <w:tc>
          <w:tcPr>
            <w:tcW w:w="730" w:type="dxa"/>
            <w:tcBorders>
              <w:top w:val="single" w:color="000000" w:sz="4" w:space="0"/>
              <w:left w:val="single" w:color="000000" w:sz="4" w:space="0"/>
              <w:right w:val="single" w:color="000000" w:sz="4" w:space="0"/>
            </w:tcBorders>
            <w:noWrap w:val="0"/>
            <w:vAlign w:val="center"/>
          </w:tcPr>
          <w:p w14:paraId="1C508663">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商业企业</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47819159">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科研机构</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C72A72F">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社会公益组织</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8F0FF35">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法律服务机构</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6DA68BB">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898BC">
            <w:pPr>
              <w:jc w:val="both"/>
              <w:rPr>
                <w:rFonts w:hint="eastAsia" w:ascii="宋体" w:hAnsi="宋体" w:eastAsia="宋体" w:cs="宋体"/>
                <w:i w:val="0"/>
                <w:color w:val="000000"/>
                <w:sz w:val="20"/>
                <w:szCs w:val="20"/>
                <w:u w:val="none"/>
              </w:rPr>
            </w:pPr>
          </w:p>
        </w:tc>
      </w:tr>
      <w:tr w14:paraId="5E310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875" w:type="dxa"/>
            <w:gridSpan w:val="3"/>
            <w:tcBorders>
              <w:top w:val="single" w:color="000000" w:sz="4" w:space="0"/>
              <w:left w:val="single" w:color="000000" w:sz="4" w:space="0"/>
              <w:bottom w:val="single" w:color="000000" w:sz="4" w:space="0"/>
              <w:right w:val="single" w:color="000000" w:sz="4" w:space="0"/>
            </w:tcBorders>
            <w:noWrap w:val="0"/>
            <w:vAlign w:val="center"/>
          </w:tcPr>
          <w:p w14:paraId="554318D5">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一、本年新收政府信息公开申请数量</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5551F854">
            <w:pPr>
              <w:keepNext w:val="0"/>
              <w:keepLines w:val="0"/>
              <w:widowControl/>
              <w:suppressLineNumbers w:val="0"/>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91F539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E581C7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1ACD06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B6990F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957257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A4D1E8B">
            <w:pPr>
              <w:keepNext w:val="0"/>
              <w:keepLines w:val="0"/>
              <w:widowControl/>
              <w:suppressLineNumbers w:val="0"/>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333D0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4875" w:type="dxa"/>
            <w:gridSpan w:val="3"/>
            <w:tcBorders>
              <w:top w:val="single" w:color="000000" w:sz="4" w:space="0"/>
              <w:left w:val="single" w:color="000000" w:sz="4" w:space="0"/>
              <w:bottom w:val="single" w:color="000000" w:sz="4" w:space="0"/>
              <w:right w:val="single" w:color="000000" w:sz="4" w:space="0"/>
            </w:tcBorders>
            <w:noWrap w:val="0"/>
            <w:vAlign w:val="center"/>
          </w:tcPr>
          <w:p w14:paraId="42A64D4F">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二、上年结转政府信息公开申请数量</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38AEE05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020375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316AF6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CB926E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0954F70">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8861E2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1E3DCB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4F5A7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5A13EAEC">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三、本年度办理结果</w:t>
            </w:r>
          </w:p>
        </w:tc>
        <w:tc>
          <w:tcPr>
            <w:tcW w:w="4419" w:type="dxa"/>
            <w:gridSpan w:val="2"/>
            <w:tcBorders>
              <w:top w:val="single" w:color="000000" w:sz="4" w:space="0"/>
              <w:left w:val="single" w:color="000000" w:sz="4" w:space="0"/>
              <w:bottom w:val="single" w:color="000000" w:sz="4" w:space="0"/>
              <w:right w:val="single" w:color="000000" w:sz="4" w:space="0"/>
            </w:tcBorders>
            <w:noWrap w:val="0"/>
            <w:vAlign w:val="center"/>
          </w:tcPr>
          <w:p w14:paraId="07B6FE49">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（一）予以公开</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1F6FD7A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48DC06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2794E8D">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BF68F3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3193566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340E1D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B0B684A">
            <w:pPr>
              <w:keepNext w:val="0"/>
              <w:keepLines w:val="0"/>
              <w:widowControl/>
              <w:suppressLineNumbers w:val="0"/>
              <w:jc w:val="both"/>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2A128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D58DC">
            <w:pPr>
              <w:jc w:val="both"/>
              <w:rPr>
                <w:rFonts w:hint="eastAsia" w:ascii="宋体" w:hAnsi="宋体" w:eastAsia="宋体" w:cs="宋体"/>
                <w:i w:val="0"/>
                <w:color w:val="000000"/>
                <w:sz w:val="20"/>
                <w:szCs w:val="20"/>
                <w:u w:val="none"/>
              </w:rPr>
            </w:pPr>
          </w:p>
        </w:tc>
        <w:tc>
          <w:tcPr>
            <w:tcW w:w="4419" w:type="dxa"/>
            <w:gridSpan w:val="2"/>
            <w:tcBorders>
              <w:top w:val="single" w:color="000000" w:sz="4" w:space="0"/>
              <w:left w:val="single" w:color="000000" w:sz="4" w:space="0"/>
              <w:bottom w:val="single" w:color="000000" w:sz="4" w:space="0"/>
              <w:right w:val="single" w:color="000000" w:sz="4" w:space="0"/>
            </w:tcBorders>
            <w:noWrap w:val="0"/>
            <w:vAlign w:val="center"/>
          </w:tcPr>
          <w:p w14:paraId="6BEFF1D2">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（二）部分公开</w:t>
            </w:r>
            <w:r>
              <w:rPr>
                <w:rFonts w:hint="eastAsia" w:ascii="楷体" w:hAnsi="楷体" w:eastAsia="楷体" w:cs="楷体"/>
                <w:i w:val="0"/>
                <w:color w:val="000000"/>
                <w:kern w:val="0"/>
                <w:sz w:val="20"/>
                <w:szCs w:val="20"/>
                <w:u w:val="none"/>
                <w:lang w:val="en-US" w:eastAsia="zh-CN" w:bidi="ar"/>
              </w:rPr>
              <w:t>（区分处理的，只计这一情形，不计其他情形）</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2CF270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891B8D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65768C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B6FD94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B294CD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B38E99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62ECD79">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0A166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602B7">
            <w:pPr>
              <w:jc w:val="both"/>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B5869CC">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（三）不予公开</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6AD5012">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1.属于国家秘密</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71BE52A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708FD3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76693F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243F67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C76AF4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3CD135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29108A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4579E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54E4D">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2F598">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1EA412F4">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2.其他法律行政法规禁止公开</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5CD8F61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C1B35D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66121C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4F6D8D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82B6DD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CDFAF9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6C6BD40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A135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22184">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13446">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AC232B3">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3.危及“三安全一稳定”</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0EB1FA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E97403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03AFC6E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6CC5FB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B41112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9382FA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D1A4B1D">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37A7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76FE2">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1FFA7">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7BE109AB">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4.保护第三方合法权益</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19D7005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485FA9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FE584C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1C6498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BEA7B5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A0B66F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84D955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2B39F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C8ECD">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F5D7C">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71D0C77C">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5.属于三类内部事务信息</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42950A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06AE84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11779CD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63ACA6D">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BAC8B6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ED7445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62181F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24D49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E8BDF">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E9E80">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09E6B00">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6.属于四类过程性信息</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77797B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37985F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3DFB69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92AF7B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4CD8DF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B05518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637B187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3B041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1A876">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A0760">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0537BB4D">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7.属于行政执法案卷</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1374140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0E9E9F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3F4C67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623127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499799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6B4CC2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A378E40">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2FDD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C41E1">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58AB7">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4A9E5F5">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8.属于行政查询事项</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73DFC23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43AFD2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108F62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0EB809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3C24AB7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64AF9D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B6185A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4A33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E9B58">
            <w:pPr>
              <w:jc w:val="both"/>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33BAB49">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（四）无法提供</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9121720">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1.本机关不掌握相关政府信息</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B66B7C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A38240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7E031DD">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431526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5FC526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906981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DFC0607">
            <w:pPr>
              <w:keepNext w:val="0"/>
              <w:keepLines w:val="0"/>
              <w:widowControl/>
              <w:suppressLineNumbers w:val="0"/>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6030A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80195">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E1E036">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6670751F">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2.没有现成信息需要另行制作</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2604CBB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77BC86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382CCE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E5195D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18B74B0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88CF4B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78E0274">
            <w:pPr>
              <w:keepNext w:val="0"/>
              <w:keepLines w:val="0"/>
              <w:widowControl/>
              <w:suppressLineNumbers w:val="0"/>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46065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07E64">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71C8D">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5578B32B">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3.补正后申请内容仍不明确</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603652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B6DEDA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343B48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0CC4DD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7975F53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7CDB1D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2AF95CD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4CC0A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489BC">
            <w:pPr>
              <w:jc w:val="both"/>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1F9591B">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（五）不予处理</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1E0BEB3">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1.信访举报投诉类申请</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1D56AFD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928C46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37B619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B2154E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0A811F3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6837AB99">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1D974AB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0895C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A22E2">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0662B">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6A642CBD">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2.重复申请</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F10C095">
            <w:pPr>
              <w:keepNext w:val="0"/>
              <w:keepLines w:val="0"/>
              <w:widowControl/>
              <w:suppressLineNumbers w:val="0"/>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8A081B3">
            <w:pPr>
              <w:keepNext w:val="0"/>
              <w:keepLines w:val="0"/>
              <w:widowControl/>
              <w:suppressLineNumbers w:val="0"/>
              <w:jc w:val="both"/>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2F52452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AB5222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322ED8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C3A255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0E40950">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06FFD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A81C8">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F69A3">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35335B66">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3.要求提供公开出版物</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8A62E5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7A47BD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6A8E12D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2ED046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5291799">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7340F44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C4336E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EB73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77B94">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143C5">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479B09AF">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4.无正当理由大量反复申请</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579973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3EB019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41180E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936A71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14AB78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0716541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4ECB9BF0">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72B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27CBA">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8C83E">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11DEA2B9">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5.要求行政机关确认或重新出具已获取信息</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162FA03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2A49C1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2F5CEF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B5FFF1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470DB77D">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B8BC71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B2EE3A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71197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15916">
            <w:pPr>
              <w:jc w:val="both"/>
              <w:rPr>
                <w:rFonts w:hint="eastAsia" w:ascii="宋体" w:hAnsi="宋体" w:eastAsia="宋体" w:cs="宋体"/>
                <w:i w:val="0"/>
                <w:color w:val="000000"/>
                <w:sz w:val="20"/>
                <w:szCs w:val="20"/>
                <w:u w:val="none"/>
              </w:rPr>
            </w:pP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DFB7D6F">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（六）其他处理</w:t>
            </w: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5B9C0737">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1.申请人无正当理由逾期不补正、行政机关不再处理其政府信息公开申请</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771A1B7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1B1890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0EB002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20E9C3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EC0A5B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430D763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2CBDCC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5076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B99A0D">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748BD">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56A41649">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2.申请人逾期未按收费通知要求缴纳费用、行政机关不再处理其政府信息公开申请</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A70F44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4C962E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7CDB8D4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1DF483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39380D8">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126F3B4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943430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r>
      <w:tr w14:paraId="123E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27579">
            <w:pPr>
              <w:jc w:val="both"/>
              <w:rPr>
                <w:rFonts w:hint="eastAsia" w:ascii="宋体" w:hAnsi="宋体" w:eastAsia="宋体" w:cs="宋体"/>
                <w:i w:val="0"/>
                <w:color w:val="000000"/>
                <w:sz w:val="20"/>
                <w:szCs w:val="20"/>
                <w:u w:val="none"/>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A334F">
            <w:pPr>
              <w:jc w:val="both"/>
              <w:rPr>
                <w:rFonts w:hint="eastAsia" w:ascii="宋体" w:hAnsi="宋体" w:eastAsia="宋体" w:cs="宋体"/>
                <w:i w:val="0"/>
                <w:color w:val="000000"/>
                <w:sz w:val="20"/>
                <w:szCs w:val="20"/>
                <w:u w:val="none"/>
              </w:rPr>
            </w:pPr>
          </w:p>
        </w:tc>
        <w:tc>
          <w:tcPr>
            <w:tcW w:w="3637" w:type="dxa"/>
            <w:tcBorders>
              <w:top w:val="single" w:color="000000" w:sz="4" w:space="0"/>
              <w:left w:val="single" w:color="000000" w:sz="4" w:space="0"/>
              <w:bottom w:val="single" w:color="000000" w:sz="4" w:space="0"/>
              <w:right w:val="single" w:color="000000" w:sz="4" w:space="0"/>
            </w:tcBorders>
            <w:noWrap w:val="0"/>
            <w:vAlign w:val="center"/>
          </w:tcPr>
          <w:p w14:paraId="2436D6A5">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3.其他</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4FB8C9B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C65740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1A41D89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9077FD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58B754E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2B9DF6B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35AEF76F">
            <w:pPr>
              <w:jc w:val="both"/>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14:paraId="2D092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2CD1D">
            <w:pPr>
              <w:jc w:val="both"/>
              <w:rPr>
                <w:rFonts w:hint="eastAsia" w:ascii="宋体" w:hAnsi="宋体" w:eastAsia="宋体" w:cs="宋体"/>
                <w:i w:val="0"/>
                <w:color w:val="000000"/>
                <w:sz w:val="20"/>
                <w:szCs w:val="20"/>
                <w:u w:val="none"/>
              </w:rPr>
            </w:pPr>
          </w:p>
        </w:tc>
        <w:tc>
          <w:tcPr>
            <w:tcW w:w="4419" w:type="dxa"/>
            <w:gridSpan w:val="2"/>
            <w:tcBorders>
              <w:top w:val="single" w:color="000000" w:sz="4" w:space="0"/>
              <w:left w:val="single" w:color="000000" w:sz="4" w:space="0"/>
              <w:bottom w:val="single" w:color="000000" w:sz="4" w:space="0"/>
              <w:right w:val="single" w:color="000000" w:sz="4" w:space="0"/>
            </w:tcBorders>
            <w:noWrap w:val="0"/>
            <w:vAlign w:val="center"/>
          </w:tcPr>
          <w:p w14:paraId="2A9507A1">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（七）总计</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70CA283E">
            <w:pPr>
              <w:keepNext w:val="0"/>
              <w:keepLines w:val="0"/>
              <w:widowControl/>
              <w:suppressLineNumbers w:val="0"/>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DFBDD9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34B09DB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45E94D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657FC865">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59A971E9">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B840301">
            <w:pPr>
              <w:keepNext w:val="0"/>
              <w:keepLines w:val="0"/>
              <w:widowControl/>
              <w:suppressLineNumbers w:val="0"/>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w:t>
            </w:r>
          </w:p>
        </w:tc>
      </w:tr>
      <w:tr w14:paraId="2D8AF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4875" w:type="dxa"/>
            <w:gridSpan w:val="3"/>
            <w:tcBorders>
              <w:top w:val="single" w:color="000000" w:sz="4" w:space="0"/>
              <w:left w:val="single" w:color="000000" w:sz="4" w:space="0"/>
              <w:bottom w:val="single" w:color="000000" w:sz="4" w:space="0"/>
              <w:right w:val="single" w:color="000000" w:sz="4" w:space="0"/>
            </w:tcBorders>
            <w:noWrap w:val="0"/>
            <w:vAlign w:val="center"/>
          </w:tcPr>
          <w:p w14:paraId="7130A037">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四、结转下年度继续办理</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182B5C06">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49816C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14:paraId="570A1F5D">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6B2A78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865" w:type="dxa"/>
            <w:tcBorders>
              <w:top w:val="single" w:color="000000" w:sz="4" w:space="0"/>
              <w:left w:val="single" w:color="000000" w:sz="4" w:space="0"/>
              <w:bottom w:val="single" w:color="000000" w:sz="4" w:space="0"/>
              <w:right w:val="single" w:color="000000" w:sz="4" w:space="0"/>
            </w:tcBorders>
            <w:noWrap w:val="0"/>
            <w:vAlign w:val="center"/>
          </w:tcPr>
          <w:p w14:paraId="2583315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noWrap w:val="0"/>
            <w:vAlign w:val="center"/>
          </w:tcPr>
          <w:p w14:paraId="3734818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3F81010">
            <w:pPr>
              <w:keepNext w:val="0"/>
              <w:keepLines w:val="0"/>
              <w:widowControl/>
              <w:suppressLineNumbers w:val="0"/>
              <w:jc w:val="both"/>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0 </w:t>
            </w:r>
          </w:p>
        </w:tc>
      </w:tr>
    </w:tbl>
    <w:p w14:paraId="4C41FD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Theme="minorEastAsia" w:hAnsiTheme="minorEastAsia" w:eastAsiaTheme="minorEastAsia" w:cstheme="minorEastAsia"/>
          <w:b/>
          <w:bCs/>
          <w:sz w:val="24"/>
          <w:szCs w:val="24"/>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政府信息公开行政复议、行政诉讼情况</w:t>
      </w:r>
    </w:p>
    <w:tbl>
      <w:tblPr>
        <w:tblStyle w:val="8"/>
        <w:tblW w:w="907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57"/>
        <w:gridCol w:w="633"/>
        <w:gridCol w:w="633"/>
        <w:gridCol w:w="633"/>
        <w:gridCol w:w="443"/>
        <w:gridCol w:w="661"/>
        <w:gridCol w:w="703"/>
        <w:gridCol w:w="646"/>
        <w:gridCol w:w="675"/>
        <w:gridCol w:w="383"/>
        <w:gridCol w:w="717"/>
        <w:gridCol w:w="674"/>
        <w:gridCol w:w="646"/>
        <w:gridCol w:w="647"/>
        <w:gridCol w:w="428"/>
      </w:tblGrid>
      <w:tr w14:paraId="3B7E36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atLeast"/>
          <w:jc w:val="center"/>
        </w:trPr>
        <w:tc>
          <w:tcPr>
            <w:tcW w:w="28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4FF9B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行政复议</w:t>
            </w:r>
          </w:p>
        </w:tc>
        <w:tc>
          <w:tcPr>
            <w:tcW w:w="6180"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6966E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行政诉讼</w:t>
            </w:r>
          </w:p>
        </w:tc>
      </w:tr>
      <w:tr w14:paraId="1923CF1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7" w:hRule="atLeast"/>
          <w:jc w:val="center"/>
        </w:trPr>
        <w:tc>
          <w:tcPr>
            <w:tcW w:w="557"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0A86AA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结果维持</w:t>
            </w:r>
          </w:p>
        </w:tc>
        <w:tc>
          <w:tcPr>
            <w:tcW w:w="633"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13BED9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ACB01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3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9CA4B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43"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30A33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总计</w:t>
            </w:r>
          </w:p>
        </w:tc>
        <w:tc>
          <w:tcPr>
            <w:tcW w:w="306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450F9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未经复议直接起诉</w:t>
            </w:r>
          </w:p>
        </w:tc>
        <w:tc>
          <w:tcPr>
            <w:tcW w:w="311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9DA85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复议后起诉</w:t>
            </w:r>
          </w:p>
        </w:tc>
      </w:tr>
      <w:tr w14:paraId="1F8FB6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1" w:hRule="atLeast"/>
          <w:jc w:val="center"/>
        </w:trPr>
        <w:tc>
          <w:tcPr>
            <w:tcW w:w="557"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F6E6EC6">
            <w:pPr>
              <w:jc w:val="both"/>
              <w:rPr>
                <w:rFonts w:hint="eastAsia" w:ascii="宋体"/>
                <w:sz w:val="24"/>
                <w:szCs w:val="24"/>
              </w:rPr>
            </w:pPr>
          </w:p>
        </w:tc>
        <w:tc>
          <w:tcPr>
            <w:tcW w:w="633"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5BEB3D83">
            <w:pPr>
              <w:jc w:val="both"/>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4F0EB8F">
            <w:pPr>
              <w:jc w:val="both"/>
              <w:rPr>
                <w:rFonts w:hint="eastAsia" w:ascii="宋体"/>
                <w:sz w:val="24"/>
                <w:szCs w:val="24"/>
              </w:rPr>
            </w:pPr>
          </w:p>
        </w:tc>
        <w:tc>
          <w:tcPr>
            <w:tcW w:w="63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B306BBA">
            <w:pPr>
              <w:jc w:val="both"/>
              <w:rPr>
                <w:rFonts w:hint="eastAsia" w:ascii="宋体"/>
                <w:sz w:val="24"/>
                <w:szCs w:val="24"/>
              </w:rPr>
            </w:pPr>
          </w:p>
        </w:tc>
        <w:tc>
          <w:tcPr>
            <w:tcW w:w="443"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1C021F8">
            <w:pPr>
              <w:jc w:val="both"/>
              <w:rPr>
                <w:rFonts w:hint="eastAsia" w:ascii="宋体"/>
                <w:sz w:val="24"/>
                <w:szCs w:val="24"/>
              </w:rPr>
            </w:pP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0C7CD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F5BA4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FCDD2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7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D15E1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EBBBE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000000"/>
                <w:kern w:val="0"/>
                <w:sz w:val="20"/>
                <w:szCs w:val="20"/>
                <w:lang w:val="en-US" w:eastAsia="zh-CN" w:bidi="ar"/>
              </w:rPr>
              <w:t>总计</w:t>
            </w:r>
          </w:p>
        </w:tc>
        <w:tc>
          <w:tcPr>
            <w:tcW w:w="71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949FA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7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E651A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C3A47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92B84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2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42BC0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eastAsia" w:ascii="宋体" w:hAnsi="宋体" w:eastAsia="宋体" w:cs="宋体"/>
                <w:color w:val="000000"/>
                <w:kern w:val="0"/>
                <w:sz w:val="20"/>
                <w:szCs w:val="20"/>
                <w:lang w:val="en-US" w:eastAsia="zh-CN" w:bidi="ar"/>
              </w:rPr>
              <w:t>总计</w:t>
            </w:r>
          </w:p>
        </w:tc>
      </w:tr>
      <w:tr w14:paraId="1F8F34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62" w:hRule="atLeast"/>
          <w:jc w:val="center"/>
        </w:trPr>
        <w:tc>
          <w:tcPr>
            <w:tcW w:w="55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83ECB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7E60A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FFFB7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3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AFC7E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95BE6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1"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8C96D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0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2D44F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7B1AD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20AB2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D4EC6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1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87944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9372A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6"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49B48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7"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B4CF5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both"/>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2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FF9C3EB">
            <w:pPr>
              <w:jc w:val="both"/>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14:paraId="077DD3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存在的主要问题及改进情况</w:t>
      </w:r>
    </w:p>
    <w:p w14:paraId="0F17BAE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存在的主要问题</w:t>
      </w:r>
    </w:p>
    <w:p w14:paraId="73FD0DE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1.政策解读形式有待丰富：</w:t>
      </w:r>
      <w:r>
        <w:rPr>
          <w:rFonts w:hint="eastAsia" w:ascii="仿宋_GB2312" w:hAnsi="仿宋_GB2312" w:eastAsia="仿宋_GB2312" w:cs="仿宋_GB2312"/>
          <w:b w:val="0"/>
          <w:bCs w:val="0"/>
          <w:sz w:val="32"/>
          <w:szCs w:val="32"/>
        </w:rPr>
        <w:t>目前政策解读多以文字形式为主，图表、动漫、视频等通俗易懂、喜闻乐见的解读形式运用不够，解读的亲和力、传播力有待提升。</w:t>
      </w:r>
    </w:p>
    <w:p w14:paraId="028ECA1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2.公开内容深度有待加强：</w:t>
      </w:r>
      <w:r>
        <w:rPr>
          <w:rFonts w:hint="eastAsia" w:ascii="仿宋_GB2312" w:hAnsi="仿宋_GB2312" w:eastAsia="仿宋_GB2312" w:cs="仿宋_GB2312"/>
          <w:b w:val="0"/>
          <w:bCs w:val="0"/>
          <w:sz w:val="32"/>
          <w:szCs w:val="32"/>
        </w:rPr>
        <w:t>在涉及群众切身利益的重大行政决策、重点项目实施过程等信息公开方面，公开的及时性和细节深度仍有提升空间，公众参与渠道和反馈机制需进一步优化。</w:t>
      </w:r>
    </w:p>
    <w:p w14:paraId="2A60383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3.基层公开能力有待提高：</w:t>
      </w:r>
      <w:r>
        <w:rPr>
          <w:rFonts w:hint="eastAsia" w:ascii="仿宋_GB2312" w:hAnsi="仿宋_GB2312" w:eastAsia="仿宋_GB2312" w:cs="仿宋_GB2312"/>
          <w:b w:val="0"/>
          <w:bCs w:val="0"/>
          <w:sz w:val="32"/>
          <w:szCs w:val="32"/>
        </w:rPr>
        <w:t>部分村级政务公开栏更新不够及时，内容不够规范，镇对村的业务指导和培训需常态化、精细化。</w:t>
      </w:r>
    </w:p>
    <w:p w14:paraId="51C5F19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0"/>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）改进情况</w:t>
      </w:r>
    </w:p>
    <w:p w14:paraId="54FE389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1.创新解读方式：</w:t>
      </w:r>
      <w:r>
        <w:rPr>
          <w:rFonts w:hint="eastAsia" w:ascii="仿宋_GB2312" w:hAnsi="仿宋_GB2312" w:eastAsia="仿宋_GB2312" w:cs="仿宋_GB2312"/>
          <w:b w:val="0"/>
          <w:bCs w:val="0"/>
          <w:sz w:val="32"/>
          <w:szCs w:val="32"/>
        </w:rPr>
        <w:t>2025年下半年开始，尝试对</w:t>
      </w:r>
      <w:r>
        <w:rPr>
          <w:rFonts w:hint="eastAsia" w:hAnsi="仿宋_GB2312" w:cs="仿宋_GB2312"/>
          <w:b w:val="0"/>
          <w:bCs w:val="0"/>
          <w:sz w:val="32"/>
          <w:szCs w:val="32"/>
          <w:lang w:val="en-US" w:eastAsia="zh-CN"/>
        </w:rPr>
        <w:t>惠民政策</w:t>
      </w:r>
      <w:r>
        <w:rPr>
          <w:rFonts w:hint="eastAsia" w:ascii="仿宋_GB2312" w:hAnsi="仿宋_GB2312" w:eastAsia="仿宋_GB2312" w:cs="仿宋_GB2312"/>
          <w:b w:val="0"/>
          <w:bCs w:val="0"/>
          <w:sz w:val="32"/>
          <w:szCs w:val="32"/>
        </w:rPr>
        <w:t>制作简单的短视频</w:t>
      </w:r>
      <w:r>
        <w:rPr>
          <w:rFonts w:hint="eastAsia" w:hAnsi="仿宋_GB2312" w:cs="仿宋_GB2312"/>
          <w:b w:val="0"/>
          <w:bCs w:val="0"/>
          <w:sz w:val="32"/>
          <w:szCs w:val="32"/>
          <w:lang w:val="en-US" w:eastAsia="zh-CN"/>
        </w:rPr>
        <w:t>和海报等进行解读</w:t>
      </w:r>
      <w:r>
        <w:rPr>
          <w:rFonts w:hint="eastAsia" w:ascii="仿宋_GB2312" w:hAnsi="仿宋_GB2312" w:eastAsia="仿宋_GB2312" w:cs="仿宋_GB2312"/>
          <w:b w:val="0"/>
          <w:bCs w:val="0"/>
          <w:sz w:val="32"/>
          <w:szCs w:val="32"/>
        </w:rPr>
        <w:t>，反响良好。2026年将制定政策解读提质计划，增加多元化解读产品供给。</w:t>
      </w:r>
    </w:p>
    <w:p w14:paraId="24E3704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2.深化重点领域公开：</w:t>
      </w:r>
      <w:r>
        <w:rPr>
          <w:rFonts w:hint="eastAsia" w:ascii="仿宋_GB2312" w:hAnsi="仿宋_GB2312" w:eastAsia="仿宋_GB2312" w:cs="仿宋_GB2312"/>
          <w:b w:val="0"/>
          <w:bCs w:val="0"/>
          <w:sz w:val="32"/>
          <w:szCs w:val="32"/>
        </w:rPr>
        <w:t>修订完善了《龙泉关镇重大行政决策公众参与程序规定》，明确要求在项目谋划、实施等关键节点，通过座谈会</w:t>
      </w:r>
      <w:r>
        <w:rPr>
          <w:rFonts w:hint="eastAsia" w:hAnsi="仿宋_GB2312" w:cs="仿宋_GB2312"/>
          <w:b w:val="0"/>
          <w:bCs w:val="0"/>
          <w:sz w:val="32"/>
          <w:szCs w:val="32"/>
          <w:lang w:eastAsia="zh-CN"/>
        </w:rPr>
        <w:t>、</w:t>
      </w:r>
      <w:r>
        <w:rPr>
          <w:rFonts w:hint="eastAsia" w:ascii="仿宋_GB2312" w:hAnsi="仿宋_GB2312" w:eastAsia="仿宋_GB2312" w:cs="仿宋_GB2312"/>
          <w:b w:val="0"/>
          <w:bCs w:val="0"/>
          <w:sz w:val="32"/>
          <w:szCs w:val="32"/>
        </w:rPr>
        <w:t>网络征集等多种形式公开信息、征集意见。</w:t>
      </w:r>
    </w:p>
    <w:p w14:paraId="61C43D2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3.夯实基层基础：</w:t>
      </w:r>
      <w:r>
        <w:rPr>
          <w:rFonts w:hint="eastAsia" w:ascii="仿宋_GB2312" w:hAnsi="仿宋_GB2312" w:eastAsia="仿宋_GB2312" w:cs="仿宋_GB2312"/>
          <w:b w:val="0"/>
          <w:bCs w:val="0"/>
          <w:sz w:val="32"/>
          <w:szCs w:val="32"/>
        </w:rPr>
        <w:t>已于2025年第四季度组织了一次全镇各村信息公开员业务培训，并建立了季度巡查通报制度。计划2026年每季度开展一次村级公开栏检查指导，推广使用统一模板。</w:t>
      </w:r>
    </w:p>
    <w:p w14:paraId="6A7CE9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val="0"/>
          <w:sz w:val="32"/>
          <w:szCs w:val="32"/>
        </w:rPr>
      </w:pPr>
      <w:r>
        <w:rPr>
          <w:rFonts w:hint="eastAsia" w:ascii="黑体" w:hAnsi="黑体" w:eastAsia="黑体" w:cs="黑体"/>
          <w:b w:val="0"/>
          <w:bCs w:val="0"/>
          <w:sz w:val="32"/>
          <w:szCs w:val="32"/>
        </w:rPr>
        <w:t>六、其他需要报告的事项</w:t>
      </w:r>
    </w:p>
    <w:p w14:paraId="3ABC04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sz w:val="32"/>
          <w:szCs w:val="32"/>
        </w:rPr>
        <w:t>我</w:t>
      </w:r>
      <w:r>
        <w:rPr>
          <w:rFonts w:hint="eastAsia" w:ascii="仿宋_GB2312" w:hAnsi="仿宋_GB2312" w:eastAsia="仿宋_GB2312" w:cs="仿宋_GB2312"/>
          <w:b w:val="0"/>
          <w:bCs w:val="0"/>
          <w:sz w:val="32"/>
          <w:szCs w:val="32"/>
          <w:lang w:eastAsia="zh-CN"/>
        </w:rPr>
        <w:t>单位</w:t>
      </w:r>
      <w:r>
        <w:rPr>
          <w:rFonts w:hint="eastAsia" w:ascii="仿宋_GB2312" w:hAnsi="仿宋_GB2312" w:eastAsia="仿宋_GB2312" w:cs="仿宋_GB2312"/>
          <w:b w:val="0"/>
          <w:bCs w:val="0"/>
          <w:sz w:val="32"/>
          <w:szCs w:val="32"/>
        </w:rPr>
        <w:t>认真贯彻执行国务院办公厅《政府信息公开信息处理费管理办法》和《关于政府信息公开处理费管理有关事项的通知》，</w:t>
      </w:r>
      <w:r>
        <w:rPr>
          <w:rFonts w:hint="eastAsia" w:ascii="仿宋_GB2312" w:hAnsi="仿宋_GB2312" w:eastAsia="仿宋_GB2312" w:cs="仿宋_GB2312"/>
          <w:b w:val="0"/>
          <w:bCs w:val="0"/>
          <w:sz w:val="32"/>
          <w:szCs w:val="32"/>
          <w:lang w:eastAsia="zh-CN"/>
        </w:rPr>
        <w:t>本年度</w:t>
      </w:r>
      <w:r>
        <w:rPr>
          <w:rFonts w:hint="eastAsia" w:ascii="仿宋_GB2312" w:hAnsi="仿宋_GB2312" w:eastAsia="仿宋_GB2312" w:cs="仿宋_GB2312"/>
          <w:b w:val="0"/>
          <w:bCs w:val="0"/>
          <w:sz w:val="32"/>
          <w:szCs w:val="32"/>
        </w:rPr>
        <w:t>未收取信息处理费。</w:t>
      </w:r>
    </w:p>
    <w:sectPr>
      <w:footerReference r:id="rId3" w:type="default"/>
      <w:pgSz w:w="11906" w:h="16838"/>
      <w:pgMar w:top="2041" w:right="1531" w:bottom="2041"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8"/>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E8F0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296868">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59296868">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DE0540"/>
    <w:rsid w:val="00E06057"/>
    <w:rsid w:val="00E212AC"/>
    <w:rsid w:val="00E41BBC"/>
    <w:rsid w:val="00E57F2A"/>
    <w:rsid w:val="00EA3ADC"/>
    <w:rsid w:val="00EF14E8"/>
    <w:rsid w:val="00F24E13"/>
    <w:rsid w:val="00FA6E92"/>
    <w:rsid w:val="00FC07B6"/>
    <w:rsid w:val="01285338"/>
    <w:rsid w:val="082D15E2"/>
    <w:rsid w:val="09813DFD"/>
    <w:rsid w:val="0B2121D5"/>
    <w:rsid w:val="0FF935DB"/>
    <w:rsid w:val="11B05C5A"/>
    <w:rsid w:val="15836008"/>
    <w:rsid w:val="1852701D"/>
    <w:rsid w:val="19DE11D5"/>
    <w:rsid w:val="1A0F4175"/>
    <w:rsid w:val="1EFC934B"/>
    <w:rsid w:val="238E43F5"/>
    <w:rsid w:val="23F630A6"/>
    <w:rsid w:val="24235BE6"/>
    <w:rsid w:val="26B33097"/>
    <w:rsid w:val="26B5A241"/>
    <w:rsid w:val="29477282"/>
    <w:rsid w:val="2E8A0E7B"/>
    <w:rsid w:val="33F65109"/>
    <w:rsid w:val="341765DF"/>
    <w:rsid w:val="34BC23AD"/>
    <w:rsid w:val="36692452"/>
    <w:rsid w:val="38CB1FBA"/>
    <w:rsid w:val="3945261F"/>
    <w:rsid w:val="3ADEDF92"/>
    <w:rsid w:val="3B214D37"/>
    <w:rsid w:val="3E5B229F"/>
    <w:rsid w:val="3EF585D3"/>
    <w:rsid w:val="3FAF05CC"/>
    <w:rsid w:val="3FFF3219"/>
    <w:rsid w:val="42F84FBB"/>
    <w:rsid w:val="43DA9812"/>
    <w:rsid w:val="4C926DD8"/>
    <w:rsid w:val="4D617EE6"/>
    <w:rsid w:val="4D870228"/>
    <w:rsid w:val="4E137BDD"/>
    <w:rsid w:val="53FFD66A"/>
    <w:rsid w:val="541E6540"/>
    <w:rsid w:val="571C05B0"/>
    <w:rsid w:val="5801110C"/>
    <w:rsid w:val="591A41F4"/>
    <w:rsid w:val="5A6F3991"/>
    <w:rsid w:val="5B5D1369"/>
    <w:rsid w:val="5D4F0FEF"/>
    <w:rsid w:val="5D8A083A"/>
    <w:rsid w:val="5FBD64F2"/>
    <w:rsid w:val="61022B79"/>
    <w:rsid w:val="64BB2F53"/>
    <w:rsid w:val="65E15017"/>
    <w:rsid w:val="67A3A7A5"/>
    <w:rsid w:val="68C13E1A"/>
    <w:rsid w:val="695D0560"/>
    <w:rsid w:val="69C937CA"/>
    <w:rsid w:val="6A8A12FF"/>
    <w:rsid w:val="6AFBAD5F"/>
    <w:rsid w:val="6FDF47DB"/>
    <w:rsid w:val="6FFF0CB4"/>
    <w:rsid w:val="71A62D78"/>
    <w:rsid w:val="72826491"/>
    <w:rsid w:val="72F868DA"/>
    <w:rsid w:val="74ED2BBE"/>
    <w:rsid w:val="764322DF"/>
    <w:rsid w:val="772F065A"/>
    <w:rsid w:val="77BB3DCB"/>
    <w:rsid w:val="77CFF03C"/>
    <w:rsid w:val="7B7CC9B3"/>
    <w:rsid w:val="7C1729DD"/>
    <w:rsid w:val="7D292759"/>
    <w:rsid w:val="7DDEB177"/>
    <w:rsid w:val="7DF756EB"/>
    <w:rsid w:val="7E2247C9"/>
    <w:rsid w:val="7ED53247"/>
    <w:rsid w:val="7EDDBA1E"/>
    <w:rsid w:val="7EFA1255"/>
    <w:rsid w:val="7FA76860"/>
    <w:rsid w:val="7FBF5690"/>
    <w:rsid w:val="7FC953CC"/>
    <w:rsid w:val="7FDF440F"/>
    <w:rsid w:val="7FE38852"/>
    <w:rsid w:val="8B9E95E9"/>
    <w:rsid w:val="92EC8D3F"/>
    <w:rsid w:val="9CEEDF49"/>
    <w:rsid w:val="A76EE464"/>
    <w:rsid w:val="B21D80AD"/>
    <w:rsid w:val="B45D9279"/>
    <w:rsid w:val="B7E7C1F0"/>
    <w:rsid w:val="BF6B13F6"/>
    <w:rsid w:val="BFF7D8B8"/>
    <w:rsid w:val="C3EEB8D0"/>
    <w:rsid w:val="CB7FA613"/>
    <w:rsid w:val="D37BBE9C"/>
    <w:rsid w:val="D4F38090"/>
    <w:rsid w:val="D99F8203"/>
    <w:rsid w:val="DACFF94B"/>
    <w:rsid w:val="DBF75DDE"/>
    <w:rsid w:val="DFC65336"/>
    <w:rsid w:val="E7FFFAFD"/>
    <w:rsid w:val="E9F54829"/>
    <w:rsid w:val="EAFFF69E"/>
    <w:rsid w:val="EDF7EABE"/>
    <w:rsid w:val="EF3E3C5F"/>
    <w:rsid w:val="EF77B124"/>
    <w:rsid w:val="EF7B5EE5"/>
    <w:rsid w:val="EFB618C8"/>
    <w:rsid w:val="EFFF7831"/>
    <w:rsid w:val="F75718EB"/>
    <w:rsid w:val="F7BEC138"/>
    <w:rsid w:val="F7DF081B"/>
    <w:rsid w:val="F7E52A64"/>
    <w:rsid w:val="F7FF2A12"/>
    <w:rsid w:val="F91E050A"/>
    <w:rsid w:val="FB17AA77"/>
    <w:rsid w:val="FB5D8DA7"/>
    <w:rsid w:val="FB6F83DF"/>
    <w:rsid w:val="FCBAD453"/>
    <w:rsid w:val="FCF3C5E7"/>
    <w:rsid w:val="FDEB3F1E"/>
    <w:rsid w:val="FF7AA915"/>
    <w:rsid w:val="FFBE5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TOC2"/>
    <w:basedOn w:val="1"/>
    <w:next w:val="1"/>
    <w:semiHidden/>
    <w:qFormat/>
    <w:uiPriority w:val="0"/>
    <w:pPr>
      <w:ind w:left="420" w:leftChars="200"/>
      <w:jc w:val="both"/>
      <w:textAlignment w:val="baseline"/>
    </w:pPr>
    <w:rPr>
      <w:rFonts w:ascii="Times New Roman" w:hAnsi="Times New Roman"/>
      <w:kern w:val="2"/>
      <w:sz w:val="21"/>
      <w:szCs w:val="21"/>
      <w:lang w:val="en-US" w:eastAsia="zh-CN" w:bidi="ar-SA"/>
    </w:rPr>
  </w:style>
  <w:style w:type="paragraph" w:styleId="3">
    <w:name w:val="Body Text Indent"/>
    <w:basedOn w:val="1"/>
    <w:next w:val="1"/>
    <w:unhideWhenUsed/>
    <w:qFormat/>
    <w:uiPriority w:val="99"/>
    <w:pPr>
      <w:widowControl w:val="0"/>
      <w:suppressAutoHyphens/>
      <w:bidi w:val="0"/>
      <w:spacing w:after="120"/>
      <w:ind w:left="420" w:leftChars="200"/>
      <w:jc w:val="both"/>
    </w:pPr>
    <w:rPr>
      <w:rFonts w:ascii="Calibri" w:hAnsi="Calibri" w:eastAsia="宋体" w:cs="Times New Roman"/>
      <w:color w:val="auto"/>
      <w:kern w:val="2"/>
      <w:sz w:val="21"/>
      <w:szCs w:val="24"/>
      <w:lang w:val="en-US" w:eastAsia="zh-CN" w:bidi="ar-SA"/>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paragraph" w:styleId="7">
    <w:name w:val="Body Text First Indent 2"/>
    <w:basedOn w:val="3"/>
    <w:unhideWhenUsed/>
    <w:qFormat/>
    <w:uiPriority w:val="99"/>
    <w:pPr>
      <w:widowControl w:val="0"/>
      <w:suppressAutoHyphens/>
      <w:bidi w:val="0"/>
      <w:spacing w:after="120"/>
      <w:ind w:left="420" w:leftChars="200" w:firstLine="420" w:firstLineChars="200"/>
      <w:jc w:val="both"/>
    </w:pPr>
    <w:rPr>
      <w:rFonts w:ascii="Calibri" w:hAnsi="Calibri" w:eastAsia="宋体" w:cs="Times New Roman"/>
      <w:color w:val="auto"/>
      <w:kern w:val="2"/>
      <w:sz w:val="21"/>
      <w:szCs w:val="24"/>
      <w:lang w:val="en-US" w:eastAsia="zh-CN" w:bidi="ar-SA"/>
    </w:rPr>
  </w:style>
  <w:style w:type="character" w:customStyle="1" w:styleId="10">
    <w:name w:val="页眉 Char"/>
    <w:basedOn w:val="9"/>
    <w:link w:val="5"/>
    <w:qFormat/>
    <w:uiPriority w:val="0"/>
    <w:rPr>
      <w:rFonts w:ascii="仿宋_GB2312" w:eastAsia="仿宋_GB2312"/>
      <w:kern w:val="2"/>
      <w:sz w:val="18"/>
      <w:szCs w:val="18"/>
    </w:rPr>
  </w:style>
  <w:style w:type="character" w:customStyle="1" w:styleId="11">
    <w:name w:val="页脚 Char"/>
    <w:basedOn w:val="9"/>
    <w:link w:val="4"/>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2642</Words>
  <Characters>2723</Characters>
  <Lines>25</Lines>
  <Paragraphs>7</Paragraphs>
  <TotalTime>17</TotalTime>
  <ScaleCrop>false</ScaleCrop>
  <LinksUpToDate>false</LinksUpToDate>
  <CharactersWithSpaces>2727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2020-01-03T11:38:00Z</dcterms:created>
  <dc:creator>小公举</dc:creator>
  <cp:lastModifiedBy>kylinos</cp:lastModifiedBy>
  <cp:lastPrinted>2026-01-24T14:52:00Z</cp:lastPrinted>
  <dcterms:modified xsi:type="dcterms:W3CDTF">2026-01-27T10:26:04Z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0D343DB0C5B74D169B1912DA96BA2E9B_13</vt:lpwstr>
  </property>
  <property fmtid="{D5CDD505-2E9C-101B-9397-08002B2CF9AE}" pid="4" name="KSOTemplateDocerSaveRecord">
    <vt:lpwstr>eyJoZGlkIjoiNzI3YWIyNzE3NjdiNjk1YTdiMjViMmJlZjkyMDhlZDYiLCJ1c2VySWQiOiI0MDExNDI5ODkifQ==</vt:lpwstr>
  </property>
</Properties>
</file>