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idowControl w:val="0"/>
        <w:spacing w:line="560" w:lineRule="exact"/>
        <w:jc w:val="center"/>
        <w:rPr>
          <w:rFonts w:hint="eastAsia" w:ascii="方正小标宋简体" w:hAnsi="宋体" w:eastAsia="方正小标宋简体"/>
          <w:spacing w:val="-6"/>
          <w:kern w:val="2"/>
          <w:sz w:val="44"/>
          <w:szCs w:val="44"/>
        </w:rPr>
      </w:pPr>
      <w:r>
        <w:rPr>
          <w:rFonts w:hint="eastAsia" w:ascii="方正小标宋简体" w:hAnsi="宋体" w:eastAsia="方正小标宋简体"/>
          <w:spacing w:val="-6"/>
          <w:kern w:val="2"/>
          <w:sz w:val="44"/>
          <w:szCs w:val="44"/>
        </w:rPr>
        <w:t>阜平县烟草制品零售点合理布局规定</w:t>
      </w:r>
    </w:p>
    <w:p>
      <w:pPr>
        <w:pStyle w:val="8"/>
        <w:widowControl w:val="0"/>
        <w:spacing w:line="560" w:lineRule="exact"/>
        <w:jc w:val="center"/>
        <w:rPr>
          <w:rFonts w:hint="eastAsia" w:ascii="方正小标宋简体" w:hAnsi="宋体" w:eastAsia="方正小标宋简体"/>
          <w:spacing w:val="-6"/>
          <w:kern w:val="2"/>
          <w:sz w:val="44"/>
          <w:szCs w:val="44"/>
          <w:lang w:eastAsia="zh-CN"/>
        </w:rPr>
      </w:pPr>
      <w:r>
        <w:rPr>
          <w:rFonts w:hint="eastAsia" w:ascii="方正小标宋简体" w:hAnsi="宋体" w:eastAsia="方正小标宋简体"/>
          <w:spacing w:val="-6"/>
          <w:kern w:val="2"/>
          <w:sz w:val="44"/>
          <w:szCs w:val="44"/>
          <w:lang w:eastAsia="zh-CN"/>
        </w:rPr>
        <w:t>（</w:t>
      </w:r>
      <w:r>
        <w:rPr>
          <w:rFonts w:hint="eastAsia" w:ascii="方正小标宋简体" w:hAnsi="宋体" w:eastAsia="方正小标宋简体"/>
          <w:spacing w:val="-6"/>
          <w:kern w:val="2"/>
          <w:sz w:val="44"/>
          <w:szCs w:val="44"/>
          <w:lang w:val="en-US" w:eastAsia="zh-CN"/>
        </w:rPr>
        <w:t>征求意见稿</w:t>
      </w:r>
      <w:r>
        <w:rPr>
          <w:rFonts w:hint="eastAsia" w:ascii="方正小标宋简体" w:hAnsi="宋体" w:eastAsia="方正小标宋简体"/>
          <w:spacing w:val="-6"/>
          <w:kern w:val="2"/>
          <w:sz w:val="44"/>
          <w:szCs w:val="44"/>
          <w:lang w:eastAsia="zh-CN"/>
        </w:rPr>
        <w:t>）</w:t>
      </w:r>
    </w:p>
    <w:p>
      <w:pPr>
        <w:pStyle w:val="8"/>
        <w:widowControl w:val="0"/>
        <w:spacing w:line="560" w:lineRule="exact"/>
        <w:jc w:val="left"/>
        <w:rPr>
          <w:rFonts w:ascii="仿宋_GB2312" w:hAnsi="宋体" w:eastAsia="仿宋_GB2312"/>
          <w:spacing w:val="-6"/>
          <w:kern w:val="2"/>
          <w:sz w:val="32"/>
        </w:rPr>
      </w:pPr>
      <w:r>
        <w:rPr>
          <w:rFonts w:ascii="仿宋_GB2312" w:hAnsi="宋体" w:eastAsia="仿宋_GB2312"/>
          <w:spacing w:val="-6"/>
          <w:kern w:val="2"/>
          <w:sz w:val="32"/>
        </w:rPr>
        <w:tab/>
      </w:r>
      <w:bookmarkStart w:id="1" w:name="_GoBack"/>
      <w:bookmarkEnd w:id="1"/>
    </w:p>
    <w:p>
      <w:pPr>
        <w:pStyle w:val="8"/>
        <w:widowControl w:val="0"/>
        <w:spacing w:line="560" w:lineRule="exact"/>
        <w:jc w:val="center"/>
        <w:outlineLvl w:val="0"/>
        <w:rPr>
          <w:rFonts w:ascii="黑体" w:hAnsi="黑体" w:eastAsia="黑体" w:cs="宋体"/>
          <w:b/>
          <w:bCs/>
          <w:spacing w:val="-6"/>
          <w:kern w:val="2"/>
          <w:sz w:val="32"/>
          <w:szCs w:val="32"/>
        </w:rPr>
      </w:pPr>
      <w:r>
        <w:rPr>
          <w:rFonts w:hint="eastAsia" w:ascii="黑体" w:hAnsi="黑体" w:eastAsia="黑体" w:cs="宋体"/>
          <w:b/>
          <w:bCs/>
          <w:spacing w:val="-6"/>
          <w:kern w:val="2"/>
          <w:sz w:val="32"/>
          <w:szCs w:val="32"/>
        </w:rPr>
        <w:t>第一章 总则</w:t>
      </w:r>
    </w:p>
    <w:p>
      <w:pPr>
        <w:pStyle w:val="8"/>
        <w:widowControl w:val="0"/>
        <w:spacing w:line="56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第一条</w:t>
      </w:r>
      <w:r>
        <w:rPr>
          <w:rFonts w:hint="eastAsia" w:ascii="仿宋" w:hAnsi="仿宋" w:eastAsia="仿宋" w:cs="宋体"/>
          <w:spacing w:val="-6"/>
          <w:kern w:val="2"/>
          <w:sz w:val="32"/>
          <w:szCs w:val="32"/>
        </w:rPr>
        <w:t xml:space="preserve"> 为加强烟草制品零售点布局管理，合理配置烟草市场资源，规范烟草制品零售市场经营秩序，保护烟草制品经营者、消费者和未成年人的合法权益，维护国家烟草专卖制度，促进烟草市场健康发展，根据《中华人民共和国行政许可法》《中华人民共和国未成年人保护法》《中华人民共和国烟草专卖法》《中华人民共和国烟草专卖法实施条例》《烟草专卖许可证管理办法》《烟草专卖许可证管理办法实施细则》等法律、法规、规章和相关规定，结合阜平县实际，制定本规定。</w:t>
      </w:r>
    </w:p>
    <w:p>
      <w:pPr>
        <w:pStyle w:val="8"/>
        <w:widowControl w:val="0"/>
        <w:ind w:firstLine="59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第二条</w:t>
      </w:r>
      <w:r>
        <w:rPr>
          <w:rFonts w:hint="eastAsia" w:ascii="仿宋" w:hAnsi="仿宋" w:eastAsia="仿宋" w:cs="宋体"/>
          <w:spacing w:val="-6"/>
          <w:kern w:val="2"/>
          <w:sz w:val="32"/>
          <w:szCs w:val="32"/>
        </w:rPr>
        <w:t xml:space="preserve"> 烟草制品零售点合理布局遵循依法依规、合理配置，公平、公正、公开，方便消费、服务社会的原则。</w:t>
      </w:r>
    </w:p>
    <w:p>
      <w:pPr>
        <w:pStyle w:val="8"/>
        <w:widowControl w:val="0"/>
        <w:ind w:firstLine="592"/>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第三条</w:t>
      </w:r>
      <w:r>
        <w:rPr>
          <w:rFonts w:hint="eastAsia" w:ascii="仿宋" w:hAnsi="仿宋" w:eastAsia="仿宋" w:cs="宋体"/>
          <w:spacing w:val="-6"/>
          <w:kern w:val="2"/>
          <w:sz w:val="32"/>
          <w:szCs w:val="32"/>
        </w:rPr>
        <w:t xml:space="preserve"> 本规定适用于阜平县行政区域范围内从事烟草制品零售业务的具有完全民事行为能力的公民、法人和其他组织。</w:t>
      </w:r>
    </w:p>
    <w:p>
      <w:pPr>
        <w:pStyle w:val="8"/>
        <w:widowControl w:val="0"/>
        <w:ind w:firstLine="592"/>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阜平县烟草专卖局实施烟草专卖零售许可应当遵循本规定，并进行有效监督管理。</w:t>
      </w:r>
    </w:p>
    <w:p>
      <w:pPr>
        <w:pStyle w:val="8"/>
        <w:widowControl w:val="0"/>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第四条</w:t>
      </w:r>
      <w:r>
        <w:rPr>
          <w:rFonts w:hint="eastAsia" w:ascii="仿宋" w:hAnsi="仿宋" w:eastAsia="仿宋" w:cs="宋体"/>
          <w:spacing w:val="-6"/>
          <w:kern w:val="2"/>
          <w:sz w:val="32"/>
          <w:szCs w:val="32"/>
        </w:rPr>
        <w:t xml:space="preserve"> 本规定所称烟草制品零售点（以下简称零售点）是指经公民、法人和其他组织依法申请取得烟草专卖零售许可证，从事烟草制品零售业务的经营场所。</w:t>
      </w:r>
    </w:p>
    <w:p>
      <w:pPr>
        <w:pStyle w:val="8"/>
        <w:widowControl w:val="0"/>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第五条</w:t>
      </w:r>
      <w:r>
        <w:rPr>
          <w:rFonts w:hint="eastAsia" w:ascii="仿宋" w:hAnsi="仿宋" w:eastAsia="仿宋" w:cs="宋体"/>
          <w:spacing w:val="-6"/>
          <w:kern w:val="2"/>
          <w:sz w:val="32"/>
          <w:szCs w:val="32"/>
        </w:rPr>
        <w:t xml:space="preserve"> 受理机关应当按照收到申请的先后顺序审查申请材料。两个或两个以上申请人提出申请，因合理布局规定所限，无法都准予行政许可的，应当对先受理的申请作出准予许可的决定。</w:t>
      </w:r>
    </w:p>
    <w:p>
      <w:pPr>
        <w:pStyle w:val="8"/>
        <w:widowControl w:val="0"/>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 xml:space="preserve">第六条 </w:t>
      </w:r>
      <w:r>
        <w:rPr>
          <w:rFonts w:hint="eastAsia" w:ascii="仿宋" w:hAnsi="仿宋" w:eastAsia="仿宋" w:cs="宋体"/>
          <w:spacing w:val="-6"/>
          <w:kern w:val="2"/>
          <w:sz w:val="32"/>
          <w:szCs w:val="32"/>
        </w:rPr>
        <w:t>烟草制品零售点合理布局实行动态管理。根据政策法规、经济发展、城市建设的变化，阜平县烟草专卖局可对局部区域零售点布局进行调整，并公告实施。</w:t>
      </w:r>
    </w:p>
    <w:p>
      <w:pPr>
        <w:pStyle w:val="8"/>
        <w:widowControl w:val="0"/>
        <w:jc w:val="center"/>
        <w:outlineLvl w:val="0"/>
        <w:rPr>
          <w:rFonts w:ascii="黑体" w:hAnsi="黑体" w:eastAsia="黑体" w:cs="宋体"/>
          <w:b/>
          <w:bCs/>
          <w:spacing w:val="-6"/>
          <w:kern w:val="2"/>
          <w:sz w:val="32"/>
          <w:szCs w:val="32"/>
        </w:rPr>
      </w:pPr>
      <w:r>
        <w:rPr>
          <w:rFonts w:hint="eastAsia" w:ascii="黑体" w:hAnsi="黑体" w:eastAsia="黑体" w:cs="宋体"/>
          <w:b/>
          <w:bCs/>
          <w:spacing w:val="-6"/>
          <w:kern w:val="2"/>
          <w:sz w:val="32"/>
          <w:szCs w:val="32"/>
        </w:rPr>
        <w:t>第二章 不予许可的情形</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第七条 </w:t>
      </w:r>
      <w:r>
        <w:rPr>
          <w:rFonts w:hint="eastAsia" w:ascii="仿宋" w:hAnsi="仿宋" w:eastAsia="仿宋" w:cs="宋体"/>
          <w:spacing w:val="-6"/>
          <w:sz w:val="32"/>
          <w:szCs w:val="32"/>
        </w:rPr>
        <w:t>具有下列情形之一的，不予设置零售点：</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（一）申请主体资格方面</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1.申请人为未成年人、限制民事行为能力人及无民事行为能力人的；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2.取消从事烟草专卖业务资格不满三年的；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3.因申请人隐瞒有关情况或者提供虚假材料，烟草专卖局作出不予受理或者不予发证决定后，申请人一年内再次提出申请的；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4.因申请人以欺骗、贿赂等不正当手段取得的烟草专卖许可证被撤销后，申请人三年内再次提出申请的；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5.未领取烟草专卖零售许可证经营烟草专卖品业务，并且一年内被执法机关处罚两次以上，在三年内申请烟草专卖零售许可证的；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6.未领取烟草专卖零售许可证经营烟草专卖品业务被追究刑事责任，在三年内申请领取烟草专卖零售许可证的；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7.外商投资的商业企业（包括中外合资企业、中外合作企业、外商独资企业、港澳台地区投资企业等）或者个体工商户。但以提供住宿、餐饮、休闲、娱乐为主要经营范围且烟草零售业态为娱乐服务类的宾馆、酒店等企业以及持有烟草专卖零售许可证的国有企业，按照国家关于发展混合所有制经济的要求，经国家有关部门批准为国有控股的混合所有制企业除外。</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（二）经营场所方面</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1.无固定经营场所的；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2.无与住所相独立的经营场所的；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3.经营场所基于安全因素不适宜经营烟草制品的；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4.容易诱导未成年人关注、购买、吸食烟草制品的经营场所；</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5.一个经营场所已经办理了烟草专卖零售许可证，且该许可证还在有效期内的；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6.明显不具备烟草制品展示的基本设施和条件的。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（三）经营模式方面</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1.利用自动售货机或者其他自动售货形式</w:t>
      </w:r>
      <w:r>
        <w:rPr>
          <w:rFonts w:hint="eastAsia" w:ascii="仿宋" w:hAnsi="仿宋" w:eastAsia="仿宋" w:cs="宋体"/>
          <w:color w:val="FF0000"/>
          <w:spacing w:val="-6"/>
          <w:sz w:val="32"/>
          <w:szCs w:val="32"/>
        </w:rPr>
        <w:t>，</w:t>
      </w:r>
      <w:r>
        <w:rPr>
          <w:rFonts w:hint="eastAsia" w:ascii="仿宋" w:hAnsi="仿宋" w:eastAsia="仿宋" w:cs="宋体"/>
          <w:spacing w:val="-6"/>
          <w:sz w:val="32"/>
          <w:szCs w:val="32"/>
        </w:rPr>
        <w:t>销售或者变相销售烟草制品的；</w:t>
      </w:r>
    </w:p>
    <w:p>
      <w:pPr>
        <w:ind w:firstLine="616" w:firstLineChars="200"/>
        <w:rPr>
          <w:rFonts w:ascii="仿宋" w:hAnsi="仿宋" w:eastAsia="仿宋" w:cs="宋体"/>
          <w:spacing w:val="-6"/>
          <w:sz w:val="32"/>
          <w:szCs w:val="32"/>
        </w:rPr>
      </w:pPr>
      <w:r>
        <w:rPr>
          <w:rFonts w:ascii="仿宋" w:hAnsi="仿宋" w:eastAsia="仿宋" w:cs="宋体"/>
          <w:spacing w:val="-6"/>
          <w:sz w:val="32"/>
          <w:szCs w:val="32"/>
        </w:rPr>
        <w:t>2</w:t>
      </w:r>
      <w:r>
        <w:rPr>
          <w:rFonts w:hint="eastAsia" w:ascii="仿宋" w:hAnsi="仿宋" w:eastAsia="仿宋" w:cs="宋体"/>
          <w:spacing w:val="-6"/>
          <w:sz w:val="32"/>
          <w:szCs w:val="32"/>
        </w:rPr>
        <w:t>.利用信息网络销</w:t>
      </w:r>
      <w:r>
        <w:rPr>
          <w:rFonts w:hint="eastAsia" w:ascii="仿宋" w:hAnsi="仿宋" w:eastAsia="仿宋" w:cs="宋体"/>
          <w:color w:val="000000" w:themeColor="text1"/>
          <w:spacing w:val="-6"/>
          <w:sz w:val="32"/>
          <w:szCs w:val="32"/>
        </w:rPr>
        <w:t>售烟草专卖品</w:t>
      </w:r>
      <w:r>
        <w:rPr>
          <w:rFonts w:hint="eastAsia" w:ascii="仿宋" w:hAnsi="仿宋" w:eastAsia="仿宋" w:cs="宋体"/>
          <w:spacing w:val="-6"/>
          <w:sz w:val="32"/>
          <w:szCs w:val="32"/>
        </w:rPr>
        <w:t>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（四）特殊区域方面</w:t>
      </w:r>
    </w:p>
    <w:p>
      <w:pPr>
        <w:ind w:firstLine="616" w:firstLineChars="200"/>
        <w:rPr>
          <w:rFonts w:ascii="仿宋" w:hAnsi="仿宋" w:eastAsia="仿宋" w:cs="宋体"/>
          <w:color w:val="FF0000"/>
          <w:spacing w:val="-6"/>
          <w:sz w:val="32"/>
          <w:szCs w:val="32"/>
        </w:rPr>
      </w:pPr>
      <w:r>
        <w:rPr>
          <w:rFonts w:hint="eastAsia" w:ascii="仿宋" w:hAnsi="仿宋" w:eastAsia="仿宋" w:cs="宋体"/>
          <w:spacing w:val="-6"/>
          <w:sz w:val="32"/>
          <w:szCs w:val="32"/>
        </w:rPr>
        <w:t>1.中小学校</w:t>
      </w:r>
      <w:r>
        <w:rPr>
          <w:rFonts w:hint="eastAsia" w:ascii="仿宋" w:hAnsi="仿宋" w:eastAsia="仿宋" w:cs="宋体"/>
          <w:color w:val="000000" w:themeColor="text1"/>
          <w:spacing w:val="-6"/>
          <w:sz w:val="32"/>
          <w:szCs w:val="32"/>
        </w:rPr>
        <w:t>、青少年宫内部</w:t>
      </w:r>
      <w:r>
        <w:rPr>
          <w:rFonts w:hint="eastAsia" w:ascii="仿宋" w:hAnsi="仿宋" w:eastAsia="仿宋" w:cs="宋体"/>
          <w:spacing w:val="-6"/>
          <w:sz w:val="32"/>
          <w:szCs w:val="32"/>
        </w:rPr>
        <w:t>及进出通道口100米范围以</w:t>
      </w:r>
      <w:r>
        <w:rPr>
          <w:rFonts w:hint="eastAsia" w:ascii="仿宋" w:hAnsi="仿宋" w:eastAsia="仿宋" w:cs="宋体"/>
          <w:color w:val="000000" w:themeColor="text1"/>
          <w:spacing w:val="-6"/>
          <w:sz w:val="32"/>
          <w:szCs w:val="32"/>
        </w:rPr>
        <w:t>内，幼儿园内部及进出通道口20米范围以内；</w:t>
      </w:r>
    </w:p>
    <w:p>
      <w:pPr>
        <w:ind w:firstLine="616" w:firstLineChars="200"/>
        <w:rPr>
          <w:rFonts w:ascii="仿宋" w:hAnsi="仿宋" w:eastAsia="仿宋" w:cs="宋体"/>
          <w:spacing w:val="-6"/>
          <w:sz w:val="32"/>
          <w:szCs w:val="32"/>
        </w:rPr>
      </w:pPr>
      <w:r>
        <w:rPr>
          <w:rFonts w:ascii="仿宋" w:hAnsi="仿宋" w:eastAsia="仿宋" w:cs="宋体"/>
          <w:spacing w:val="-6"/>
          <w:sz w:val="32"/>
          <w:szCs w:val="32"/>
        </w:rPr>
        <w:t>2</w:t>
      </w:r>
      <w:r>
        <w:rPr>
          <w:rFonts w:hint="eastAsia" w:ascii="仿宋" w:hAnsi="仿宋" w:eastAsia="仿宋" w:cs="宋体"/>
          <w:spacing w:val="-6"/>
          <w:sz w:val="32"/>
          <w:szCs w:val="32"/>
        </w:rPr>
        <w:t>.党政机关内部、医疗卫生机构所属区域内部；</w:t>
      </w:r>
    </w:p>
    <w:p>
      <w:pPr>
        <w:ind w:firstLine="616" w:firstLineChars="200"/>
        <w:rPr>
          <w:rFonts w:ascii="仿宋" w:hAnsi="仿宋" w:eastAsia="仿宋" w:cs="宋体"/>
          <w:spacing w:val="-6"/>
          <w:sz w:val="32"/>
          <w:szCs w:val="32"/>
        </w:rPr>
      </w:pPr>
      <w:r>
        <w:rPr>
          <w:rFonts w:ascii="仿宋" w:hAnsi="仿宋" w:eastAsia="仿宋" w:cs="宋体"/>
          <w:spacing w:val="-6"/>
          <w:sz w:val="32"/>
          <w:szCs w:val="32"/>
        </w:rPr>
        <w:t>3</w:t>
      </w:r>
      <w:r>
        <w:rPr>
          <w:rFonts w:hint="eastAsia" w:ascii="仿宋" w:hAnsi="仿宋" w:eastAsia="仿宋" w:cs="宋体"/>
          <w:spacing w:val="-6"/>
          <w:sz w:val="32"/>
          <w:szCs w:val="32"/>
        </w:rPr>
        <w:t>.已被政府纳入征收规划的区域、政府明令禁止办理烟草专卖零售许可证或经营烟草制品的区域，以及其他法律、法规、规章和规范性文件等规定禁止售烟的特殊区域。</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（五）不符合本烟草制品零售点合理布局相关规定的。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（六）其他不符合法律法规及国家烟草专卖局规定情形的。</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第八条 </w:t>
      </w:r>
      <w:r>
        <w:rPr>
          <w:rFonts w:hint="eastAsia" w:ascii="仿宋" w:hAnsi="仿宋" w:eastAsia="仿宋" w:cs="宋体"/>
          <w:spacing w:val="-6"/>
          <w:sz w:val="32"/>
          <w:szCs w:val="32"/>
        </w:rPr>
        <w:t>有下列情形之一的，烟草专卖零售许可证有效期届满后不予延续：</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1.经营场所基于安全因素不适宜经营烟草制品的；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2.位于中小学校、</w:t>
      </w:r>
      <w:r>
        <w:rPr>
          <w:rFonts w:hint="eastAsia" w:ascii="仿宋" w:hAnsi="仿宋" w:eastAsia="仿宋" w:cs="宋体"/>
          <w:color w:val="000000" w:themeColor="text1"/>
          <w:spacing w:val="-6"/>
          <w:sz w:val="32"/>
          <w:szCs w:val="32"/>
        </w:rPr>
        <w:t>青少年宫</w:t>
      </w:r>
      <w:r>
        <w:rPr>
          <w:rFonts w:hint="eastAsia" w:ascii="仿宋" w:hAnsi="仿宋" w:eastAsia="仿宋" w:cs="宋体"/>
          <w:spacing w:val="-6"/>
          <w:sz w:val="32"/>
          <w:szCs w:val="32"/>
        </w:rPr>
        <w:t>内部及进出通道口</w:t>
      </w:r>
      <w:r>
        <w:rPr>
          <w:rFonts w:ascii="仿宋" w:hAnsi="仿宋" w:eastAsia="仿宋" w:cs="宋体"/>
          <w:spacing w:val="-6"/>
          <w:sz w:val="32"/>
          <w:szCs w:val="32"/>
        </w:rPr>
        <w:t>100</w:t>
      </w:r>
      <w:r>
        <w:rPr>
          <w:rFonts w:hint="eastAsia" w:ascii="仿宋" w:hAnsi="仿宋" w:eastAsia="仿宋" w:cs="宋体"/>
          <w:spacing w:val="-6"/>
          <w:sz w:val="32"/>
          <w:szCs w:val="32"/>
        </w:rPr>
        <w:t>米范围以内，</w:t>
      </w:r>
      <w:r>
        <w:rPr>
          <w:rFonts w:hint="eastAsia" w:ascii="仿宋" w:hAnsi="仿宋" w:eastAsia="仿宋" w:cs="宋体"/>
          <w:color w:val="000000" w:themeColor="text1"/>
          <w:spacing w:val="-6"/>
          <w:sz w:val="32"/>
          <w:szCs w:val="32"/>
        </w:rPr>
        <w:t>幼儿园内部及进出通道口2</w:t>
      </w:r>
      <w:r>
        <w:rPr>
          <w:rFonts w:ascii="仿宋" w:hAnsi="仿宋" w:eastAsia="仿宋" w:cs="宋体"/>
          <w:color w:val="000000" w:themeColor="text1"/>
          <w:spacing w:val="-6"/>
          <w:sz w:val="32"/>
          <w:szCs w:val="32"/>
        </w:rPr>
        <w:t>0</w:t>
      </w:r>
      <w:r>
        <w:rPr>
          <w:rFonts w:hint="eastAsia" w:ascii="仿宋" w:hAnsi="仿宋" w:eastAsia="仿宋" w:cs="宋体"/>
          <w:color w:val="000000" w:themeColor="text1"/>
          <w:spacing w:val="-6"/>
          <w:sz w:val="32"/>
          <w:szCs w:val="32"/>
        </w:rPr>
        <w:t>米范围以内；</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3.经营主体发生变化的；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4.不再具备固定经营场所的；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5.经营场所不再与住所相独立的；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6.经营场所条件发生变化导致其既不符合取得许可时也不符合申请延续时的烟草制品零售点合理布局规定要求的；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7.非法生产经营烟草专卖品数额在5万元以上或者违法所得数额在2万元以上或者非法经营卷烟20万支以上，未被追究刑事责任的；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8.因非法生产经营烟草专卖品被追究刑事责任的；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9.买卖、出租、出借或者以其他形式非法转让烟草专卖许可证的；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10.被市场监管部门吊销营业执照的；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11.法律、法规、规章和国家烟草专卖局规定的其他情形。</w:t>
      </w:r>
    </w:p>
    <w:p>
      <w:pPr>
        <w:jc w:val="center"/>
        <w:outlineLvl w:val="0"/>
        <w:rPr>
          <w:rFonts w:ascii="黑体" w:hAnsi="黑体" w:eastAsia="黑体" w:cs="宋体"/>
          <w:b/>
          <w:bCs/>
          <w:spacing w:val="-6"/>
          <w:sz w:val="32"/>
          <w:szCs w:val="32"/>
        </w:rPr>
      </w:pPr>
      <w:r>
        <w:rPr>
          <w:rFonts w:hint="eastAsia" w:ascii="黑体" w:hAnsi="黑体" w:eastAsia="黑体" w:cs="宋体"/>
          <w:b/>
          <w:bCs/>
          <w:spacing w:val="-6"/>
          <w:sz w:val="32"/>
          <w:szCs w:val="32"/>
        </w:rPr>
        <w:t>第三章 布局标准</w:t>
      </w:r>
    </w:p>
    <w:p>
      <w:pPr>
        <w:pStyle w:val="8"/>
        <w:widowControl w:val="0"/>
        <w:ind w:firstLine="592"/>
        <w:jc w:val="left"/>
        <w:rPr>
          <w:rFonts w:ascii="仿宋" w:hAnsi="仿宋" w:eastAsia="仿宋" w:cs="宋体"/>
          <w:color w:val="000000" w:themeColor="text1"/>
          <w:spacing w:val="-6"/>
          <w:kern w:val="2"/>
          <w:sz w:val="32"/>
          <w:szCs w:val="32"/>
        </w:rPr>
      </w:pPr>
      <w:r>
        <w:rPr>
          <w:rFonts w:hint="eastAsia" w:ascii="仿宋" w:hAnsi="仿宋" w:eastAsia="仿宋" w:cs="宋体"/>
          <w:b/>
          <w:bCs/>
          <w:spacing w:val="-6"/>
          <w:kern w:val="2"/>
          <w:sz w:val="32"/>
          <w:szCs w:val="32"/>
        </w:rPr>
        <w:t xml:space="preserve">第九条 </w:t>
      </w:r>
      <w:r>
        <w:rPr>
          <w:rFonts w:hint="eastAsia" w:ascii="仿宋" w:hAnsi="仿宋" w:eastAsia="仿宋" w:cs="宋体"/>
          <w:color w:val="000000" w:themeColor="text1"/>
          <w:spacing w:val="-6"/>
          <w:kern w:val="2"/>
          <w:sz w:val="32"/>
          <w:szCs w:val="32"/>
        </w:rPr>
        <w:t>阜平县烟草专卖局结合五年来内零售点数量变化情况，将区域经济发展水平、人口数量变化、社会消费品需求状况、卷烟销售情况等作为参考因素，确定阜平县辖区内零售点合理容量指导数。</w:t>
      </w:r>
    </w:p>
    <w:p>
      <w:pPr>
        <w:pStyle w:val="8"/>
        <w:widowControl w:val="0"/>
        <w:ind w:firstLine="592"/>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当辖区零售点总量达到合理容量指导数，或者区域内零售点数量达到或超过所在区域数量上限的，不再设置新的零售点，待零售点数量减少至所在区域数量上限后，并按照“退一进一”原则实行动态管理。</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第十条  </w:t>
      </w:r>
      <w:r>
        <w:rPr>
          <w:rFonts w:hint="eastAsia" w:ascii="仿宋" w:hAnsi="仿宋" w:eastAsia="仿宋" w:cs="宋体"/>
          <w:spacing w:val="-6"/>
          <w:sz w:val="32"/>
          <w:szCs w:val="32"/>
        </w:rPr>
        <w:t>零售点设置的间距和数量规定：</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（一）城区</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1、城区主街，即东寺大街东（三官庙）红绿灯至中兴街西红绿灯，零售点的数量上限为45户，不设距离限制。</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2、城区副街，是指除城区主街以外的其他城区街道。各零售点的同侧和对侧间距均为80米以上。</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（二）农村</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考虑到经济发展水平和人口密度不同，将对下面区域执行不同的间距和数量标准：</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1.阜平镇除城区以外的行政村、平阳镇、王林口镇、城南庄镇各零售点的同侧和对侧间距均为8</w:t>
      </w:r>
      <w:r>
        <w:rPr>
          <w:rFonts w:ascii="仿宋" w:hAnsi="仿宋" w:eastAsia="仿宋" w:cs="宋体"/>
          <w:spacing w:val="-6"/>
          <w:sz w:val="32"/>
          <w:szCs w:val="32"/>
        </w:rPr>
        <w:t>0</w:t>
      </w:r>
      <w:r>
        <w:rPr>
          <w:rFonts w:hint="eastAsia" w:ascii="仿宋" w:hAnsi="仿宋" w:eastAsia="仿宋" w:cs="宋体"/>
          <w:spacing w:val="-6"/>
          <w:sz w:val="32"/>
          <w:szCs w:val="32"/>
        </w:rPr>
        <w:t>米以上，常住人口数量在220以内的允许设置1个零售点，常住人口数量每增加220可增设1个零售点（余数不足220的不予增设）。</w:t>
      </w:r>
    </w:p>
    <w:p>
      <w:pPr>
        <w:ind w:firstLine="616" w:firstLineChars="200"/>
        <w:rPr>
          <w:rFonts w:ascii="仿宋" w:hAnsi="仿宋" w:eastAsia="仿宋" w:cs="宋体"/>
          <w:spacing w:val="-6"/>
          <w:sz w:val="32"/>
          <w:szCs w:val="32"/>
        </w:rPr>
      </w:pPr>
      <w:r>
        <w:rPr>
          <w:rFonts w:ascii="仿宋" w:hAnsi="仿宋" w:eastAsia="仿宋" w:cs="宋体"/>
          <w:spacing w:val="-6"/>
          <w:sz w:val="32"/>
          <w:szCs w:val="32"/>
        </w:rPr>
        <w:t>2</w:t>
      </w:r>
      <w:r>
        <w:rPr>
          <w:rFonts w:hint="eastAsia" w:ascii="仿宋" w:hAnsi="仿宋" w:eastAsia="仿宋" w:cs="宋体"/>
          <w:spacing w:val="-6"/>
          <w:sz w:val="32"/>
          <w:szCs w:val="32"/>
        </w:rPr>
        <w:t>、剩余的其他9个乡镇采用总量控制，不设距离限制。常住人口数量在220以内的允许设置1个零售点，常住人口数量每增加220可增设1个零售点（余数不足220的不予增设）。</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在零售许可证有效期内，累计停业一年以上或连续六个月未订购卷烟的，不作为核发零售许可证时的间距测量的参照点。</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因道路规划、城市建设等客观原因导致行政村拆迁后</w:t>
      </w:r>
      <w:r>
        <w:rPr>
          <w:rFonts w:hint="eastAsia" w:ascii="仿宋" w:hAnsi="仿宋" w:eastAsia="仿宋" w:cs="黑体"/>
          <w:color w:val="000000" w:themeColor="text1"/>
          <w:spacing w:val="-6"/>
          <w:kern w:val="2"/>
          <w:sz w:val="32"/>
          <w:szCs w:val="32"/>
        </w:rPr>
        <w:t>回迁形成居民住宅区的</w:t>
      </w:r>
      <w:r>
        <w:rPr>
          <w:rFonts w:hint="eastAsia" w:ascii="仿宋" w:hAnsi="仿宋" w:eastAsia="仿宋" w:cs="宋体"/>
          <w:color w:val="000000" w:themeColor="text1"/>
          <w:spacing w:val="-6"/>
          <w:kern w:val="2"/>
          <w:sz w:val="32"/>
          <w:szCs w:val="32"/>
        </w:rPr>
        <w:t>，</w:t>
      </w:r>
      <w:r>
        <w:rPr>
          <w:rFonts w:hint="eastAsia" w:ascii="仿宋" w:hAnsi="仿宋" w:eastAsia="仿宋" w:cs="黑体"/>
          <w:color w:val="000000" w:themeColor="text1"/>
          <w:spacing w:val="-6"/>
          <w:kern w:val="2"/>
          <w:sz w:val="32"/>
          <w:szCs w:val="32"/>
        </w:rPr>
        <w:t>适用回迁后所在区域限制，不再适用行政村的间距和数量限制</w:t>
      </w:r>
      <w:r>
        <w:rPr>
          <w:rFonts w:hint="eastAsia" w:ascii="仿宋" w:hAnsi="仿宋" w:eastAsia="仿宋" w:cs="宋体"/>
          <w:color w:val="000000" w:themeColor="text1"/>
          <w:spacing w:val="-6"/>
          <w:kern w:val="2"/>
          <w:sz w:val="32"/>
          <w:szCs w:val="32"/>
        </w:rPr>
        <w:t>。</w:t>
      </w:r>
    </w:p>
    <w:p>
      <w:pPr>
        <w:pStyle w:val="8"/>
        <w:widowControl w:val="0"/>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第十一条</w:t>
      </w:r>
      <w:r>
        <w:rPr>
          <w:rFonts w:hint="eastAsia" w:ascii="仿宋" w:hAnsi="仿宋" w:eastAsia="仿宋" w:cs="宋体"/>
          <w:spacing w:val="-6"/>
          <w:kern w:val="2"/>
          <w:sz w:val="32"/>
          <w:szCs w:val="32"/>
        </w:rPr>
        <w:t>有下列情形之一的，不受本规定第十条的间距和数量限制：</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color w:val="000000" w:themeColor="text1"/>
          <w:spacing w:val="-6"/>
          <w:kern w:val="2"/>
          <w:sz w:val="32"/>
          <w:szCs w:val="32"/>
        </w:rPr>
        <w:t>（一）</w:t>
      </w:r>
      <w:r>
        <w:rPr>
          <w:rFonts w:hint="eastAsia" w:ascii="仿宋" w:hAnsi="仿宋" w:eastAsia="仿宋"/>
          <w:color w:val="000000" w:themeColor="text1"/>
          <w:sz w:val="32"/>
          <w:szCs w:val="32"/>
        </w:rPr>
        <w:t>设有独立吧台和卷烟展卖场所的实际经营使用面积在2000平方米以上的超市、饭店（仅提供餐饮服务的）、KTV、宾馆（提供餐饮、住宿的）等娱乐服务性场所，</w:t>
      </w:r>
      <w:r>
        <w:rPr>
          <w:rFonts w:hint="eastAsia" w:ascii="仿宋" w:hAnsi="仿宋" w:eastAsia="仿宋" w:cs="宋体"/>
          <w:color w:val="000000" w:themeColor="text1"/>
          <w:spacing w:val="-6"/>
          <w:kern w:val="2"/>
          <w:sz w:val="32"/>
          <w:szCs w:val="32"/>
        </w:rPr>
        <w:t>有需</w:t>
      </w:r>
      <w:r>
        <w:rPr>
          <w:rFonts w:hint="eastAsia" w:ascii="仿宋" w:hAnsi="仿宋" w:eastAsia="仿宋" w:cs="宋体"/>
          <w:spacing w:val="-6"/>
          <w:kern w:val="2"/>
          <w:sz w:val="32"/>
          <w:szCs w:val="32"/>
        </w:rPr>
        <w:t>要从事烟草制品零售业务的，可设置1个零售点；</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（二）位于城区内且实际经营使用面积在800平方米以上或者位于农村且实际经营使用面积在400平方米以上的超市、商场，有需要从事烟草制品零售业务的，可设置1个零售点；</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spacing w:val="-6"/>
          <w:kern w:val="2"/>
          <w:sz w:val="32"/>
          <w:szCs w:val="32"/>
        </w:rPr>
        <w:t>（三）</w:t>
      </w:r>
      <w:r>
        <w:rPr>
          <w:rFonts w:hint="eastAsia" w:ascii="仿宋" w:hAnsi="仿宋" w:eastAsia="仿宋" w:cs="宋体"/>
          <w:color w:val="000000" w:themeColor="text1"/>
          <w:spacing w:val="-6"/>
          <w:kern w:val="2"/>
          <w:sz w:val="32"/>
          <w:szCs w:val="32"/>
        </w:rPr>
        <w:t>批发市场、便民市场、菜市场等集贸市场内，根据集贸市场</w:t>
      </w:r>
      <w:r>
        <w:rPr>
          <w:rFonts w:hint="eastAsia" w:ascii="仿宋" w:hAnsi="仿宋" w:eastAsia="仿宋"/>
          <w:color w:val="000000" w:themeColor="text1"/>
          <w:sz w:val="32"/>
          <w:szCs w:val="32"/>
        </w:rPr>
        <w:t>实际经营使用面积</w:t>
      </w:r>
      <w:r>
        <w:rPr>
          <w:rFonts w:hint="eastAsia" w:ascii="仿宋" w:hAnsi="仿宋" w:eastAsia="仿宋" w:cs="宋体"/>
          <w:color w:val="000000" w:themeColor="text1"/>
          <w:spacing w:val="-6"/>
          <w:kern w:val="2"/>
          <w:sz w:val="32"/>
          <w:szCs w:val="32"/>
        </w:rPr>
        <w:t>设置零售点数量，且同一市场内各零售点间距不少于1</w:t>
      </w:r>
      <w:r>
        <w:rPr>
          <w:rFonts w:ascii="仿宋" w:hAnsi="仿宋" w:eastAsia="仿宋" w:cs="宋体"/>
          <w:color w:val="000000" w:themeColor="text1"/>
          <w:spacing w:val="-6"/>
          <w:kern w:val="2"/>
          <w:sz w:val="32"/>
          <w:szCs w:val="32"/>
        </w:rPr>
        <w:t>00</w:t>
      </w:r>
      <w:r>
        <w:rPr>
          <w:rFonts w:hint="eastAsia" w:ascii="仿宋" w:hAnsi="仿宋" w:eastAsia="仿宋" w:cs="宋体"/>
          <w:color w:val="000000" w:themeColor="text1"/>
          <w:spacing w:val="-6"/>
          <w:kern w:val="2"/>
          <w:sz w:val="32"/>
          <w:szCs w:val="32"/>
        </w:rPr>
        <w:t>米：</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1、</w:t>
      </w:r>
      <w:r>
        <w:rPr>
          <w:rFonts w:hint="eastAsia" w:ascii="仿宋" w:hAnsi="仿宋" w:eastAsia="仿宋"/>
          <w:color w:val="000000" w:themeColor="text1"/>
          <w:sz w:val="32"/>
          <w:szCs w:val="32"/>
        </w:rPr>
        <w:t>实际经营使用面积</w:t>
      </w:r>
      <w:r>
        <w:rPr>
          <w:rFonts w:hint="eastAsia" w:ascii="仿宋" w:hAnsi="仿宋" w:eastAsia="仿宋" w:cs="宋体"/>
          <w:color w:val="000000" w:themeColor="text1"/>
          <w:spacing w:val="-6"/>
          <w:kern w:val="2"/>
          <w:sz w:val="32"/>
          <w:szCs w:val="32"/>
        </w:rPr>
        <w:t>≤2000平方米，有需要从事烟草制品零售业务的，可设置1个零售点；</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2、2000平方米＜</w:t>
      </w:r>
      <w:r>
        <w:rPr>
          <w:rFonts w:hint="eastAsia" w:ascii="仿宋" w:hAnsi="仿宋" w:eastAsia="仿宋"/>
          <w:color w:val="000000" w:themeColor="text1"/>
          <w:sz w:val="32"/>
          <w:szCs w:val="32"/>
        </w:rPr>
        <w:t>实际经营使用面积</w:t>
      </w:r>
      <w:r>
        <w:rPr>
          <w:rFonts w:hint="eastAsia" w:ascii="仿宋" w:hAnsi="仿宋" w:eastAsia="仿宋" w:cs="宋体"/>
          <w:color w:val="000000" w:themeColor="text1"/>
          <w:spacing w:val="-6"/>
          <w:kern w:val="2"/>
          <w:sz w:val="32"/>
          <w:szCs w:val="32"/>
        </w:rPr>
        <w:t>≤1</w:t>
      </w:r>
      <w:r>
        <w:rPr>
          <w:rFonts w:ascii="仿宋" w:hAnsi="仿宋" w:eastAsia="仿宋" w:cs="宋体"/>
          <w:color w:val="000000" w:themeColor="text1"/>
          <w:spacing w:val="-6"/>
          <w:kern w:val="2"/>
          <w:sz w:val="32"/>
          <w:szCs w:val="32"/>
        </w:rPr>
        <w:t>0000</w:t>
      </w:r>
      <w:r>
        <w:rPr>
          <w:rFonts w:hint="eastAsia" w:ascii="仿宋" w:hAnsi="仿宋" w:eastAsia="仿宋" w:cs="宋体"/>
          <w:color w:val="000000" w:themeColor="text1"/>
          <w:spacing w:val="-6"/>
          <w:kern w:val="2"/>
          <w:sz w:val="32"/>
          <w:szCs w:val="32"/>
        </w:rPr>
        <w:t>平方米，有需要从事烟草制品零售业务的，可设置</w:t>
      </w:r>
      <w:r>
        <w:rPr>
          <w:rFonts w:ascii="仿宋" w:hAnsi="仿宋" w:eastAsia="仿宋" w:cs="宋体"/>
          <w:color w:val="000000" w:themeColor="text1"/>
          <w:spacing w:val="-6"/>
          <w:kern w:val="2"/>
          <w:sz w:val="32"/>
          <w:szCs w:val="32"/>
        </w:rPr>
        <w:t>2</w:t>
      </w:r>
      <w:r>
        <w:rPr>
          <w:rFonts w:hint="eastAsia" w:ascii="仿宋" w:hAnsi="仿宋" w:eastAsia="仿宋" w:cs="宋体"/>
          <w:color w:val="000000" w:themeColor="text1"/>
          <w:spacing w:val="-6"/>
          <w:kern w:val="2"/>
          <w:sz w:val="32"/>
          <w:szCs w:val="32"/>
        </w:rPr>
        <w:t>个零售点；</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3、</w:t>
      </w:r>
      <w:r>
        <w:rPr>
          <w:rFonts w:hint="eastAsia" w:ascii="仿宋" w:hAnsi="仿宋" w:eastAsia="仿宋"/>
          <w:color w:val="000000" w:themeColor="text1"/>
          <w:sz w:val="32"/>
          <w:szCs w:val="32"/>
        </w:rPr>
        <w:t>实际经营使用面积</w:t>
      </w:r>
      <w:r>
        <w:rPr>
          <w:rFonts w:hint="eastAsia" w:ascii="仿宋" w:hAnsi="仿宋" w:eastAsia="仿宋" w:cs="宋体"/>
          <w:color w:val="000000" w:themeColor="text1"/>
          <w:spacing w:val="-6"/>
          <w:kern w:val="2"/>
          <w:sz w:val="32"/>
          <w:szCs w:val="32"/>
        </w:rPr>
        <w:t>＞10000平方米，有需要从事烟草制品零售业务的，可设置</w:t>
      </w:r>
      <w:r>
        <w:rPr>
          <w:rFonts w:ascii="仿宋" w:hAnsi="仿宋" w:eastAsia="仿宋" w:cs="宋体"/>
          <w:color w:val="000000" w:themeColor="text1"/>
          <w:spacing w:val="-6"/>
          <w:kern w:val="2"/>
          <w:sz w:val="32"/>
          <w:szCs w:val="32"/>
        </w:rPr>
        <w:t>3</w:t>
      </w:r>
      <w:r>
        <w:rPr>
          <w:rFonts w:hint="eastAsia" w:ascii="仿宋" w:hAnsi="仿宋" w:eastAsia="仿宋" w:cs="宋体"/>
          <w:color w:val="000000" w:themeColor="text1"/>
          <w:spacing w:val="-6"/>
          <w:kern w:val="2"/>
          <w:sz w:val="32"/>
          <w:szCs w:val="32"/>
        </w:rPr>
        <w:t>个零售点。</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（四）火车站、汽车站、高速公路服务区等公共交通枢纽内部，有需要从事烟草制品零售业务的，可设置</w:t>
      </w:r>
      <w:r>
        <w:rPr>
          <w:rFonts w:ascii="仿宋" w:hAnsi="仿宋" w:eastAsia="仿宋" w:cs="宋体"/>
          <w:spacing w:val="-6"/>
          <w:kern w:val="2"/>
          <w:sz w:val="32"/>
          <w:szCs w:val="32"/>
        </w:rPr>
        <w:t>1</w:t>
      </w:r>
      <w:r>
        <w:rPr>
          <w:rFonts w:hint="eastAsia" w:ascii="仿宋" w:hAnsi="仿宋" w:eastAsia="仿宋" w:cs="宋体"/>
          <w:spacing w:val="-6"/>
          <w:kern w:val="2"/>
          <w:sz w:val="32"/>
          <w:szCs w:val="32"/>
        </w:rPr>
        <w:t>个零售点；</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（五）对外开放的科技园区、工业园区、物流园区内，有需要从事烟草制品零售业务的，可设置1个零售点；</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（六）景区（含云花溪谷等）内，有需要从事烟草制品零售业务的，可设置2个零售点，各零售点间距不少于</w:t>
      </w:r>
      <w:r>
        <w:rPr>
          <w:rFonts w:ascii="仿宋" w:hAnsi="仿宋" w:eastAsia="仿宋" w:cs="宋体"/>
          <w:spacing w:val="-6"/>
          <w:kern w:val="2"/>
          <w:sz w:val="32"/>
          <w:szCs w:val="32"/>
        </w:rPr>
        <w:t>50</w:t>
      </w:r>
      <w:r>
        <w:rPr>
          <w:rFonts w:hint="eastAsia" w:ascii="仿宋" w:hAnsi="仿宋" w:eastAsia="仿宋" w:cs="宋体"/>
          <w:spacing w:val="-6"/>
          <w:kern w:val="2"/>
          <w:sz w:val="32"/>
          <w:szCs w:val="32"/>
        </w:rPr>
        <w:t>米；</w:t>
      </w:r>
    </w:p>
    <w:p>
      <w:pPr>
        <w:pStyle w:val="8"/>
        <w:widowControl w:val="0"/>
        <w:ind w:firstLine="616" w:firstLineChars="200"/>
        <w:jc w:val="left"/>
        <w:rPr>
          <w:rFonts w:ascii="仿宋" w:hAnsi="仿宋" w:eastAsia="仿宋" w:cs="宋体"/>
          <w:spacing w:val="-6"/>
          <w:kern w:val="2"/>
          <w:sz w:val="32"/>
          <w:szCs w:val="32"/>
        </w:rPr>
      </w:pPr>
      <w:r>
        <w:rPr>
          <w:rFonts w:hint="eastAsia" w:ascii="仿宋" w:hAnsi="仿宋" w:eastAsia="仿宋" w:cs="宋体"/>
          <w:spacing w:val="-6"/>
          <w:kern w:val="2"/>
          <w:sz w:val="32"/>
          <w:szCs w:val="32"/>
        </w:rPr>
        <w:t>（七）以成年人为教育对象的高等学校，包括大学、学院、高等职业技术学校、高等专科学校、成人高考学校等，有需要从事烟草制品零售业务的，可设置1个零售点。</w:t>
      </w:r>
    </w:p>
    <w:p>
      <w:pPr>
        <w:pStyle w:val="8"/>
        <w:widowControl w:val="0"/>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以上区域内设置的零售点，不作为该区域外核发零售许可证时的间距、数量测量的参照点。</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第十二条 </w:t>
      </w:r>
      <w:r>
        <w:rPr>
          <w:rFonts w:hint="eastAsia" w:ascii="仿宋" w:hAnsi="仿宋" w:eastAsia="仿宋" w:cs="宋体"/>
          <w:spacing w:val="-6"/>
          <w:sz w:val="32"/>
          <w:szCs w:val="32"/>
        </w:rPr>
        <w:t>有下列情形之一的，不受第十条、第十一条的间距、数量限制：</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（一）按原零售点地址申领烟草专卖零售许可证的：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非家庭经营的持证个体工商户，因原持证人死亡或丧失民事行为能力，在烟草专卖零售许可证有效期内，原持证人配偶、父母、子女需在原经营地址继续经营的。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（二）因客观原因变更零售点地址，需变更或重新申领烟草专卖零售许可证的：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1.因道路规划、城市建设等客观原因造成无法在核定经营地址经营，持证人在烟草专卖零售许可证有效期内，首次主动变更到原发证机关辖区内的其他地址经营的；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2.本规定实施前设立或因客观情形变化造成经营场所位于中小学校、青少年宫、幼儿园周围（含内部）限制区域，持证人在烟草专卖零售许可证有效期内或本规定实施后六个月内，首次主动变更到原发证机关辖区内的其他地址经营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3.法律、法规、规章修改、废止，或者办理烟草专卖零售许可证所依据的客观情况发生重大变化的，为了公共利益的需要，持证人在烟草专卖零售许可证有效期内或本规定实施后六个月内，首次主动变更到原发证机关辖区内的其他地址经营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（三）国家明文规定给予政策扶持，经烟草专卖局集体研究，认定可以扶持照顾的对象。</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第十三条</w:t>
      </w:r>
      <w:r>
        <w:rPr>
          <w:rFonts w:hint="eastAsia" w:ascii="仿宋" w:hAnsi="仿宋" w:eastAsia="仿宋" w:cs="宋体"/>
          <w:spacing w:val="-6"/>
          <w:sz w:val="32"/>
          <w:szCs w:val="32"/>
        </w:rPr>
        <w:t xml:space="preserve"> 申请人为具有自主经营能力且未持有烟草专卖零售许可证的残疾人、烈士遗属等社会优抚对象的，受所在区域零售点数量限制，但在间距要求可放宽至零售点所在区域间距的50%。</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同一申请人在本行政区域范围内只能放宽一次，且营业执照登记类型仅限个体工商户。依据本条规定办理的烟草专卖零售许可证（营业执照组成形式仅限家庭经营），变更经营者（负责人）的，如新申请人不属于上述对象，不予许可。</w:t>
      </w:r>
    </w:p>
    <w:p>
      <w:pPr>
        <w:autoSpaceDN w:val="0"/>
        <w:ind w:firstLine="619" w:firstLineChars="200"/>
        <w:rPr>
          <w:rFonts w:ascii="仿宋" w:hAnsi="仿宋" w:eastAsia="仿宋" w:cs="仿宋"/>
          <w:color w:val="000000" w:themeColor="text1"/>
          <w:spacing w:val="-6"/>
          <w:sz w:val="32"/>
          <w:szCs w:val="32"/>
        </w:rPr>
      </w:pPr>
      <w:r>
        <w:rPr>
          <w:rFonts w:hint="eastAsia" w:ascii="仿宋" w:hAnsi="仿宋" w:eastAsia="仿宋" w:cs="宋体"/>
          <w:b/>
          <w:bCs/>
          <w:color w:val="000000" w:themeColor="text1"/>
          <w:spacing w:val="-6"/>
          <w:sz w:val="32"/>
          <w:szCs w:val="32"/>
        </w:rPr>
        <w:t>第十四条</w:t>
      </w:r>
      <w:r>
        <w:rPr>
          <w:rFonts w:hint="eastAsia" w:ascii="仿宋" w:hAnsi="仿宋" w:eastAsia="仿宋" w:cs="宋体"/>
          <w:b/>
          <w:bCs/>
          <w:color w:val="000000" w:themeColor="text1"/>
          <w:spacing w:val="-6"/>
          <w:sz w:val="32"/>
          <w:szCs w:val="32"/>
          <w:lang w:val="en-US" w:eastAsia="zh-CN"/>
        </w:rPr>
        <w:t xml:space="preserve"> </w:t>
      </w:r>
      <w:r>
        <w:rPr>
          <w:rFonts w:hint="eastAsia" w:ascii="仿宋" w:hAnsi="仿宋" w:eastAsia="仿宋" w:cs="仿宋"/>
          <w:color w:val="000000" w:themeColor="text1"/>
          <w:spacing w:val="-6"/>
          <w:sz w:val="32"/>
          <w:szCs w:val="32"/>
        </w:rPr>
        <w:t>烟草零售业态为娱乐服务类或其他类的零售点数量</w:t>
      </w:r>
      <w:r>
        <w:rPr>
          <w:rFonts w:hint="eastAsia" w:ascii="仿宋" w:hAnsi="仿宋" w:eastAsia="仿宋"/>
          <w:color w:val="000000" w:themeColor="text1"/>
          <w:sz w:val="32"/>
          <w:szCs w:val="32"/>
        </w:rPr>
        <w:t>不得超过辖区零售点总量</w:t>
      </w:r>
      <w:r>
        <w:rPr>
          <w:rFonts w:hint="eastAsia" w:ascii="仿宋" w:hAnsi="仿宋" w:eastAsia="仿宋" w:cs="仿宋"/>
          <w:color w:val="000000" w:themeColor="text1"/>
          <w:spacing w:val="-6"/>
          <w:sz w:val="32"/>
          <w:szCs w:val="32"/>
        </w:rPr>
        <w:t>的1%,且与其他零售点的同侧、对侧间距均不低于200米。</w:t>
      </w:r>
    </w:p>
    <w:p>
      <w:pPr>
        <w:ind w:firstLine="616" w:firstLineChars="200"/>
        <w:jc w:val="left"/>
        <w:rPr>
          <w:rFonts w:ascii="仿宋" w:eastAsia="仿宋" w:cs="宋体"/>
          <w:color w:val="000000" w:themeColor="text1"/>
          <w:spacing w:val="-6"/>
          <w:sz w:val="32"/>
          <w:szCs w:val="32"/>
          <w:highlight w:val="none"/>
        </w:rPr>
      </w:pPr>
      <w:r>
        <w:rPr>
          <w:rFonts w:hint="eastAsia" w:ascii="仿宋" w:eastAsia="仿宋" w:cs="仿宋"/>
          <w:color w:val="000000" w:themeColor="text1"/>
          <w:spacing w:val="-6"/>
          <w:sz w:val="32"/>
          <w:szCs w:val="32"/>
          <w:highlight w:val="none"/>
        </w:rPr>
        <w:t>以上业态类型的零售点数量达到或超过所占比例的，不再向此类零售点发放烟草专卖零售许可证</w:t>
      </w:r>
      <w:r>
        <w:rPr>
          <w:rFonts w:hint="eastAsia" w:ascii="仿宋" w:eastAsia="仿宋" w:cs="宋体"/>
          <w:color w:val="000000" w:themeColor="text1"/>
          <w:spacing w:val="-6"/>
          <w:sz w:val="32"/>
          <w:szCs w:val="32"/>
          <w:highlight w:val="none"/>
        </w:rPr>
        <w:t>。</w:t>
      </w:r>
    </w:p>
    <w:p>
      <w:pPr>
        <w:ind w:firstLine="619" w:firstLineChars="200"/>
        <w:rPr>
          <w:rFonts w:ascii="仿宋" w:hAnsi="仿宋" w:eastAsia="仿宋" w:cs="宋体"/>
          <w:b/>
          <w:bCs/>
          <w:spacing w:val="-6"/>
          <w:sz w:val="32"/>
          <w:szCs w:val="32"/>
        </w:rPr>
      </w:pPr>
      <w:r>
        <w:rPr>
          <w:rFonts w:hint="eastAsia" w:ascii="仿宋" w:hAnsi="仿宋" w:eastAsia="仿宋" w:cs="宋体"/>
          <w:b/>
          <w:bCs/>
          <w:spacing w:val="-6"/>
          <w:sz w:val="32"/>
          <w:szCs w:val="32"/>
        </w:rPr>
        <w:t xml:space="preserve">第十五条 </w:t>
      </w:r>
      <w:r>
        <w:rPr>
          <w:rFonts w:hint="eastAsia" w:ascii="仿宋" w:hAnsi="仿宋" w:eastAsia="仿宋" w:cs="仿宋"/>
          <w:spacing w:val="-6"/>
          <w:sz w:val="32"/>
          <w:szCs w:val="32"/>
        </w:rPr>
        <w:t>有下列情形之一的，不再新设零售点：</w:t>
      </w:r>
    </w:p>
    <w:p>
      <w:pPr>
        <w:pStyle w:val="8"/>
        <w:widowControl w:val="0"/>
        <w:spacing w:line="620" w:lineRule="exact"/>
        <w:ind w:firstLine="616" w:firstLineChars="200"/>
        <w:jc w:val="left"/>
        <w:rPr>
          <w:rFonts w:ascii="仿宋" w:hAnsi="仿宋" w:eastAsia="仿宋" w:cs="仿宋"/>
          <w:spacing w:val="-6"/>
          <w:kern w:val="2"/>
          <w:sz w:val="32"/>
          <w:szCs w:val="32"/>
        </w:rPr>
      </w:pPr>
      <w:r>
        <w:rPr>
          <w:rFonts w:hint="eastAsia" w:ascii="仿宋" w:hAnsi="仿宋" w:eastAsia="仿宋" w:cs="仿宋"/>
          <w:spacing w:val="-6"/>
          <w:kern w:val="2"/>
          <w:sz w:val="32"/>
          <w:szCs w:val="32"/>
        </w:rPr>
        <w:t>（一）中小学、青少年宫进出通道口周围100米至200米距离以内，幼儿园出入口周围20米至50米距离以内；</w:t>
      </w:r>
    </w:p>
    <w:p>
      <w:pPr>
        <w:pStyle w:val="8"/>
        <w:widowControl w:val="0"/>
        <w:spacing w:line="620" w:lineRule="exact"/>
        <w:ind w:firstLine="616" w:firstLineChars="200"/>
        <w:jc w:val="left"/>
        <w:rPr>
          <w:rFonts w:ascii="仿宋" w:hAnsi="仿宋" w:eastAsia="仿宋" w:cs="仿宋"/>
          <w:spacing w:val="-6"/>
          <w:kern w:val="2"/>
          <w:sz w:val="32"/>
          <w:szCs w:val="32"/>
        </w:rPr>
      </w:pPr>
      <w:r>
        <w:rPr>
          <w:rFonts w:hint="eastAsia" w:ascii="仿宋" w:hAnsi="仿宋" w:eastAsia="仿宋" w:cs="仿宋"/>
          <w:spacing w:val="-6"/>
          <w:kern w:val="2"/>
          <w:sz w:val="32"/>
          <w:szCs w:val="32"/>
        </w:rPr>
        <w:t>（二）住宅小区、写字楼（商用办公楼）内部；</w:t>
      </w:r>
    </w:p>
    <w:p>
      <w:pPr>
        <w:pStyle w:val="8"/>
        <w:widowControl w:val="0"/>
        <w:spacing w:line="620" w:lineRule="exact"/>
        <w:ind w:firstLine="616" w:firstLineChars="200"/>
        <w:jc w:val="left"/>
        <w:rPr>
          <w:rFonts w:ascii="仿宋" w:hAnsi="仿宋" w:eastAsia="仿宋" w:cs="仿宋"/>
          <w:spacing w:val="-6"/>
          <w:kern w:val="2"/>
          <w:sz w:val="32"/>
          <w:szCs w:val="32"/>
        </w:rPr>
      </w:pPr>
      <w:r>
        <w:rPr>
          <w:rFonts w:hint="eastAsia" w:ascii="仿宋" w:hAnsi="仿宋" w:eastAsia="仿宋" w:cs="仿宋"/>
          <w:spacing w:val="-6"/>
          <w:kern w:val="2"/>
          <w:sz w:val="32"/>
          <w:szCs w:val="32"/>
        </w:rPr>
        <w:t>（三）封闭式厂区、工业区内部；</w:t>
      </w:r>
    </w:p>
    <w:p>
      <w:pPr>
        <w:jc w:val="center"/>
        <w:outlineLvl w:val="0"/>
        <w:rPr>
          <w:rFonts w:ascii="黑体" w:hAnsi="黑体" w:eastAsia="黑体" w:cs="宋体"/>
          <w:b/>
          <w:bCs/>
          <w:spacing w:val="-6"/>
          <w:sz w:val="32"/>
          <w:szCs w:val="32"/>
        </w:rPr>
      </w:pPr>
      <w:r>
        <w:rPr>
          <w:rFonts w:hint="eastAsia" w:ascii="黑体" w:hAnsi="黑体" w:eastAsia="黑体" w:cs="宋体"/>
          <w:b/>
          <w:bCs/>
          <w:spacing w:val="-6"/>
          <w:sz w:val="32"/>
          <w:szCs w:val="32"/>
        </w:rPr>
        <w:t>第四章 附则</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第十六条</w:t>
      </w:r>
      <w:r>
        <w:rPr>
          <w:rFonts w:hint="eastAsia" w:ascii="仿宋" w:hAnsi="仿宋" w:eastAsia="仿宋" w:cs="宋体"/>
          <w:spacing w:val="-6"/>
          <w:kern w:val="2"/>
          <w:sz w:val="32"/>
          <w:szCs w:val="32"/>
        </w:rPr>
        <w:t xml:space="preserve"> 本规定中的“固定经营场所”，是指由砖、木、钢、土、混等材料建成的封闭且不可移动的合法建筑，不包含：流动性和季节性摊点（车、棚）、书报亭（电话亭、爱心亭）、违章建筑、简易板房（不包括政府规划的各类市场中，统一规划建设的彩钢房等）、集装箱屋、临时建筑物、危房、占用公共消防通道建设的、占用居民楼内公用巷道（楼梯间）作为对外营业窗口的等。</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第十七条 </w:t>
      </w:r>
      <w:r>
        <w:rPr>
          <w:rFonts w:hint="eastAsia" w:ascii="仿宋" w:hAnsi="仿宋" w:eastAsia="仿宋" w:cs="宋体"/>
          <w:color w:val="000000"/>
          <w:spacing w:val="-6"/>
          <w:sz w:val="32"/>
          <w:szCs w:val="32"/>
        </w:rPr>
        <w:t>本规定中的“与住所相独立”，是指经营场所与生活区域相独立，不与住所混同或相连，</w:t>
      </w:r>
      <w:r>
        <w:rPr>
          <w:rFonts w:hint="eastAsia" w:ascii="仿宋" w:hAnsi="仿宋" w:eastAsia="仿宋" w:cs="宋体"/>
          <w:spacing w:val="-6"/>
          <w:sz w:val="32"/>
          <w:szCs w:val="32"/>
        </w:rPr>
        <w:t>店铺处于完全开放状态，消费者和行政监管部门可不受限进出。不包</w:t>
      </w:r>
      <w:r>
        <w:rPr>
          <w:rFonts w:hint="eastAsia" w:ascii="仿宋" w:hAnsi="仿宋" w:eastAsia="仿宋" w:cs="宋体"/>
          <w:color w:val="000000"/>
          <w:spacing w:val="-6"/>
          <w:sz w:val="32"/>
          <w:szCs w:val="32"/>
        </w:rPr>
        <w:t>含：占用居民楼内公用巷道（楼梯间）作为对外营业窗口的。</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经营场所不能将生活区与经营区、仓储区完全隔离的，如：前后、左右、上下有门相通的隔间、阁楼、仓库、房间等，均视其为经营场所。货物仓库与经营门店相分离的，为经营场所附属仓库，应视为经营场所。</w:t>
      </w:r>
    </w:p>
    <w:p>
      <w:pPr>
        <w:ind w:firstLine="616" w:firstLineChars="200"/>
        <w:rPr>
          <w:rFonts w:ascii="仿宋" w:hAnsi="仿宋" w:eastAsia="仿宋" w:cs="宋体"/>
          <w:spacing w:val="-6"/>
          <w:sz w:val="32"/>
          <w:szCs w:val="32"/>
        </w:rPr>
      </w:pPr>
      <w:r>
        <w:rPr>
          <w:rFonts w:hint="eastAsia" w:ascii="仿宋" w:hAnsi="仿宋" w:eastAsia="仿宋" w:cs="宋体"/>
          <w:spacing w:val="-6"/>
          <w:sz w:val="32"/>
          <w:szCs w:val="32"/>
        </w:rPr>
        <w:t>申请人应在专卖执法人员进行实地核查时对仓储情况如实说明，并书面确认，接受烟草专卖局的监督检查，但仓储面积不计入实际经营场所面积。</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第十八条</w:t>
      </w:r>
      <w:r>
        <w:rPr>
          <w:rFonts w:hint="eastAsia" w:ascii="仿宋" w:hAnsi="仿宋" w:eastAsia="仿宋" w:cs="宋体"/>
          <w:spacing w:val="-6"/>
          <w:sz w:val="32"/>
          <w:szCs w:val="32"/>
        </w:rPr>
        <w:t xml:space="preserve"> 本规定中的“经营场所基于安全因素不适宜经营烟草制品的”，是指生产、经营、存储药品（含药水、药剂、农药、兽药等）、化工、化肥、油漆、机油、散装汽油、油墨、染发剂、鞭炮、燃气、液化气等有毒有害、易燃易爆、有腐蚀性、易挥发、有放射性、有强烈刺激性气味商品，不具备安全措施保障，不符合食品安全标准，容易造成烟草制品污染的经营场所，以及经营水产等环境潮湿，容易造成烟草制品霉坏变质的经营场</w:t>
      </w:r>
      <w:r>
        <w:rPr>
          <w:rFonts w:hint="eastAsia" w:ascii="仿宋" w:hAnsi="仿宋" w:eastAsia="仿宋" w:cs="宋体"/>
          <w:color w:val="000000" w:themeColor="text1"/>
          <w:spacing w:val="-6"/>
          <w:sz w:val="32"/>
          <w:szCs w:val="32"/>
        </w:rPr>
        <w:t>所。不存在安全隐患且符合其</w:t>
      </w:r>
      <w:r>
        <w:rPr>
          <w:rFonts w:hint="eastAsia" w:ascii="仿宋" w:hAnsi="仿宋" w:eastAsia="仿宋" w:cs="宋体"/>
          <w:spacing w:val="-6"/>
          <w:sz w:val="32"/>
          <w:szCs w:val="32"/>
        </w:rPr>
        <w:t>他法定办证条件的加油站便利店除外。</w:t>
      </w:r>
    </w:p>
    <w:p>
      <w:pPr>
        <w:ind w:firstLine="619" w:firstLineChars="200"/>
        <w:rPr>
          <w:rFonts w:ascii="仿宋" w:hAnsi="仿宋" w:eastAsia="仿宋" w:cs="宋体"/>
          <w:spacing w:val="-6"/>
          <w:sz w:val="32"/>
          <w:szCs w:val="32"/>
        </w:rPr>
      </w:pPr>
      <w:r>
        <w:rPr>
          <w:rFonts w:hint="eastAsia" w:ascii="仿宋" w:hAnsi="仿宋" w:eastAsia="仿宋" w:cs="宋体"/>
          <w:b/>
          <w:bCs/>
          <w:spacing w:val="-6"/>
          <w:sz w:val="32"/>
          <w:szCs w:val="32"/>
        </w:rPr>
        <w:t xml:space="preserve">第十九条 </w:t>
      </w:r>
      <w:r>
        <w:rPr>
          <w:rFonts w:hint="eastAsia" w:ascii="仿宋" w:hAnsi="仿宋" w:eastAsia="仿宋" w:cs="宋体"/>
          <w:spacing w:val="-6"/>
          <w:sz w:val="32"/>
          <w:szCs w:val="32"/>
        </w:rPr>
        <w:t>本规定中的“容易诱导未成年人关注、购买、吸食烟草制品的经营场所”，是指母婴用品、学生用品、文具、玩具、游乐场所等经营场所。</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 xml:space="preserve">第二十条 </w:t>
      </w:r>
      <w:r>
        <w:rPr>
          <w:rFonts w:hint="eastAsia" w:ascii="仿宋" w:hAnsi="仿宋" w:eastAsia="仿宋" w:cs="宋体"/>
          <w:spacing w:val="-6"/>
          <w:kern w:val="2"/>
          <w:sz w:val="32"/>
          <w:szCs w:val="32"/>
        </w:rPr>
        <w:t>本规定的“一个经营场所”，是指最小化经营场所。</w:t>
      </w:r>
    </w:p>
    <w:p>
      <w:pPr>
        <w:pStyle w:val="8"/>
        <w:widowControl w:val="0"/>
        <w:autoSpaceDN w:val="0"/>
        <w:spacing w:line="620" w:lineRule="exact"/>
        <w:ind w:firstLine="616" w:firstLineChars="200"/>
        <w:jc w:val="left"/>
        <w:rPr>
          <w:rFonts w:ascii="仿宋" w:hAnsi="仿宋" w:eastAsia="仿宋" w:cs="宋体"/>
          <w:color w:val="000000"/>
          <w:spacing w:val="-6"/>
          <w:kern w:val="2"/>
          <w:sz w:val="32"/>
          <w:szCs w:val="32"/>
        </w:rPr>
      </w:pPr>
      <w:r>
        <w:rPr>
          <w:rFonts w:hint="eastAsia" w:ascii="仿宋" w:hAnsi="仿宋" w:eastAsia="仿宋" w:cs="宋体"/>
          <w:spacing w:val="-6"/>
          <w:kern w:val="2"/>
          <w:sz w:val="32"/>
          <w:szCs w:val="32"/>
        </w:rPr>
        <w:t>经营场所的确定一般以营业执照上注册地址为准，营业执照</w:t>
      </w:r>
      <w:r>
        <w:rPr>
          <w:rFonts w:hint="eastAsia" w:ascii="仿宋" w:hAnsi="仿宋" w:eastAsia="仿宋" w:cs="宋体"/>
          <w:color w:val="000000"/>
          <w:spacing w:val="-6"/>
          <w:kern w:val="2"/>
          <w:sz w:val="32"/>
          <w:szCs w:val="32"/>
        </w:rPr>
        <w:t>注册地址模糊的，由专卖执法人员依据实地核查结果进行细化，申请人取得</w:t>
      </w:r>
      <w:bookmarkStart w:id="0" w:name="_Hlk131717047"/>
      <w:r>
        <w:rPr>
          <w:rFonts w:hint="eastAsia" w:ascii="仿宋" w:hAnsi="仿宋" w:eastAsia="仿宋" w:cs="宋体"/>
          <w:color w:val="000000"/>
          <w:spacing w:val="-6"/>
          <w:kern w:val="2"/>
          <w:sz w:val="32"/>
          <w:szCs w:val="32"/>
        </w:rPr>
        <w:t>许可后只允许在细化后的地址上依法开展经营</w:t>
      </w:r>
      <w:bookmarkEnd w:id="0"/>
      <w:r>
        <w:rPr>
          <w:rFonts w:hint="eastAsia" w:ascii="仿宋" w:hAnsi="仿宋" w:eastAsia="仿宋" w:cs="宋体"/>
          <w:color w:val="000000"/>
          <w:spacing w:val="-6"/>
          <w:kern w:val="2"/>
          <w:sz w:val="32"/>
          <w:szCs w:val="32"/>
        </w:rPr>
        <w:t>。</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第二十一条</w:t>
      </w:r>
      <w:r>
        <w:rPr>
          <w:rFonts w:hint="eastAsia" w:ascii="仿宋" w:hAnsi="仿宋" w:eastAsia="仿宋" w:cs="宋体"/>
          <w:spacing w:val="-6"/>
          <w:kern w:val="2"/>
          <w:sz w:val="32"/>
          <w:szCs w:val="32"/>
        </w:rPr>
        <w:t xml:space="preserve"> 本规定中的“明显不具备烟草制品展示的基本设施和条件”，是指申请设置零售点的经营场所内，未形成相对独立的、实际的商品展卖场所，不符合烟草制品零售的要求。</w:t>
      </w:r>
    </w:p>
    <w:p>
      <w:pPr>
        <w:pStyle w:val="8"/>
        <w:widowControl w:val="0"/>
        <w:spacing w:line="620" w:lineRule="exact"/>
        <w:ind w:firstLine="619" w:firstLineChars="200"/>
        <w:jc w:val="left"/>
        <w:rPr>
          <w:rFonts w:ascii="仿宋" w:hAnsi="仿宋" w:eastAsia="仿宋" w:cs="宋体"/>
          <w:color w:val="000000" w:themeColor="text1"/>
          <w:spacing w:val="-6"/>
          <w:kern w:val="2"/>
          <w:sz w:val="32"/>
          <w:szCs w:val="32"/>
        </w:rPr>
      </w:pPr>
      <w:r>
        <w:rPr>
          <w:rFonts w:hint="eastAsia" w:ascii="仿宋" w:hAnsi="仿宋" w:eastAsia="仿宋" w:cs="宋体"/>
          <w:b/>
          <w:bCs/>
          <w:spacing w:val="-6"/>
          <w:kern w:val="2"/>
          <w:sz w:val="32"/>
          <w:szCs w:val="32"/>
        </w:rPr>
        <w:t>第二十</w:t>
      </w:r>
      <w:r>
        <w:rPr>
          <w:rFonts w:hint="eastAsia" w:ascii="仿宋" w:hAnsi="仿宋" w:eastAsia="仿宋" w:cs="宋体"/>
          <w:b/>
          <w:bCs/>
          <w:spacing w:val="-6"/>
          <w:kern w:val="2"/>
          <w:sz w:val="32"/>
          <w:szCs w:val="32"/>
          <w:lang w:val="en-US" w:eastAsia="zh-CN"/>
        </w:rPr>
        <w:t>二</w:t>
      </w:r>
      <w:r>
        <w:rPr>
          <w:rFonts w:hint="eastAsia" w:ascii="仿宋" w:hAnsi="仿宋" w:eastAsia="仿宋" w:cs="宋体"/>
          <w:b/>
          <w:bCs/>
          <w:spacing w:val="-6"/>
          <w:kern w:val="2"/>
          <w:sz w:val="32"/>
          <w:szCs w:val="32"/>
        </w:rPr>
        <w:t>条</w:t>
      </w:r>
      <w:r>
        <w:rPr>
          <w:rFonts w:hint="eastAsia" w:ascii="仿宋" w:hAnsi="仿宋" w:eastAsia="仿宋" w:cs="宋体"/>
          <w:spacing w:val="-6"/>
          <w:kern w:val="2"/>
          <w:sz w:val="32"/>
          <w:szCs w:val="32"/>
        </w:rPr>
        <w:t xml:space="preserve"> 本规定中的“中小学校”是指以未成年人为教育对象，实施中等和初等教育的学校，包括普通中小学和其他以未成年人为教育对象的实施中等和初等教育的各类学校，如特殊教育学校、中等职业学校、专门</w:t>
      </w:r>
      <w:r>
        <w:rPr>
          <w:rFonts w:hint="eastAsia" w:ascii="仿宋" w:hAnsi="仿宋" w:eastAsia="仿宋" w:cs="宋体"/>
          <w:color w:val="000000" w:themeColor="text1"/>
          <w:spacing w:val="-6"/>
          <w:kern w:val="2"/>
          <w:sz w:val="32"/>
          <w:szCs w:val="32"/>
        </w:rPr>
        <w:t>学校等。本规定中的“幼儿园”是指经教育行政管理部门批准或备案的对学龄前幼儿实施教育的机构。进出通道口是指供各类人员进出校园的出口和入口，含正门、边门、侧门、专用消防通道等。</w:t>
      </w:r>
    </w:p>
    <w:p>
      <w:pPr>
        <w:pStyle w:val="8"/>
        <w:widowControl w:val="0"/>
        <w:spacing w:line="620" w:lineRule="exact"/>
        <w:ind w:firstLine="619" w:firstLineChars="200"/>
        <w:jc w:val="left"/>
        <w:rPr>
          <w:rFonts w:ascii="仿宋" w:hAnsi="仿宋" w:eastAsia="仿宋" w:cs="宋体"/>
          <w:color w:val="000000" w:themeColor="text1"/>
          <w:spacing w:val="-6"/>
          <w:kern w:val="2"/>
          <w:sz w:val="32"/>
          <w:szCs w:val="32"/>
        </w:rPr>
      </w:pPr>
      <w:r>
        <w:rPr>
          <w:rFonts w:hint="eastAsia" w:ascii="仿宋" w:hAnsi="仿宋" w:eastAsia="仿宋" w:cs="宋体"/>
          <w:b/>
          <w:bCs/>
          <w:color w:val="000000" w:themeColor="text1"/>
          <w:spacing w:val="-6"/>
          <w:kern w:val="2"/>
          <w:sz w:val="32"/>
          <w:szCs w:val="32"/>
        </w:rPr>
        <w:t>第二十</w:t>
      </w:r>
      <w:r>
        <w:rPr>
          <w:rFonts w:hint="eastAsia" w:ascii="仿宋" w:hAnsi="仿宋" w:eastAsia="仿宋" w:cs="宋体"/>
          <w:b/>
          <w:bCs/>
          <w:color w:val="000000" w:themeColor="text1"/>
          <w:spacing w:val="-6"/>
          <w:kern w:val="2"/>
          <w:sz w:val="32"/>
          <w:szCs w:val="32"/>
          <w:lang w:val="en-US" w:eastAsia="zh-CN"/>
        </w:rPr>
        <w:t>三</w:t>
      </w:r>
      <w:r>
        <w:rPr>
          <w:rFonts w:hint="eastAsia" w:ascii="仿宋" w:hAnsi="仿宋" w:eastAsia="仿宋" w:cs="宋体"/>
          <w:b/>
          <w:bCs/>
          <w:color w:val="000000" w:themeColor="text1"/>
          <w:spacing w:val="-6"/>
          <w:kern w:val="2"/>
          <w:sz w:val="32"/>
          <w:szCs w:val="32"/>
        </w:rPr>
        <w:t xml:space="preserve">条 </w:t>
      </w:r>
      <w:r>
        <w:rPr>
          <w:rFonts w:hint="eastAsia" w:ascii="仿宋" w:hAnsi="仿宋" w:eastAsia="仿宋" w:cs="宋体"/>
          <w:color w:val="000000" w:themeColor="text1"/>
          <w:spacing w:val="-6"/>
          <w:kern w:val="2"/>
          <w:sz w:val="32"/>
          <w:szCs w:val="32"/>
        </w:rPr>
        <w:t>间距测量相关释义：</w:t>
      </w:r>
    </w:p>
    <w:p>
      <w:pPr>
        <w:pStyle w:val="8"/>
        <w:widowControl w:val="0"/>
        <w:numPr>
          <w:ilvl w:val="0"/>
          <w:numId w:val="1"/>
        </w:numPr>
        <w:spacing w:line="620" w:lineRule="exact"/>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间距的测量标准，适用于申请办理烟草专卖零售许可证的经营场所（以下简称零售点）与最近的持证烟草制品零售点或中小学校、青少年宫、幼儿园（以下简称参照点）的间距测量。</w:t>
      </w:r>
    </w:p>
    <w:p>
      <w:pPr>
        <w:pStyle w:val="8"/>
        <w:widowControl w:val="0"/>
        <w:numPr>
          <w:ilvl w:val="0"/>
          <w:numId w:val="1"/>
        </w:numPr>
        <w:spacing w:line="620" w:lineRule="exact"/>
        <w:ind w:firstLine="616" w:firstLineChars="200"/>
        <w:jc w:val="left"/>
        <w:rPr>
          <w:rFonts w:ascii="仿宋" w:hAnsi="仿宋" w:eastAsia="仿宋" w:cs="宋体"/>
          <w:color w:val="000000" w:themeColor="text1"/>
          <w:spacing w:val="-6"/>
          <w:kern w:val="2"/>
          <w:sz w:val="32"/>
          <w:szCs w:val="32"/>
        </w:rPr>
      </w:pPr>
      <w:r>
        <w:rPr>
          <w:rFonts w:hint="eastAsia" w:ascii="仿宋" w:hAnsi="仿宋" w:eastAsia="仿宋" w:cs="宋体"/>
          <w:color w:val="000000" w:themeColor="text1"/>
          <w:spacing w:val="-6"/>
          <w:kern w:val="2"/>
          <w:sz w:val="32"/>
          <w:szCs w:val="32"/>
        </w:rPr>
        <w:t>间距的测量方法：按照申请点的店门边线与最近的参照点的店门或进出通道口边线之间的符合交通规则的可通行的最短距离进行测量。申请点或参照点有多个店门或进出通道口的，以距离最近的店门或进出通道口为基准点进行测量。</w:t>
      </w:r>
    </w:p>
    <w:p>
      <w:pPr>
        <w:pStyle w:val="8"/>
        <w:widowControl w:val="0"/>
        <w:spacing w:line="620" w:lineRule="exact"/>
        <w:ind w:firstLine="619" w:firstLineChars="200"/>
        <w:jc w:val="left"/>
        <w:rPr>
          <w:rFonts w:ascii="仿宋" w:eastAsia="仿宋" w:cs="仿宋"/>
          <w:color w:val="000000" w:themeColor="text1"/>
          <w:spacing w:val="-6"/>
          <w:kern w:val="2"/>
          <w:sz w:val="32"/>
          <w:szCs w:val="32"/>
        </w:rPr>
      </w:pPr>
      <w:r>
        <w:rPr>
          <w:rFonts w:hint="eastAsia" w:ascii="仿宋" w:hAnsi="仿宋" w:eastAsia="仿宋" w:cs="宋体"/>
          <w:b/>
          <w:bCs/>
          <w:spacing w:val="-6"/>
          <w:kern w:val="2"/>
          <w:sz w:val="32"/>
          <w:szCs w:val="32"/>
        </w:rPr>
        <w:t>第二十</w:t>
      </w:r>
      <w:r>
        <w:rPr>
          <w:rFonts w:hint="eastAsia" w:ascii="仿宋" w:hAnsi="仿宋" w:eastAsia="仿宋" w:cs="宋体"/>
          <w:b/>
          <w:bCs/>
          <w:spacing w:val="-6"/>
          <w:kern w:val="2"/>
          <w:sz w:val="32"/>
          <w:szCs w:val="32"/>
          <w:lang w:val="en-US" w:eastAsia="zh-CN"/>
        </w:rPr>
        <w:t>四</w:t>
      </w:r>
      <w:r>
        <w:rPr>
          <w:rFonts w:hint="eastAsia" w:ascii="仿宋" w:hAnsi="仿宋" w:eastAsia="仿宋" w:cs="宋体"/>
          <w:b/>
          <w:bCs/>
          <w:spacing w:val="-6"/>
          <w:kern w:val="2"/>
          <w:sz w:val="32"/>
          <w:szCs w:val="32"/>
        </w:rPr>
        <w:t xml:space="preserve">条  </w:t>
      </w:r>
      <w:r>
        <w:rPr>
          <w:rFonts w:hint="eastAsia" w:ascii="仿宋" w:eastAsia="仿宋" w:cs="仿宋"/>
          <w:color w:val="000000" w:themeColor="text1"/>
          <w:spacing w:val="-6"/>
          <w:kern w:val="2"/>
          <w:sz w:val="32"/>
          <w:szCs w:val="32"/>
        </w:rPr>
        <w:t>本规定第十二条第二项第2目的“限制距离”，是指中小学、青少年宫内部及进出通道口200米范围以内，幼儿园内部及进出通道口50米范围以内。</w:t>
      </w:r>
    </w:p>
    <w:p>
      <w:pPr>
        <w:pStyle w:val="8"/>
        <w:widowControl w:val="0"/>
        <w:spacing w:line="620" w:lineRule="exact"/>
        <w:ind w:firstLine="619" w:firstLineChars="200"/>
        <w:jc w:val="left"/>
        <w:rPr>
          <w:rFonts w:ascii="仿宋" w:eastAsia="仿宋" w:cs="仿宋"/>
          <w:color w:val="000000" w:themeColor="text1"/>
          <w:spacing w:val="-6"/>
          <w:kern w:val="2"/>
          <w:sz w:val="32"/>
          <w:szCs w:val="32"/>
        </w:rPr>
      </w:pPr>
      <w:r>
        <w:rPr>
          <w:rFonts w:hint="eastAsia" w:ascii="仿宋" w:hAnsi="仿宋" w:eastAsia="仿宋" w:cs="宋体"/>
          <w:b/>
          <w:bCs/>
          <w:spacing w:val="-6"/>
          <w:kern w:val="2"/>
          <w:sz w:val="32"/>
          <w:szCs w:val="32"/>
        </w:rPr>
        <w:t>第二十</w:t>
      </w:r>
      <w:r>
        <w:rPr>
          <w:rFonts w:hint="eastAsia" w:ascii="仿宋" w:hAnsi="仿宋" w:eastAsia="仿宋" w:cs="宋体"/>
          <w:b/>
          <w:bCs/>
          <w:spacing w:val="-6"/>
          <w:kern w:val="2"/>
          <w:sz w:val="32"/>
          <w:szCs w:val="32"/>
          <w:lang w:val="en-US" w:eastAsia="zh-CN"/>
        </w:rPr>
        <w:t>五</w:t>
      </w:r>
      <w:r>
        <w:rPr>
          <w:rFonts w:hint="eastAsia" w:ascii="仿宋" w:hAnsi="仿宋" w:eastAsia="仿宋" w:cs="宋体"/>
          <w:b/>
          <w:bCs/>
          <w:spacing w:val="-6"/>
          <w:kern w:val="2"/>
          <w:sz w:val="32"/>
          <w:szCs w:val="32"/>
        </w:rPr>
        <w:t>条</w:t>
      </w:r>
      <w:r>
        <w:rPr>
          <w:rFonts w:hint="eastAsia" w:ascii="仿宋" w:eastAsia="仿宋" w:cs="仿宋"/>
          <w:color w:val="000000" w:themeColor="text1"/>
          <w:spacing w:val="-6"/>
          <w:kern w:val="2"/>
          <w:sz w:val="32"/>
          <w:szCs w:val="32"/>
        </w:rPr>
        <w:t xml:space="preserve">  本规定中的“残疾人”，是指持有残联、军队等部门开具的合法有效证件（仅限一级、二级、三级）的残疾人，精神残疾、智力残疾除外。</w:t>
      </w:r>
    </w:p>
    <w:p>
      <w:pPr>
        <w:pStyle w:val="8"/>
        <w:widowControl w:val="0"/>
        <w:spacing w:line="620" w:lineRule="exact"/>
        <w:ind w:firstLine="616" w:firstLineChars="200"/>
        <w:jc w:val="left"/>
        <w:rPr>
          <w:rFonts w:ascii="仿宋" w:eastAsia="仿宋" w:cs="仿宋"/>
          <w:color w:val="000000" w:themeColor="text1"/>
          <w:spacing w:val="-6"/>
          <w:kern w:val="2"/>
          <w:sz w:val="32"/>
          <w:szCs w:val="32"/>
        </w:rPr>
      </w:pPr>
      <w:r>
        <w:rPr>
          <w:rFonts w:hint="eastAsia" w:ascii="仿宋" w:eastAsia="仿宋" w:cs="仿宋"/>
          <w:color w:val="000000" w:themeColor="text1"/>
          <w:spacing w:val="-6"/>
          <w:kern w:val="2"/>
          <w:sz w:val="32"/>
          <w:szCs w:val="32"/>
        </w:rPr>
        <w:t>本规定中的“烈士遗属”，是指持有民政等部门颁发的合法有效证件的烈士的父母、配偶、子女。</w:t>
      </w:r>
    </w:p>
    <w:p>
      <w:pPr>
        <w:autoSpaceDN w:val="0"/>
        <w:ind w:firstLine="619" w:firstLineChars="200"/>
        <w:rPr>
          <w:rFonts w:ascii="仿宋" w:eastAsia="仿宋" w:cs="仿宋"/>
          <w:color w:val="000000" w:themeColor="text1"/>
          <w:spacing w:val="-6"/>
          <w:sz w:val="32"/>
          <w:szCs w:val="32"/>
        </w:rPr>
      </w:pPr>
      <w:r>
        <w:rPr>
          <w:rFonts w:hint="eastAsia" w:ascii="仿宋" w:hAnsi="仿宋" w:eastAsia="仿宋" w:cs="宋体"/>
          <w:b/>
          <w:bCs/>
          <w:spacing w:val="-6"/>
          <w:kern w:val="2"/>
          <w:sz w:val="32"/>
          <w:szCs w:val="32"/>
          <w:lang w:val="en-US" w:eastAsia="zh-CN" w:bidi="ar-SA"/>
        </w:rPr>
        <w:t>第二十六条</w:t>
      </w:r>
      <w:r>
        <w:rPr>
          <w:rFonts w:hint="eastAsia" w:ascii="仿宋" w:eastAsia="仿宋" w:cs="仿宋"/>
          <w:color w:val="000000" w:themeColor="text1"/>
          <w:spacing w:val="-6"/>
          <w:sz w:val="32"/>
          <w:szCs w:val="32"/>
        </w:rPr>
        <w:t xml:space="preserve"> 本规定中的“娱乐服务类”，是指以提供住宿、餐饮、休闲、娱乐等服务为主，带有烟草制品零售性质的业态，包括：宾馆（酒店）、餐馆、茶馆、咖啡店、酒吧网吧、游戏厅、歌舞厅、棋牌室、彩票站、洗浴中心、足疗保健按摩、台球厅、电影院等。</w:t>
      </w:r>
    </w:p>
    <w:p>
      <w:pPr>
        <w:autoSpaceDN w:val="0"/>
        <w:ind w:firstLine="616" w:firstLineChars="200"/>
        <w:rPr>
          <w:rFonts w:ascii="仿宋" w:eastAsia="仿宋" w:cs="仿宋"/>
          <w:color w:val="000000" w:themeColor="text1"/>
          <w:spacing w:val="-6"/>
          <w:sz w:val="32"/>
          <w:szCs w:val="32"/>
        </w:rPr>
      </w:pPr>
      <w:r>
        <w:rPr>
          <w:rFonts w:hint="eastAsia" w:ascii="仿宋" w:eastAsia="仿宋" w:cs="仿宋"/>
          <w:color w:val="000000" w:themeColor="text1"/>
          <w:spacing w:val="-6"/>
          <w:sz w:val="32"/>
          <w:szCs w:val="32"/>
        </w:rPr>
        <w:t>本规定中的“其他类”，是指不能归入便利店、烟草专业店、超市、商场、娱乐服务类的其他零售或服务业态，包括：通信器材、电子音像、汽车销售、汽车服务、修理修配、美容美甲美发、药妆医械、化妆洗涤、文化体育、传真打印、五金建材、装修装饰、家电家具、床上用品、服饰鞋帽、金银珠宝、寄递配送、中介劳服、寄卖典当、金融证券、仪器仪表、农具农资、农畜养殖、农副产品、照相馆、宠物店、渔具店、旅行社、蛋糕店等。</w:t>
      </w:r>
    </w:p>
    <w:p>
      <w:pPr>
        <w:pStyle w:val="8"/>
        <w:widowControl w:val="0"/>
        <w:autoSpaceDN w:val="0"/>
        <w:spacing w:line="620" w:lineRule="exact"/>
        <w:ind w:firstLine="619" w:firstLineChars="200"/>
        <w:jc w:val="left"/>
        <w:rPr>
          <w:rFonts w:ascii="仿宋" w:hAnsi="仿宋" w:eastAsia="仿宋" w:cs="仿宋"/>
          <w:color w:val="000000" w:themeColor="text1"/>
          <w:spacing w:val="-6"/>
          <w:kern w:val="2"/>
          <w:sz w:val="32"/>
          <w:szCs w:val="32"/>
        </w:rPr>
      </w:pPr>
      <w:r>
        <w:rPr>
          <w:rFonts w:hint="eastAsia" w:ascii="仿宋" w:hAnsi="仿宋" w:eastAsia="仿宋" w:cs="仿宋"/>
          <w:b/>
          <w:bCs/>
          <w:spacing w:val="-6"/>
          <w:kern w:val="2"/>
          <w:sz w:val="32"/>
          <w:szCs w:val="32"/>
        </w:rPr>
        <w:t>第二十</w:t>
      </w:r>
      <w:r>
        <w:rPr>
          <w:rFonts w:hint="eastAsia" w:ascii="仿宋" w:hAnsi="仿宋" w:eastAsia="仿宋" w:cs="仿宋"/>
          <w:b/>
          <w:bCs/>
          <w:spacing w:val="-6"/>
          <w:kern w:val="2"/>
          <w:sz w:val="32"/>
          <w:szCs w:val="32"/>
          <w:lang w:val="en-US" w:eastAsia="zh-CN"/>
        </w:rPr>
        <w:t>七</w:t>
      </w:r>
      <w:r>
        <w:rPr>
          <w:rFonts w:hint="eastAsia" w:ascii="仿宋" w:hAnsi="仿宋" w:eastAsia="仿宋" w:cs="仿宋"/>
          <w:b/>
          <w:bCs/>
          <w:spacing w:val="-6"/>
          <w:kern w:val="2"/>
          <w:sz w:val="32"/>
          <w:szCs w:val="32"/>
        </w:rPr>
        <w:t xml:space="preserve">条 </w:t>
      </w:r>
      <w:r>
        <w:rPr>
          <w:rFonts w:hint="eastAsia" w:ascii="仿宋" w:hAnsi="仿宋" w:eastAsia="仿宋" w:cs="仿宋"/>
          <w:color w:val="000000" w:themeColor="text1"/>
          <w:spacing w:val="-6"/>
          <w:kern w:val="2"/>
          <w:sz w:val="32"/>
          <w:szCs w:val="32"/>
        </w:rPr>
        <w:t>本规定中的“零售点总量”以年末专卖管理信息系统中有效持证户总量为准，由阜平县烟草专卖局于次年1月31日前进行公示。</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color w:val="000000" w:themeColor="text1"/>
          <w:spacing w:val="-6"/>
          <w:kern w:val="2"/>
          <w:sz w:val="32"/>
          <w:szCs w:val="32"/>
        </w:rPr>
        <w:t>第二十</w:t>
      </w:r>
      <w:r>
        <w:rPr>
          <w:rFonts w:hint="eastAsia" w:ascii="仿宋" w:hAnsi="仿宋" w:eastAsia="仿宋" w:cs="宋体"/>
          <w:b/>
          <w:bCs/>
          <w:color w:val="000000" w:themeColor="text1"/>
          <w:spacing w:val="-6"/>
          <w:kern w:val="2"/>
          <w:sz w:val="32"/>
          <w:szCs w:val="32"/>
          <w:lang w:val="en-US" w:eastAsia="zh-CN"/>
        </w:rPr>
        <w:t>八</w:t>
      </w:r>
      <w:r>
        <w:rPr>
          <w:rFonts w:hint="eastAsia" w:ascii="仿宋" w:hAnsi="仿宋" w:eastAsia="仿宋" w:cs="宋体"/>
          <w:b/>
          <w:bCs/>
          <w:color w:val="000000" w:themeColor="text1"/>
          <w:spacing w:val="-6"/>
          <w:kern w:val="2"/>
          <w:sz w:val="32"/>
          <w:szCs w:val="32"/>
        </w:rPr>
        <w:t>条</w:t>
      </w:r>
      <w:r>
        <w:rPr>
          <w:rFonts w:hint="eastAsia" w:ascii="仿宋" w:hAnsi="仿宋" w:eastAsia="仿宋" w:cs="宋体"/>
          <w:color w:val="000000" w:themeColor="text1"/>
          <w:spacing w:val="-6"/>
          <w:kern w:val="2"/>
          <w:sz w:val="32"/>
          <w:szCs w:val="32"/>
        </w:rPr>
        <w:t xml:space="preserve"> 本规定</w:t>
      </w:r>
      <w:r>
        <w:rPr>
          <w:rFonts w:hint="eastAsia" w:ascii="仿宋" w:hAnsi="仿宋" w:eastAsia="仿宋" w:cs="宋体"/>
          <w:spacing w:val="-6"/>
          <w:kern w:val="2"/>
          <w:sz w:val="32"/>
          <w:szCs w:val="32"/>
        </w:rPr>
        <w:t>中所指“以内”、“以上”均包含本数。</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w:t>
      </w:r>
      <w:r>
        <w:rPr>
          <w:rFonts w:hint="eastAsia" w:ascii="仿宋" w:hAnsi="仿宋" w:eastAsia="仿宋" w:cs="宋体"/>
          <w:b/>
          <w:bCs/>
          <w:spacing w:val="-6"/>
          <w:kern w:val="2"/>
          <w:sz w:val="32"/>
          <w:szCs w:val="32"/>
          <w:lang w:val="en-US" w:eastAsia="zh-CN"/>
        </w:rPr>
        <w:t>二十九</w:t>
      </w:r>
      <w:r>
        <w:rPr>
          <w:rFonts w:hint="eastAsia" w:ascii="仿宋" w:hAnsi="仿宋" w:eastAsia="仿宋" w:cs="宋体"/>
          <w:b/>
          <w:bCs/>
          <w:spacing w:val="-6"/>
          <w:kern w:val="2"/>
          <w:sz w:val="32"/>
          <w:szCs w:val="32"/>
        </w:rPr>
        <w:t xml:space="preserve">条 </w:t>
      </w:r>
      <w:r>
        <w:rPr>
          <w:rFonts w:hint="eastAsia" w:ascii="仿宋" w:hAnsi="仿宋" w:eastAsia="仿宋" w:cs="宋体"/>
          <w:spacing w:val="-6"/>
          <w:kern w:val="2"/>
          <w:sz w:val="32"/>
          <w:szCs w:val="32"/>
        </w:rPr>
        <w:t>本规定未尽事宜，遵照《中华人民共和国烟草专卖法》《中华人民共和国烟草专卖法实施条例》《烟草专卖许可证管理办法》《烟草专卖许可证管理办法实施细则》等相关规定执行。</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 xml:space="preserve">第三十条 </w:t>
      </w:r>
      <w:r>
        <w:rPr>
          <w:rFonts w:hint="eastAsia" w:ascii="仿宋" w:hAnsi="仿宋" w:eastAsia="仿宋" w:cs="宋体"/>
          <w:spacing w:val="-6"/>
          <w:kern w:val="2"/>
          <w:sz w:val="32"/>
          <w:szCs w:val="32"/>
        </w:rPr>
        <w:t>本规定有效期五年，自发布之日起实施。《阜平县烟草制品零售点合理布局规定》（阜烟专[202</w:t>
      </w:r>
      <w:r>
        <w:rPr>
          <w:rFonts w:ascii="仿宋" w:hAnsi="仿宋" w:eastAsia="仿宋" w:cs="宋体"/>
          <w:spacing w:val="-6"/>
          <w:kern w:val="2"/>
          <w:sz w:val="32"/>
          <w:szCs w:val="32"/>
        </w:rPr>
        <w:t>1</w:t>
      </w:r>
      <w:r>
        <w:rPr>
          <w:rFonts w:hint="eastAsia" w:ascii="仿宋" w:hAnsi="仿宋" w:eastAsia="仿宋" w:cs="宋体"/>
          <w:spacing w:val="-6"/>
          <w:kern w:val="2"/>
          <w:sz w:val="32"/>
          <w:szCs w:val="32"/>
        </w:rPr>
        <w:t>]</w:t>
      </w:r>
      <w:r>
        <w:rPr>
          <w:rFonts w:ascii="仿宋" w:hAnsi="仿宋" w:eastAsia="仿宋" w:cs="宋体"/>
          <w:spacing w:val="-6"/>
          <w:kern w:val="2"/>
          <w:sz w:val="32"/>
          <w:szCs w:val="32"/>
        </w:rPr>
        <w:t>1</w:t>
      </w:r>
      <w:r>
        <w:rPr>
          <w:rFonts w:hint="eastAsia" w:ascii="仿宋" w:hAnsi="仿宋" w:eastAsia="仿宋" w:cs="宋体"/>
          <w:spacing w:val="-6"/>
          <w:kern w:val="2"/>
          <w:sz w:val="32"/>
          <w:szCs w:val="32"/>
        </w:rPr>
        <w:t>号）同时废止。</w:t>
      </w:r>
    </w:p>
    <w:p>
      <w:pPr>
        <w:pStyle w:val="8"/>
        <w:widowControl w:val="0"/>
        <w:spacing w:line="620" w:lineRule="exact"/>
        <w:ind w:firstLine="619" w:firstLineChars="200"/>
        <w:jc w:val="left"/>
        <w:rPr>
          <w:rFonts w:ascii="仿宋" w:hAnsi="仿宋" w:eastAsia="仿宋" w:cs="宋体"/>
          <w:spacing w:val="-6"/>
          <w:kern w:val="2"/>
          <w:sz w:val="32"/>
          <w:szCs w:val="32"/>
        </w:rPr>
      </w:pPr>
      <w:r>
        <w:rPr>
          <w:rFonts w:hint="eastAsia" w:ascii="仿宋" w:hAnsi="仿宋" w:eastAsia="仿宋" w:cs="宋体"/>
          <w:b/>
          <w:bCs/>
          <w:spacing w:val="-6"/>
          <w:kern w:val="2"/>
          <w:sz w:val="32"/>
          <w:szCs w:val="32"/>
        </w:rPr>
        <w:t>第三十</w:t>
      </w:r>
      <w:r>
        <w:rPr>
          <w:rFonts w:hint="eastAsia" w:ascii="仿宋" w:hAnsi="仿宋" w:eastAsia="仿宋" w:cs="宋体"/>
          <w:b/>
          <w:bCs/>
          <w:spacing w:val="-6"/>
          <w:kern w:val="2"/>
          <w:sz w:val="32"/>
          <w:szCs w:val="32"/>
          <w:lang w:val="en-US" w:eastAsia="zh-CN"/>
        </w:rPr>
        <w:t>一</w:t>
      </w:r>
      <w:r>
        <w:rPr>
          <w:rFonts w:hint="eastAsia" w:ascii="仿宋" w:hAnsi="仿宋" w:eastAsia="仿宋" w:cs="宋体"/>
          <w:b/>
          <w:bCs/>
          <w:spacing w:val="-6"/>
          <w:kern w:val="2"/>
          <w:sz w:val="32"/>
          <w:szCs w:val="32"/>
        </w:rPr>
        <w:t xml:space="preserve">条 </w:t>
      </w:r>
      <w:r>
        <w:rPr>
          <w:rFonts w:hint="eastAsia" w:ascii="仿宋" w:hAnsi="仿宋" w:eastAsia="仿宋" w:cs="宋体"/>
          <w:spacing w:val="-6"/>
          <w:kern w:val="2"/>
          <w:sz w:val="32"/>
          <w:szCs w:val="32"/>
        </w:rPr>
        <w:t>本规定由阜平县烟草专卖局负责解释。</w:t>
      </w:r>
    </w:p>
    <w:p>
      <w:pPr>
        <w:pStyle w:val="8"/>
        <w:widowControl w:val="0"/>
        <w:spacing w:line="620" w:lineRule="exact"/>
        <w:ind w:firstLine="576" w:firstLineChars="200"/>
        <w:jc w:val="left"/>
        <w:rPr>
          <w:rFonts w:ascii="宋体" w:hAnsi="宋体" w:cs="宋体"/>
          <w:spacing w:val="-6"/>
          <w:kern w:val="2"/>
          <w:sz w:val="30"/>
          <w:szCs w:val="30"/>
        </w:rPr>
      </w:pPr>
    </w:p>
    <w:p>
      <w:pPr>
        <w:ind w:firstLine="578" w:firstLineChars="200"/>
        <w:rPr>
          <w:rFonts w:ascii="宋体" w:hAnsi="宋体" w:cs="宋体"/>
          <w:b/>
          <w:bCs/>
          <w:spacing w:val="-6"/>
          <w:sz w:val="30"/>
          <w:szCs w:val="30"/>
        </w:rPr>
      </w:pP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jc w:val="center"/>
      <w:rPr>
        <w:rStyle w:val="5"/>
        <w:sz w:val="28"/>
      </w:rPr>
    </w:pPr>
    <w:r>
      <w:rPr>
        <w:rStyle w:val="5"/>
        <w:rFonts w:hint="eastAsia"/>
        <w:sz w:val="28"/>
      </w:rPr>
      <w:t>－</w:t>
    </w:r>
    <w:r>
      <w:rPr>
        <w:sz w:val="28"/>
      </w:rPr>
      <w:fldChar w:fldCharType="begin"/>
    </w:r>
    <w:r>
      <w:rPr>
        <w:rStyle w:val="5"/>
        <w:sz w:val="28"/>
      </w:rPr>
      <w:instrText xml:space="preserve">PAGE  </w:instrText>
    </w:r>
    <w:r>
      <w:rPr>
        <w:sz w:val="28"/>
      </w:rPr>
      <w:fldChar w:fldCharType="separate"/>
    </w:r>
    <w:r>
      <w:rPr>
        <w:rStyle w:val="5"/>
        <w:sz w:val="28"/>
      </w:rPr>
      <w:t>13</w:t>
    </w:r>
    <w:r>
      <w:rPr>
        <w:sz w:val="28"/>
      </w:rPr>
      <w:fldChar w:fldCharType="end"/>
    </w:r>
    <w:r>
      <w:rPr>
        <w:rStyle w:val="5"/>
        <w:rFonts w:hint="eastAsia"/>
        <w:sz w:val="28"/>
      </w:rPr>
      <w:t>－</w:t>
    </w:r>
  </w:p>
  <w:p>
    <w:pPr>
      <w:pStyle w:val="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jc w:val="center"/>
      <w:rPr>
        <w:rStyle w:val="5"/>
        <w:sz w:val="28"/>
      </w:rPr>
    </w:pPr>
    <w:r>
      <w:rPr>
        <w:sz w:val="28"/>
      </w:rPr>
      <w:pict>
        <v:line id="_x0000_s1026" o:spid="_x0000_s1026" o:spt="20" style="position:absolute;left:0pt;flip:x y;margin-left:53.5pt;margin-top:7.4pt;height:0pt;width:11.35pt;z-index:251659264;mso-width-relative:page;mso-height-relative:page;" coordsize="21600,21600" o:gfxdata="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z7uLjRAAAACQEAAA8AAAAAAAAAAQAgAAAA&#10;IgAAAGRycy9kb3ducmV2LnhtbFBLAQIUABQAAAAIAIdO4kBklZhU2QEAAHoDAAAOAAAAAAAAAAEA&#10;IAAAACABAABkcnMvZTJvRG9jLnhtbFBLBQYAAAAABgAGAFkBAABrBQAAAAA=&#10;">
          <v:path arrowok="t"/>
          <v:fill focussize="0,0"/>
          <v:stroke/>
          <v:imagedata o:title=""/>
          <o:lock v:ext="edit"/>
        </v:line>
      </w:pict>
    </w:r>
    <w:r>
      <w:rPr>
        <w:sz w:val="20"/>
      </w:rPr>
      <w:pict>
        <v:line id="_x0000_s1027" o:spid="_x0000_s1027" o:spt="20" style="position:absolute;left:0pt;flip:x y;margin-left:13.5pt;margin-top:8.05pt;height:0pt;width:11.35pt;z-index:251660288;mso-width-relative:page;mso-height-relative:page;" coordsize="21600,21600" o:gfxdata="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6TSr3RAAAABwEAAA8AAAAAAAAAAQAgAAAA&#10;IgAAAGRycy9kb3ducmV2LnhtbFBLAQIUABQAAAAIAIdO4kBehkNb2QEAAHoDAAAOAAAAAAAAAAEA&#10;IAAAACABAABkcnMvZTJvRG9jLnhtbFBLBQYAAAAABgAGAFkBAABrBQAAAAA=&#10;">
          <v:path arrowok="t"/>
          <v:fill focussize="0,0"/>
          <v:stroke/>
          <v:imagedata o:title=""/>
          <o:lock v:ext="edit"/>
        </v:line>
      </w:pict>
    </w:r>
    <w:r>
      <w:rPr>
        <w:sz w:val="28"/>
      </w:rPr>
      <w:fldChar w:fldCharType="begin"/>
    </w:r>
    <w:r>
      <w:rPr>
        <w:rStyle w:val="5"/>
        <w:sz w:val="28"/>
      </w:rPr>
      <w:instrText xml:space="preserve">PAGE  </w:instrText>
    </w:r>
    <w:r>
      <w:rPr>
        <w:sz w:val="28"/>
      </w:rPr>
      <w:fldChar w:fldCharType="separate"/>
    </w:r>
    <w:r>
      <w:rPr>
        <w:rStyle w:val="5"/>
        <w:sz w:val="28"/>
      </w:rPr>
      <w:t>3</w:t>
    </w:r>
    <w:r>
      <w:rPr>
        <w:sz w:val="28"/>
      </w:rPr>
      <w:fldChar w:fldCharType="end"/>
    </w:r>
  </w:p>
  <w:p>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126DF8"/>
    <w:multiLevelType w:val="singleLevel"/>
    <w:tmpl w:val="3B126D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33AFE"/>
    <w:rsid w:val="000004EE"/>
    <w:rsid w:val="00010D4F"/>
    <w:rsid w:val="00030180"/>
    <w:rsid w:val="00042DEF"/>
    <w:rsid w:val="000E025D"/>
    <w:rsid w:val="0012266C"/>
    <w:rsid w:val="00127BB3"/>
    <w:rsid w:val="00132FE5"/>
    <w:rsid w:val="00142663"/>
    <w:rsid w:val="00161FFA"/>
    <w:rsid w:val="00214A3D"/>
    <w:rsid w:val="002B502A"/>
    <w:rsid w:val="002C1F37"/>
    <w:rsid w:val="002D696D"/>
    <w:rsid w:val="003157D8"/>
    <w:rsid w:val="00326050"/>
    <w:rsid w:val="00345AC7"/>
    <w:rsid w:val="003470B2"/>
    <w:rsid w:val="003569D4"/>
    <w:rsid w:val="00371CF0"/>
    <w:rsid w:val="00387A03"/>
    <w:rsid w:val="003C7AED"/>
    <w:rsid w:val="003D5EC5"/>
    <w:rsid w:val="00404B56"/>
    <w:rsid w:val="004066BC"/>
    <w:rsid w:val="00472CD0"/>
    <w:rsid w:val="00474246"/>
    <w:rsid w:val="004C2721"/>
    <w:rsid w:val="004D5AEF"/>
    <w:rsid w:val="004E21BB"/>
    <w:rsid w:val="004E23C4"/>
    <w:rsid w:val="004E32B3"/>
    <w:rsid w:val="00531AA5"/>
    <w:rsid w:val="00544BC5"/>
    <w:rsid w:val="00571138"/>
    <w:rsid w:val="00573A1B"/>
    <w:rsid w:val="00593973"/>
    <w:rsid w:val="005A49EC"/>
    <w:rsid w:val="005C2561"/>
    <w:rsid w:val="006510AA"/>
    <w:rsid w:val="006D6F13"/>
    <w:rsid w:val="006E5C6E"/>
    <w:rsid w:val="006F4B1E"/>
    <w:rsid w:val="00705CAF"/>
    <w:rsid w:val="00710413"/>
    <w:rsid w:val="00717ABF"/>
    <w:rsid w:val="00733AFE"/>
    <w:rsid w:val="0076008D"/>
    <w:rsid w:val="00761068"/>
    <w:rsid w:val="007935C3"/>
    <w:rsid w:val="007B4078"/>
    <w:rsid w:val="007C6399"/>
    <w:rsid w:val="0080249E"/>
    <w:rsid w:val="008044E3"/>
    <w:rsid w:val="00836575"/>
    <w:rsid w:val="008A06D4"/>
    <w:rsid w:val="008C13AF"/>
    <w:rsid w:val="00957311"/>
    <w:rsid w:val="009839DB"/>
    <w:rsid w:val="009B54A2"/>
    <w:rsid w:val="009E47B2"/>
    <w:rsid w:val="009E6A1D"/>
    <w:rsid w:val="009F461F"/>
    <w:rsid w:val="00A00BD5"/>
    <w:rsid w:val="00A22818"/>
    <w:rsid w:val="00AA4816"/>
    <w:rsid w:val="00AB5F95"/>
    <w:rsid w:val="00AC0DA7"/>
    <w:rsid w:val="00B134BB"/>
    <w:rsid w:val="00B91EF6"/>
    <w:rsid w:val="00B952AB"/>
    <w:rsid w:val="00BA0F77"/>
    <w:rsid w:val="00BB5AAF"/>
    <w:rsid w:val="00C56046"/>
    <w:rsid w:val="00C60DC3"/>
    <w:rsid w:val="00C879C0"/>
    <w:rsid w:val="00CA4183"/>
    <w:rsid w:val="00CE2DB7"/>
    <w:rsid w:val="00D23673"/>
    <w:rsid w:val="00D31BDC"/>
    <w:rsid w:val="00D670E9"/>
    <w:rsid w:val="00D80123"/>
    <w:rsid w:val="00DB7605"/>
    <w:rsid w:val="00E748FB"/>
    <w:rsid w:val="00E90668"/>
    <w:rsid w:val="00EA123B"/>
    <w:rsid w:val="00EA1551"/>
    <w:rsid w:val="00EB7DE4"/>
    <w:rsid w:val="00EC7550"/>
    <w:rsid w:val="00FB54EC"/>
    <w:rsid w:val="00FC540F"/>
    <w:rsid w:val="00FD4338"/>
    <w:rsid w:val="00FE1ECC"/>
    <w:rsid w:val="00FF1B53"/>
    <w:rsid w:val="0222549A"/>
    <w:rsid w:val="04FE24F0"/>
    <w:rsid w:val="13633380"/>
    <w:rsid w:val="296E1FDC"/>
    <w:rsid w:val="2C7E16A2"/>
    <w:rsid w:val="324B48DC"/>
    <w:rsid w:val="327745C3"/>
    <w:rsid w:val="34EC092F"/>
    <w:rsid w:val="350A3270"/>
    <w:rsid w:val="3EEE6A63"/>
    <w:rsid w:val="48E158F2"/>
    <w:rsid w:val="4F131718"/>
    <w:rsid w:val="5059276B"/>
    <w:rsid w:val="57C703BD"/>
    <w:rsid w:val="5A1F2A08"/>
    <w:rsid w:val="5B246DA4"/>
    <w:rsid w:val="5BAE54C4"/>
    <w:rsid w:val="5EFF2F3A"/>
    <w:rsid w:val="62F854D0"/>
    <w:rsid w:val="63EC486D"/>
    <w:rsid w:val="66E937A1"/>
    <w:rsid w:val="700D2F04"/>
    <w:rsid w:val="70F92110"/>
    <w:rsid w:val="769408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page number"/>
    <w:qFormat/>
    <w:uiPriority w:val="0"/>
    <w:rPr>
      <w:rFonts w:ascii="Times New Roman" w:hAnsi="Times New Roman" w:eastAsia="宋体"/>
    </w:rPr>
  </w:style>
  <w:style w:type="character" w:customStyle="1" w:styleId="7">
    <w:name w:val="页脚 Char"/>
    <w:basedOn w:val="4"/>
    <w:link w:val="2"/>
    <w:qFormat/>
    <w:uiPriority w:val="0"/>
    <w:rPr>
      <w:rFonts w:ascii="Times New Roman" w:hAnsi="Times New Roman" w:eastAsia="宋体" w:cs="Times New Roman"/>
      <w:sz w:val="18"/>
      <w:szCs w:val="20"/>
    </w:rPr>
  </w:style>
  <w:style w:type="paragraph" w:customStyle="1" w:styleId="8">
    <w:name w:val="p0"/>
    <w:basedOn w:val="1"/>
    <w:qFormat/>
    <w:uiPriority w:val="0"/>
    <w:pPr>
      <w:widowControl/>
    </w:pPr>
    <w:rPr>
      <w:kern w:val="0"/>
      <w:szCs w:val="21"/>
    </w:rPr>
  </w:style>
  <w:style w:type="paragraph" w:styleId="9">
    <w:name w:val="List Paragraph"/>
    <w:basedOn w:val="1"/>
    <w:qFormat/>
    <w:uiPriority w:val="34"/>
    <w:pPr>
      <w:ind w:firstLine="420" w:firstLineChars="200"/>
    </w:pPr>
  </w:style>
  <w:style w:type="character" w:customStyle="1" w:styleId="10">
    <w:name w:val="页眉 Char"/>
    <w:basedOn w:val="4"/>
    <w:link w:val="3"/>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952</Words>
  <Characters>5428</Characters>
  <Lines>45</Lines>
  <Paragraphs>12</Paragraphs>
  <TotalTime>116</TotalTime>
  <ScaleCrop>false</ScaleCrop>
  <LinksUpToDate>false</LinksUpToDate>
  <CharactersWithSpaces>6368</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2023-02-20T11:15:00Z</dcterms:created>
  <dc:creator>wang rui</dc:creator>
  <cp:lastModifiedBy>中软国际</cp:lastModifiedBy>
  <cp:lastPrinted>2023-04-18T07:50:00Z</cp:lastPrinted>
  <dcterms:modified xsi:type="dcterms:W3CDTF">2023-05-04T02:10:00Z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