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05210">
      <w:pPr>
        <w:keepNext w:val="0"/>
        <w:keepLines w:val="0"/>
        <w:pageBreakBefore w:val="0"/>
        <w:widowControl w:val="0"/>
        <w:topLinePunct w:val="0"/>
        <w:bidi w:val="0"/>
        <w:jc w:val="left"/>
        <w:textAlignment w:val="auto"/>
        <w:rPr>
          <w:rFonts w:hint="eastAsia" w:ascii="Times New Roman" w:hAnsi="Times New Roman" w:eastAsia="黑体" w:cs="Times New Roman"/>
          <w:spacing w:val="-4"/>
          <w:kern w:val="0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1</w:t>
      </w:r>
    </w:p>
    <w:p w14:paraId="1F87F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outlineLvl w:val="9"/>
        <w:rPr>
          <w:rFonts w:hint="eastAsia" w:ascii="Times New Roman" w:hAnsi="Times New Roman" w:eastAsia="方正小标宋简体" w:cs="Times New Roman"/>
          <w:spacing w:val="-4"/>
          <w:kern w:val="0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spacing w:val="-4"/>
          <w:kern w:val="0"/>
          <w:sz w:val="44"/>
          <w:szCs w:val="44"/>
          <w:lang w:val="en-US" w:eastAsia="zh-CN" w:bidi="ar-SA"/>
        </w:rPr>
        <w:t>202</w:t>
      </w:r>
      <w:r>
        <w:rPr>
          <w:rFonts w:hint="eastAsia" w:eastAsia="方正小标宋简体" w:cs="Times New Roman"/>
          <w:spacing w:val="-4"/>
          <w:kern w:val="0"/>
          <w:sz w:val="44"/>
          <w:szCs w:val="44"/>
          <w:lang w:val="en-US" w:eastAsia="zh-CN" w:bidi="ar-SA"/>
        </w:rPr>
        <w:t>5</w:t>
      </w:r>
      <w:r>
        <w:rPr>
          <w:rFonts w:hint="eastAsia" w:ascii="Times New Roman" w:hAnsi="Times New Roman" w:eastAsia="方正小标宋简体" w:cs="Times New Roman"/>
          <w:spacing w:val="-4"/>
          <w:kern w:val="0"/>
          <w:sz w:val="44"/>
          <w:szCs w:val="44"/>
          <w:lang w:val="en-US" w:eastAsia="zh-CN" w:bidi="ar-SA"/>
        </w:rPr>
        <w:t>年</w:t>
      </w:r>
      <w:r>
        <w:rPr>
          <w:rFonts w:hint="eastAsia" w:eastAsia="方正小标宋简体" w:cs="Times New Roman"/>
          <w:spacing w:val="-4"/>
          <w:kern w:val="0"/>
          <w:sz w:val="44"/>
          <w:szCs w:val="44"/>
          <w:lang w:val="en-US" w:eastAsia="zh-CN" w:bidi="ar-SA"/>
        </w:rPr>
        <w:t>阜平县</w:t>
      </w:r>
      <w:r>
        <w:rPr>
          <w:rFonts w:hint="eastAsia" w:ascii="Times New Roman" w:hAnsi="Times New Roman" w:eastAsia="方正小标宋简体" w:cs="Times New Roman"/>
          <w:spacing w:val="-4"/>
          <w:kern w:val="0"/>
          <w:sz w:val="44"/>
          <w:szCs w:val="44"/>
          <w:lang w:val="en-US" w:eastAsia="zh-CN" w:bidi="ar-SA"/>
        </w:rPr>
        <w:t>“双随机、一公开”</w:t>
      </w:r>
    </w:p>
    <w:p w14:paraId="25E7E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outlineLvl w:val="9"/>
        <w:rPr>
          <w:rFonts w:hint="eastAsia" w:ascii="Times New Roman" w:hAnsi="Times New Roman" w:eastAsia="方正小标宋简体" w:cs="Times New Roman"/>
          <w:spacing w:val="-4"/>
          <w:kern w:val="0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spacing w:val="-4"/>
          <w:kern w:val="0"/>
          <w:sz w:val="44"/>
          <w:szCs w:val="44"/>
          <w:lang w:val="en-US" w:eastAsia="zh-CN" w:bidi="ar-SA"/>
        </w:rPr>
        <w:t>监管工作实施方案</w:t>
      </w:r>
    </w:p>
    <w:p w14:paraId="71B01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</w:pPr>
    </w:p>
    <w:p w14:paraId="5FCFD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为深入贯彻落实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国家、省、市、县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关于优化营商环境部署要求，持续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深化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“双随机、一公开”监管，提升监管效能，根据《国务院关于在市场监管领域全面推行部门联合“双随机、一公开”监管的意见》（国发〔2019〕5号）、《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国务院办公厅关于严格规范涉企行政检查的意见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》（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国办发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〔20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24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〕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54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号）、《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市场监管总局关于全面深化“双随机、一公开”监管规范涉企行政检查服务高质量发展的意见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》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（国市监信规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〔20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24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〕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5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号）等文件要求，制定本方案。</w:t>
      </w:r>
    </w:p>
    <w:p w14:paraId="3BB209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FF0000"/>
          <w:kern w:val="6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6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color w:val="000000"/>
          <w:kern w:val="60"/>
          <w:sz w:val="32"/>
          <w:szCs w:val="32"/>
        </w:rPr>
        <w:t>工作思路</w:t>
      </w:r>
    </w:p>
    <w:p w14:paraId="5E4296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持续深化部门联合抽查，进一步拓展“一业一查”部门联合模式，着重做好“一业一查”精细化管理，不断扩大部门联合随机抽查的覆盖面、占比率，切实减少涉企检查频次。在随机抽查后处理上求实效，及时组织对检查发现问题的后处理工作，依法依规调查处理，督促整改到位，提高发现问题立案率，形成监管闭环。</w:t>
      </w:r>
    </w:p>
    <w:p w14:paraId="725A48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60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持续推进差异化抽查，巩固企业信用风险分类结果在“双随机、一公开”监管中常态化运用，结合投诉举报、舆情监测、风险预警等形式，进一步拓展、深化运用场景，提升监管执法效能。</w:t>
      </w:r>
    </w:p>
    <w:p w14:paraId="4C8879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进一步规范检查行为，回应经营主体和社会关切，有效防止多头检查、重复检查，避免随意、任性、运动式检查。</w:t>
      </w:r>
    </w:p>
    <w:p w14:paraId="6E1D6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二、主要工作任务</w:t>
      </w:r>
    </w:p>
    <w:p w14:paraId="704F7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color w:val="000000"/>
          <w:kern w:val="6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  <w:lang w:eastAsia="zh-CN"/>
        </w:rPr>
        <w:t>夯实基础支撑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依托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河北省双随机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执法监管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平台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（以下简称监管平台）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持续完善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“一单两库”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。在省级部门调整完毕后，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各有关部门要依据本级涉及的监管领域、“三定”方案中的监管职责及监管事权，对清单中的事项进行认领，形成本级的随机抽查事项清单。要严格落实对行政检查实施主体“四个严禁”要求，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动态调整检查对象名录库和执法检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查人员名录库，确保“应纳尽纳”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。依托升级后的标注体系，科学、准确地对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检查对象和执法人员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分类标注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实现对检查对象的精准抽取、执法人员的精准匹配。</w:t>
      </w:r>
      <w:r>
        <w:rPr>
          <w:rFonts w:hint="eastAsia" w:ascii="楷体_GB2312" w:hAnsi="楷体_GB2312" w:eastAsia="楷体_GB2312" w:cs="楷体_GB2312"/>
          <w:color w:val="000000"/>
          <w:kern w:val="60"/>
          <w:sz w:val="32"/>
          <w:szCs w:val="32"/>
        </w:rPr>
        <w:t>（责任单位：各有关部门；完成时限：</w:t>
      </w:r>
      <w:r>
        <w:rPr>
          <w:rFonts w:hint="eastAsia" w:ascii="楷体_GB2312" w:hAnsi="楷体_GB2312" w:eastAsia="楷体_GB2312" w:cs="楷体_GB2312"/>
          <w:color w:val="000000"/>
          <w:kern w:val="60"/>
          <w:sz w:val="32"/>
          <w:szCs w:val="32"/>
          <w:lang w:val="en-US" w:eastAsia="zh-CN"/>
        </w:rPr>
        <w:t>3月底前</w:t>
      </w:r>
      <w:r>
        <w:rPr>
          <w:rFonts w:hint="eastAsia" w:ascii="楷体_GB2312" w:hAnsi="楷体_GB2312" w:eastAsia="楷体_GB2312" w:cs="楷体_GB2312"/>
          <w:color w:val="000000"/>
          <w:kern w:val="60"/>
          <w:sz w:val="32"/>
          <w:szCs w:val="32"/>
        </w:rPr>
        <w:t>）</w:t>
      </w:r>
    </w:p>
    <w:p w14:paraId="7DEDC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color w:val="000000"/>
          <w:kern w:val="6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  <w:lang w:eastAsia="zh-CN"/>
        </w:rPr>
        <w:t>深化联合监管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pacing w:val="0"/>
          <w:sz w:val="32"/>
          <w:szCs w:val="32"/>
          <w:lang w:eastAsia="zh-CN"/>
        </w:rPr>
        <w:t>强化部门内及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sz w:val="32"/>
          <w:szCs w:val="32"/>
          <w:lang w:eastAsia="zh-CN"/>
        </w:rPr>
        <w:t>部门间的协调联动，建立完善长联合抽查工作机制，确保实现“能合并实施的不得重复检查、能联合实施的不得多头检查”。全面深化</w:t>
      </w:r>
      <w:r>
        <w:rPr>
          <w:rFonts w:hint="eastAsia" w:ascii="仿宋_GB2312" w:hAnsi="仿宋_GB2312" w:eastAsia="仿宋_GB2312" w:cs="仿宋_GB2312"/>
          <w:b w:val="0"/>
          <w:bCs/>
          <w:snapToGrid w:val="0"/>
          <w:color w:val="auto"/>
          <w:spacing w:val="0"/>
          <w:sz w:val="32"/>
          <w:szCs w:val="32"/>
          <w:lang w:eastAsia="zh-CN"/>
        </w:rPr>
        <w:t>“一业一查”部门联合抽查模式，各有关部门要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pacing w:val="0"/>
          <w:sz w:val="32"/>
          <w:szCs w:val="32"/>
          <w:lang w:eastAsia="zh-CN"/>
        </w:rPr>
        <w:t>以全省“一业一查”部门联合随机抽查清单为指导，充分结合本地监管实际组织开展本地“一业一查”部门联合随机抽查，并在实践中不断拓展范围、领域，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在兼顾成本与效能的前提下，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sz w:val="32"/>
          <w:szCs w:val="32"/>
        </w:rPr>
        <w:t>扩大部门联合随机抽查的覆盖面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sz w:val="32"/>
          <w:szCs w:val="32"/>
          <w:lang w:eastAsia="zh-CN"/>
        </w:rPr>
        <w:t>、占比率，确保本地区今年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sz w:val="32"/>
          <w:szCs w:val="32"/>
        </w:rPr>
        <w:t>联合抽查次数占随机抽查总次数的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sz w:val="32"/>
          <w:szCs w:val="32"/>
          <w:lang w:eastAsia="zh-CN"/>
        </w:rPr>
        <w:t>比例不低于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sz w:val="32"/>
          <w:szCs w:val="32"/>
          <w:lang w:val="en-US" w:eastAsia="zh-CN"/>
        </w:rPr>
        <w:t>70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sz w:val="32"/>
          <w:szCs w:val="32"/>
        </w:rPr>
        <w:t>%，部门联合抽查户数占随机抽查总户数的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sz w:val="32"/>
          <w:szCs w:val="32"/>
          <w:lang w:eastAsia="zh-CN"/>
        </w:rPr>
        <w:t>比例不低于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sz w:val="32"/>
          <w:szCs w:val="32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推动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部门联合抽查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常态化，切实压缩涉企检查频次，在确保监管效能的前提下不断减少对企业正常经营活动的干扰。</w:t>
      </w:r>
      <w:r>
        <w:rPr>
          <w:rFonts w:hint="eastAsia" w:ascii="楷体_GB2312" w:hAnsi="楷体_GB2312" w:eastAsia="楷体_GB2312" w:cs="楷体_GB2312"/>
          <w:snapToGrid w:val="0"/>
          <w:color w:val="000000"/>
          <w:spacing w:val="0"/>
          <w:sz w:val="32"/>
          <w:szCs w:val="32"/>
        </w:rPr>
        <w:t>（责</w:t>
      </w:r>
      <w:r>
        <w:rPr>
          <w:rFonts w:hint="eastAsia" w:ascii="楷体_GB2312" w:hAnsi="楷体_GB2312" w:eastAsia="楷体_GB2312" w:cs="楷体_GB2312"/>
          <w:color w:val="000000"/>
          <w:kern w:val="60"/>
          <w:sz w:val="32"/>
          <w:szCs w:val="32"/>
        </w:rPr>
        <w:t>任单位：各有关部门，完成时限：全年）</w:t>
      </w:r>
    </w:p>
    <w:p w14:paraId="10F9C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ascii="楷体_GB2312" w:hAnsi="楷体_GB2312" w:eastAsia="仿宋_GB2312" w:cs="楷体_GB2312"/>
          <w:b/>
          <w:color w:val="000000"/>
          <w:kern w:val="6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  <w:lang w:eastAsia="zh-CN"/>
        </w:rPr>
        <w:t>三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  <w:lang w:eastAsia="zh-CN"/>
        </w:rPr>
        <w:t>规范实施检查。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严格计划实施。要结合工作实际，科学合理制定年度抽查工作计划，及时向社会公开，并严格按照年度抽查工作计划实施。对未列入年度抽查计划但实际工作中需要开展的抽查，或已列入但不要调整的抽查，严格履行相关工作程序，及时调整并公示后方可开展。严格工作流程。要认真落实《河北省双随机工作规范》要求，防止在任务制定、开展检查、结果录入、审核公示等工作环节出现超时违规问题。严格“扫码入企”。根据省司法厅统一安排，适时在执法终端上线赋码功能，进一步规范各有关部门执法人员入企检查行为。严格闭环监管。各有关部门要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健全随机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抽查后续处置机制，规范问题线索的转办、移送等工作，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按照“谁审批、谁监管，谁主管、谁监管”和“谁管辖、谁负责”的原则做好后续监管衔接，实现监管闭环。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加强与信用监管的衔接，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加大对抽查发现的违法失信行为的信用惩戒力度，实施联合惩戒，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增强随机抽查的震慑力</w:t>
      </w:r>
      <w:r>
        <w:rPr>
          <w:rFonts w:hint="eastAsia" w:ascii="仿宋_GB2312" w:hAnsi="仿宋_GB2312" w:eastAsia="仿宋_GB2312" w:cs="仿宋_GB2312"/>
          <w:color w:val="auto"/>
          <w:spacing w:val="-6"/>
          <w:kern w:val="60"/>
          <w:sz w:val="32"/>
          <w:szCs w:val="32"/>
        </w:rPr>
        <w:t>。</w:t>
      </w:r>
      <w:r>
        <w:rPr>
          <w:rFonts w:hint="eastAsia" w:ascii="楷体_GB2312" w:hAnsi="楷体_GB2312" w:eastAsia="楷体_GB2312" w:cs="楷体_GB2312"/>
          <w:snapToGrid w:val="0"/>
          <w:color w:val="000000"/>
          <w:spacing w:val="0"/>
          <w:sz w:val="32"/>
          <w:szCs w:val="32"/>
        </w:rPr>
        <w:t>（责</w:t>
      </w:r>
      <w:r>
        <w:rPr>
          <w:rFonts w:hint="eastAsia" w:ascii="楷体_GB2312" w:hAnsi="楷体_GB2312" w:eastAsia="楷体_GB2312" w:cs="楷体_GB2312"/>
          <w:color w:val="000000"/>
          <w:kern w:val="60"/>
          <w:sz w:val="32"/>
          <w:szCs w:val="32"/>
        </w:rPr>
        <w:t>任单位：各有关部门，完成时限：全年）</w:t>
      </w:r>
    </w:p>
    <w:p w14:paraId="1F518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color w:val="000000"/>
          <w:kern w:val="6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  <w:lang w:eastAsia="zh-CN"/>
        </w:rPr>
        <w:t>（四）着力</w:t>
      </w: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sz w:val="32"/>
          <w:szCs w:val="32"/>
        </w:rPr>
        <w:t>提升监管</w:t>
      </w: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sz w:val="32"/>
          <w:szCs w:val="32"/>
          <w:lang w:eastAsia="zh-CN"/>
        </w:rPr>
        <w:t>效能</w:t>
      </w:r>
      <w:r>
        <w:rPr>
          <w:rFonts w:hint="eastAsia" w:ascii="楷体_GB2312" w:hAnsi="楷体_GB2312" w:eastAsia="楷体_GB2312" w:cs="楷体_GB2312"/>
          <w:b/>
          <w:bCs/>
          <w:snapToGrid w:val="0"/>
          <w:color w:val="00000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要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强化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双随机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抽查与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信用风险分级分类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相结合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针对不同的信用风险分类等级合理确定抽查比例和频次，运用信用风险分级分类开展的抽查次数占抽查总次数的比例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val="en-US" w:eastAsia="zh-CN"/>
        </w:rPr>
        <w:t>达到100%。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</w:rPr>
        <w:t>充分利用信息化手段，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通过大数据分析、重点指标监测等手段，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强化风险监测预警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60"/>
          <w:sz w:val="32"/>
          <w:szCs w:val="32"/>
          <w:lang w:eastAsia="zh-CN"/>
        </w:rPr>
        <w:t>实现双随机与触发式监管的整合，有效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sz w:val="32"/>
          <w:szCs w:val="32"/>
          <w:lang w:eastAsia="zh-CN"/>
        </w:rPr>
        <w:t>推动监管关口前移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。严格落实查前准备和查前业务培训等工作制度，切实提高检查的针对性和执法人员的业务能力，提升抽查检查质效。</w:t>
      </w:r>
      <w:r>
        <w:rPr>
          <w:rFonts w:hint="eastAsia" w:ascii="楷体_GB2312" w:hAnsi="楷体_GB2312" w:eastAsia="楷体_GB2312" w:cs="楷体_GB2312"/>
          <w:color w:val="000000"/>
          <w:kern w:val="60"/>
          <w:sz w:val="32"/>
          <w:szCs w:val="32"/>
        </w:rPr>
        <w:t>（责任单位：各有关部门，完成时限：</w:t>
      </w:r>
      <w:r>
        <w:rPr>
          <w:rFonts w:hint="eastAsia" w:ascii="楷体_GB2312" w:hAnsi="楷体_GB2312" w:eastAsia="楷体_GB2312" w:cs="楷体_GB2312"/>
          <w:color w:val="000000"/>
          <w:kern w:val="60"/>
          <w:sz w:val="32"/>
          <w:szCs w:val="32"/>
          <w:lang w:eastAsia="zh-CN"/>
        </w:rPr>
        <w:t>全年</w:t>
      </w:r>
      <w:r>
        <w:rPr>
          <w:rFonts w:hint="eastAsia" w:ascii="楷体_GB2312" w:hAnsi="楷体_GB2312" w:eastAsia="楷体_GB2312" w:cs="楷体_GB2312"/>
          <w:color w:val="000000"/>
          <w:kern w:val="60"/>
          <w:sz w:val="32"/>
          <w:szCs w:val="32"/>
        </w:rPr>
        <w:t>）</w:t>
      </w:r>
    </w:p>
    <w:p w14:paraId="64454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</w:rPr>
        <w:t>（五）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  <w:lang w:eastAsia="zh-CN"/>
        </w:rPr>
        <w:t>强化服务意识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napToGrid w:val="0"/>
          <w:color w:val="auto"/>
          <w:sz w:val="32"/>
          <w:szCs w:val="32"/>
          <w:lang w:eastAsia="zh-CN"/>
        </w:rPr>
        <w:t>要牢固树立寓服务于监管之中的理念，大力推行服务型执法，在抽查检查过程中要开展相关法律法规政策宣教、合规经营指导，并及时回应经营主体有关问题及诉求。要大力推广非现场检查，针对相关监管领域、特定监管对象或抽查事项能通过书面核查、信息共享、网络监测、视频检查等方式监管的，不得入企实施现场检查，压缩现场检查频次，减轻企业负担。</w:t>
      </w:r>
      <w:r>
        <w:rPr>
          <w:rFonts w:hint="eastAsia" w:ascii="楷体_GB2312" w:hAnsi="楷体_GB2312" w:eastAsia="楷体_GB2312" w:cs="楷体_GB2312"/>
          <w:color w:val="000000"/>
          <w:kern w:val="60"/>
          <w:sz w:val="32"/>
          <w:szCs w:val="32"/>
        </w:rPr>
        <w:t>（责任单位：各有关部门，完成时限：</w:t>
      </w:r>
      <w:r>
        <w:rPr>
          <w:rFonts w:hint="eastAsia" w:ascii="楷体_GB2312" w:hAnsi="楷体_GB2312" w:eastAsia="楷体_GB2312" w:cs="楷体_GB2312"/>
          <w:color w:val="000000"/>
          <w:kern w:val="60"/>
          <w:sz w:val="32"/>
          <w:szCs w:val="32"/>
          <w:lang w:eastAsia="zh-CN"/>
        </w:rPr>
        <w:t>全年</w:t>
      </w:r>
      <w:r>
        <w:rPr>
          <w:rFonts w:hint="eastAsia" w:ascii="楷体_GB2312" w:hAnsi="楷体_GB2312" w:eastAsia="楷体_GB2312" w:cs="楷体_GB2312"/>
          <w:color w:val="000000"/>
          <w:kern w:val="60"/>
          <w:sz w:val="32"/>
          <w:szCs w:val="32"/>
        </w:rPr>
        <w:t>）</w:t>
      </w:r>
    </w:p>
    <w:p w14:paraId="682A7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kern w:val="6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60"/>
          <w:sz w:val="32"/>
          <w:szCs w:val="32"/>
        </w:rPr>
        <w:t>三、工作要求</w:t>
      </w:r>
    </w:p>
    <w:p w14:paraId="6571E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pacing w:val="-6"/>
          <w:kern w:val="6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  <w:lang w:eastAsia="zh-CN"/>
        </w:rPr>
        <w:t>提高思想认识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</w:rPr>
        <w:t>，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  <w:lang w:eastAsia="zh-CN"/>
        </w:rPr>
        <w:t>加强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</w:rPr>
        <w:t>组织领导。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  <w:t>各有关部门要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  <w:lang w:eastAsia="zh-CN"/>
        </w:rPr>
        <w:t>充分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  <w:t>认识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  <w:lang w:eastAsia="zh-CN"/>
        </w:rPr>
        <w:t>全面深化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  <w:t>“双随机、一公开”监管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  <w:lang w:eastAsia="zh-CN"/>
        </w:rPr>
        <w:t>的重要意义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  <w:t>，加强组织领导和统筹协调，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  <w:lang w:eastAsia="zh-CN"/>
        </w:rPr>
        <w:t>健全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  <w:t>工作制度和运行机制，细化工作目标和推进举措，确保各项工作任务落到实处、取得实效，为</w:t>
      </w:r>
      <w:r>
        <w:rPr>
          <w:rFonts w:hint="eastAsia" w:ascii="仿宋_GB2312" w:hAnsi="仿宋_GB2312" w:eastAsia="仿宋_GB2312" w:cs="仿宋_GB2312"/>
          <w:color w:val="000000"/>
          <w:spacing w:val="-6"/>
          <w:kern w:val="60"/>
          <w:sz w:val="32"/>
          <w:szCs w:val="32"/>
          <w:lang w:eastAsia="zh-CN"/>
        </w:rPr>
        <w:t>全</w:t>
      </w:r>
      <w:r>
        <w:rPr>
          <w:rFonts w:hint="eastAsia" w:ascii="仿宋_GB2312" w:hAnsi="仿宋_GB2312" w:eastAsia="仿宋_GB2312" w:cs="仿宋_GB2312"/>
          <w:color w:val="000000"/>
          <w:spacing w:val="-6"/>
          <w:kern w:val="6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pacing w:val="-6"/>
          <w:kern w:val="60"/>
          <w:sz w:val="32"/>
          <w:szCs w:val="32"/>
          <w:lang w:eastAsia="zh-CN"/>
        </w:rPr>
        <w:t>进一步</w:t>
      </w:r>
      <w:r>
        <w:rPr>
          <w:rFonts w:hint="eastAsia" w:ascii="仿宋_GB2312" w:hAnsi="仿宋_GB2312" w:eastAsia="仿宋_GB2312" w:cs="仿宋_GB2312"/>
          <w:color w:val="000000"/>
          <w:spacing w:val="-6"/>
          <w:kern w:val="60"/>
          <w:sz w:val="32"/>
          <w:szCs w:val="32"/>
        </w:rPr>
        <w:t>优化营商环境</w:t>
      </w:r>
      <w:r>
        <w:rPr>
          <w:rFonts w:hint="eastAsia" w:ascii="仿宋_GB2312" w:hAnsi="仿宋_GB2312" w:eastAsia="仿宋_GB2312" w:cs="仿宋_GB2312"/>
          <w:color w:val="000000"/>
          <w:spacing w:val="-6"/>
          <w:kern w:val="60"/>
          <w:sz w:val="32"/>
          <w:szCs w:val="32"/>
          <w:lang w:eastAsia="zh-CN"/>
        </w:rPr>
        <w:t>、推进经营主体高质量发展发挥应有作用</w:t>
      </w:r>
      <w:r>
        <w:rPr>
          <w:rFonts w:hint="eastAsia" w:ascii="仿宋_GB2312" w:hAnsi="仿宋_GB2312" w:eastAsia="仿宋_GB2312" w:cs="仿宋_GB2312"/>
          <w:color w:val="000000"/>
          <w:spacing w:val="-6"/>
          <w:kern w:val="60"/>
          <w:sz w:val="32"/>
          <w:szCs w:val="32"/>
        </w:rPr>
        <w:t>。</w:t>
      </w:r>
    </w:p>
    <w:p w14:paraId="51324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  <w:lang w:eastAsia="zh-CN"/>
        </w:rPr>
        <w:t>认真履职尽责，积极主动作为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  <w:t>市场监管部门要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  <w:lang w:eastAsia="zh-CN"/>
        </w:rPr>
        <w:t>积极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发挥牵头抓总作用，调动各方积极性，凝聚各方力量，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  <w:lang w:eastAsia="zh-CN"/>
        </w:rPr>
        <w:t>持续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  <w:t>在工作机制、组织协调、督导调度、推进落实上下功夫。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  <w:lang w:val="en-US" w:eastAsia="zh-CN"/>
        </w:rPr>
        <w:t>各有关部门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  <w:t>要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  <w:lang w:eastAsia="zh-CN"/>
        </w:rPr>
        <w:t>切实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  <w:t>落实主体责任，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打破惯性思维，强化大局意识，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  <w:lang w:eastAsia="zh-CN"/>
        </w:rPr>
        <w:t>认真履职尽责，积极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  <w:t>主动开展工作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  <w:t>牢固树立“一盘棋”思想，相互支持、密切配合、协同促进，合力推进各项工作任务落实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  <w:lang w:eastAsia="zh-CN"/>
        </w:rPr>
        <w:t>。</w:t>
      </w:r>
    </w:p>
    <w:p w14:paraId="35AF8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</w:rPr>
        <w:t>（三）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  <w:lang w:eastAsia="zh-CN"/>
        </w:rPr>
        <w:t>落实主体责任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</w:rPr>
        <w:t>，强化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  <w:lang w:eastAsia="zh-CN"/>
        </w:rPr>
        <w:t>指导监管</w:t>
      </w:r>
      <w:r>
        <w:rPr>
          <w:rFonts w:hint="eastAsia" w:ascii="楷体_GB2312" w:hAnsi="楷体_GB2312" w:eastAsia="楷体_GB2312" w:cs="楷体_GB2312"/>
          <w:b/>
          <w:color w:val="000000"/>
          <w:kern w:val="6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  <w:lang w:eastAsia="zh-CN"/>
        </w:rPr>
        <w:t>各有关部门要强化对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  <w:t>随机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  <w:lang w:eastAsia="zh-CN"/>
        </w:rPr>
        <w:t>抽查工作全流程的管控，积极推行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  <w:t>随机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  <w:lang w:eastAsia="zh-CN"/>
        </w:rPr>
        <w:t>抽查回访机制，在着力提升随机抽查工作效能上做文章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  <w:lang w:eastAsia="zh-CN"/>
        </w:rPr>
        <w:t>同时，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  <w:t>各有关部门要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  <w:lang w:eastAsia="zh-CN"/>
        </w:rPr>
        <w:t>切实压实规范管理责任，严格按照《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国务院办公厅关于严格规范涉企行政检查的意见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》（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国办发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〔20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24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〕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54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号）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中“五个严禁”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“八个不得”的要求开展抽查，防止企业反映强烈、社会影响恶劣事件的发送。</w:t>
      </w:r>
    </w:p>
    <w:p w14:paraId="3B8E6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60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bCs/>
          <w:color w:val="000000"/>
          <w:kern w:val="60"/>
          <w:sz w:val="32"/>
          <w:szCs w:val="32"/>
          <w:lang w:eastAsia="zh-CN"/>
        </w:rPr>
        <w:t>有关部门</w:t>
      </w:r>
      <w:r>
        <w:rPr>
          <w:rFonts w:hint="eastAsia" w:ascii="仿宋_GB2312" w:hAnsi="仿宋_GB2312" w:eastAsia="仿宋_GB2312" w:cs="仿宋_GB2312"/>
          <w:bCs/>
          <w:color w:val="000000"/>
          <w:kern w:val="60"/>
          <w:sz w:val="32"/>
          <w:szCs w:val="32"/>
        </w:rPr>
        <w:t>要认真执行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  <w:t>信息联络员制度，按时报送“双随机、一公开”监管工作开展情况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  <w:t>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每月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日前将月报表报送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县市场监管局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 w14:paraId="6D50A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联 系 人：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顾玲玉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0312-7229734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）</w:t>
      </w:r>
    </w:p>
    <w:p w14:paraId="6BB88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电子邮箱：</w:t>
      </w:r>
      <w:r>
        <w:rPr>
          <w:rFonts w:hint="eastAsia" w:eastAsia="仿宋_GB2312" w:cs="Times New Roman"/>
          <w:color w:val="000000"/>
          <w:kern w:val="60"/>
          <w:sz w:val="32"/>
          <w:szCs w:val="32"/>
          <w:lang w:val="en-US" w:eastAsia="zh-CN"/>
        </w:rPr>
        <w:t>fpsxjqgg</w:t>
      </w:r>
      <w:r>
        <w:rPr>
          <w:rFonts w:hint="default" w:ascii="Times New Roman" w:hAnsi="Times New Roman" w:eastAsia="仿宋_GB2312" w:cs="Times New Roman"/>
          <w:color w:val="000000"/>
          <w:kern w:val="60"/>
          <w:sz w:val="32"/>
          <w:szCs w:val="32"/>
        </w:rPr>
        <w:t>@1</w:t>
      </w:r>
      <w:r>
        <w:rPr>
          <w:rFonts w:hint="eastAsia" w:eastAsia="仿宋_GB2312" w:cs="Times New Roman"/>
          <w:color w:val="000000"/>
          <w:kern w:val="60"/>
          <w:sz w:val="32"/>
          <w:szCs w:val="32"/>
          <w:lang w:val="en-US" w:eastAsia="zh-CN"/>
        </w:rPr>
        <w:t>63</w:t>
      </w:r>
      <w:r>
        <w:rPr>
          <w:rFonts w:hint="default" w:ascii="Times New Roman" w:hAnsi="Times New Roman" w:eastAsia="仿宋_GB2312" w:cs="Times New Roman"/>
          <w:color w:val="000000"/>
          <w:kern w:val="60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000000"/>
          <w:kern w:val="60"/>
          <w:sz w:val="32"/>
          <w:szCs w:val="32"/>
        </w:rPr>
        <w:t>com</w:t>
      </w:r>
    </w:p>
    <w:p w14:paraId="170F6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60"/>
          <w:sz w:val="32"/>
          <w:szCs w:val="32"/>
        </w:rPr>
      </w:pPr>
    </w:p>
    <w:p w14:paraId="0B9BE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有关部门“双随机、一公开”监管工作月报表</w:t>
      </w:r>
    </w:p>
    <w:p w14:paraId="07D790CB">
      <w:pPr>
        <w:pStyle w:val="3"/>
        <w:keepNext w:val="0"/>
        <w:keepLines w:val="0"/>
        <w:pageBreakBefore w:val="0"/>
        <w:widowControl w:val="0"/>
        <w:kinsoku w:val="0"/>
        <w:overflowPunct w:val="0"/>
        <w:topLinePunct w:val="0"/>
        <w:bidi w:val="0"/>
        <w:spacing w:line="52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z w:val="18"/>
          <w:szCs w:val="18"/>
        </w:rPr>
      </w:pPr>
    </w:p>
    <w:p w14:paraId="7023E62C">
      <w:pPr>
        <w:keepNext w:val="0"/>
        <w:keepLines w:val="0"/>
        <w:pageBreakBefore w:val="0"/>
        <w:widowControl w:val="0"/>
        <w:topLinePunct w:val="0"/>
        <w:bidi w:val="0"/>
        <w:textAlignment w:val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br w:type="page"/>
      </w:r>
    </w:p>
    <w:p w14:paraId="4BE758D9">
      <w:pPr>
        <w:keepNext w:val="0"/>
        <w:keepLines w:val="0"/>
        <w:pageBreakBefore w:val="0"/>
        <w:widowControl w:val="0"/>
        <w:topLinePunct w:val="0"/>
        <w:bidi w:val="0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</w:p>
    <w:p w14:paraId="30ED971D">
      <w:pPr>
        <w:keepNext w:val="0"/>
        <w:keepLines w:val="0"/>
        <w:pageBreakBefore w:val="0"/>
        <w:widowControl w:val="0"/>
        <w:topLinePunct w:val="0"/>
        <w:bidi w:val="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color w:val="000000"/>
          <w:spacing w:val="61"/>
          <w:w w:val="86"/>
          <w:kern w:val="0"/>
          <w:sz w:val="44"/>
          <w:szCs w:val="44"/>
          <w:fitText w:val="8803" w:id="836591669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pacing w:val="1"/>
          <w:w w:val="95"/>
          <w:kern w:val="0"/>
          <w:sz w:val="44"/>
          <w:szCs w:val="44"/>
          <w:fitText w:val="8803" w:id="1561207401"/>
          <w:lang w:eastAsia="zh-CN"/>
        </w:rPr>
        <w:t>县有关</w:t>
      </w:r>
      <w:r>
        <w:rPr>
          <w:rFonts w:hint="eastAsia" w:ascii="方正小标宋_GBK" w:hAnsi="方正小标宋_GBK" w:eastAsia="方正小标宋_GBK" w:cs="方正小标宋_GBK"/>
          <w:bCs/>
          <w:color w:val="000000"/>
          <w:spacing w:val="1"/>
          <w:w w:val="95"/>
          <w:kern w:val="0"/>
          <w:sz w:val="44"/>
          <w:szCs w:val="44"/>
          <w:fitText w:val="8803" w:id="1561207401"/>
        </w:rPr>
        <w:t>部门“双随机、一公开”监管工作月报</w:t>
      </w:r>
      <w:r>
        <w:rPr>
          <w:rFonts w:hint="eastAsia" w:ascii="方正小标宋_GBK" w:hAnsi="方正小标宋_GBK" w:eastAsia="方正小标宋_GBK" w:cs="方正小标宋_GBK"/>
          <w:bCs/>
          <w:color w:val="000000"/>
          <w:spacing w:val="11"/>
          <w:w w:val="95"/>
          <w:kern w:val="0"/>
          <w:sz w:val="44"/>
          <w:szCs w:val="44"/>
          <w:fitText w:val="8803" w:id="1561207401"/>
        </w:rPr>
        <w:t>表</w:t>
      </w:r>
    </w:p>
    <w:p w14:paraId="4D191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单位名称（盖章）：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填表时间：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日</w:t>
      </w:r>
    </w:p>
    <w:tbl>
      <w:tblPr>
        <w:tblStyle w:val="8"/>
        <w:tblW w:w="93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5625"/>
        <w:gridCol w:w="2510"/>
      </w:tblGrid>
      <w:tr w14:paraId="44764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227" w:type="dxa"/>
            <w:vMerge w:val="restart"/>
            <w:noWrap w:val="0"/>
            <w:vAlign w:val="center"/>
          </w:tcPr>
          <w:p w14:paraId="68676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sz w:val="28"/>
                <w:szCs w:val="28"/>
                <w:lang w:eastAsia="zh-CN"/>
              </w:rPr>
              <w:t>通过河北省双随机执法监管平台开展抽查情况</w:t>
            </w:r>
          </w:p>
        </w:tc>
        <w:tc>
          <w:tcPr>
            <w:tcW w:w="5625" w:type="dxa"/>
            <w:noWrap w:val="0"/>
            <w:vAlign w:val="center"/>
          </w:tcPr>
          <w:p w14:paraId="79265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  <w:t>本部门开展内部随机抽查次数、户数及发现问题户数</w:t>
            </w:r>
          </w:p>
        </w:tc>
        <w:tc>
          <w:tcPr>
            <w:tcW w:w="2510" w:type="dxa"/>
            <w:noWrap w:val="0"/>
            <w:vAlign w:val="center"/>
          </w:tcPr>
          <w:p w14:paraId="6B0FD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</w:tr>
      <w:tr w14:paraId="22657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227" w:type="dxa"/>
            <w:vMerge w:val="continue"/>
            <w:noWrap w:val="0"/>
            <w:vAlign w:val="center"/>
          </w:tcPr>
          <w:p w14:paraId="5B852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  <w:tc>
          <w:tcPr>
            <w:tcW w:w="5625" w:type="dxa"/>
            <w:noWrap w:val="0"/>
            <w:vAlign w:val="center"/>
          </w:tcPr>
          <w:p w14:paraId="291AA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  <w:t>本部门开展跨部门联合随机抽查次数、户数及发现问题户数</w:t>
            </w:r>
          </w:p>
        </w:tc>
        <w:tc>
          <w:tcPr>
            <w:tcW w:w="2510" w:type="dxa"/>
            <w:noWrap w:val="0"/>
            <w:vAlign w:val="center"/>
          </w:tcPr>
          <w:p w14:paraId="36930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</w:tr>
      <w:tr w14:paraId="32907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227" w:type="dxa"/>
            <w:vMerge w:val="continue"/>
            <w:noWrap w:val="0"/>
            <w:vAlign w:val="center"/>
          </w:tcPr>
          <w:p w14:paraId="7A04D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  <w:tc>
          <w:tcPr>
            <w:tcW w:w="5625" w:type="dxa"/>
            <w:noWrap w:val="0"/>
            <w:vAlign w:val="center"/>
          </w:tcPr>
          <w:p w14:paraId="716B0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  <w:t>本部门利用信用风险分级分类开展随机抽查次数、户数及发现问题户数</w:t>
            </w:r>
          </w:p>
        </w:tc>
        <w:tc>
          <w:tcPr>
            <w:tcW w:w="2510" w:type="dxa"/>
            <w:noWrap w:val="0"/>
            <w:vAlign w:val="center"/>
          </w:tcPr>
          <w:p w14:paraId="079C6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</w:tr>
      <w:tr w14:paraId="4B47C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227" w:type="dxa"/>
            <w:vMerge w:val="restart"/>
            <w:noWrap w:val="0"/>
            <w:vAlign w:val="center"/>
          </w:tcPr>
          <w:p w14:paraId="673DD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sz w:val="28"/>
                <w:szCs w:val="28"/>
                <w:lang w:eastAsia="zh-CN"/>
              </w:rPr>
              <w:t>通过其他平台开展抽查情况</w:t>
            </w:r>
          </w:p>
        </w:tc>
        <w:tc>
          <w:tcPr>
            <w:tcW w:w="5625" w:type="dxa"/>
            <w:shd w:val="clear" w:color="auto" w:fill="auto"/>
            <w:noWrap w:val="0"/>
            <w:vAlign w:val="center"/>
          </w:tcPr>
          <w:p w14:paraId="1E966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  <w:t>本部门开展内部随机抽查次数、户数及发现问题户数</w:t>
            </w:r>
          </w:p>
        </w:tc>
        <w:tc>
          <w:tcPr>
            <w:tcW w:w="2510" w:type="dxa"/>
            <w:noWrap w:val="0"/>
            <w:vAlign w:val="center"/>
          </w:tcPr>
          <w:p w14:paraId="5DE01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</w:pPr>
          </w:p>
        </w:tc>
      </w:tr>
      <w:tr w14:paraId="6D0E5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227" w:type="dxa"/>
            <w:vMerge w:val="continue"/>
            <w:noWrap w:val="0"/>
            <w:vAlign w:val="center"/>
          </w:tcPr>
          <w:p w14:paraId="06E07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color w:val="000000"/>
                <w:sz w:val="28"/>
                <w:szCs w:val="28"/>
              </w:rPr>
            </w:pPr>
          </w:p>
        </w:tc>
        <w:tc>
          <w:tcPr>
            <w:tcW w:w="5625" w:type="dxa"/>
            <w:shd w:val="clear" w:color="auto" w:fill="auto"/>
            <w:noWrap w:val="0"/>
            <w:vAlign w:val="center"/>
          </w:tcPr>
          <w:p w14:paraId="6F534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  <w:t>本部门利用信用风险分级分类开展随机抽查次数、户数及发现问题户数</w:t>
            </w:r>
          </w:p>
        </w:tc>
        <w:tc>
          <w:tcPr>
            <w:tcW w:w="2510" w:type="dxa"/>
            <w:noWrap w:val="0"/>
            <w:vAlign w:val="center"/>
          </w:tcPr>
          <w:p w14:paraId="09FDA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outlineLvl w:val="9"/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429D2446">
      <w:pPr>
        <w:keepNext w:val="0"/>
        <w:keepLines w:val="0"/>
        <w:pageBreakBefore w:val="0"/>
        <w:widowControl w:val="0"/>
        <w:topLinePunct w:val="0"/>
        <w:bidi w:val="0"/>
        <w:textAlignment w:val="auto"/>
        <w:rPr>
          <w:rFonts w:hint="eastAsia" w:ascii="仿宋_GB2312" w:hAnsi="Times New Roman" w:eastAsia="仿宋_GB2312" w:cs="Times New Roman"/>
          <w:color w:val="000000"/>
          <w:sz w:val="32"/>
          <w:szCs w:val="32"/>
          <w:u w:val="single"/>
        </w:rPr>
        <w:sectPr>
          <w:footerReference r:id="rId3" w:type="default"/>
          <w:pgSz w:w="11906" w:h="16838"/>
          <w:pgMar w:top="2098" w:right="1474" w:bottom="1984" w:left="1588" w:header="851" w:footer="992" w:gutter="0"/>
          <w:pgNumType w:fmt="numberInDash"/>
          <w:cols w:space="720" w:num="1"/>
          <w:rtlGutter w:val="0"/>
          <w:docGrid w:type="linesAndChars" w:linePitch="579" w:charSpace="-849"/>
        </w:sect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联系人：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cs="仿宋_GB2312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联系电话：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cs="仿宋_GB2312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手机：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cs="仿宋_GB2312"/>
          <w:color w:val="000000"/>
          <w:sz w:val="28"/>
          <w:szCs w:val="28"/>
          <w:u w:val="single"/>
          <w:lang w:val="en-US" w:eastAsia="zh-CN"/>
        </w:rPr>
        <w:t xml:space="preserve">    </w:t>
      </w:r>
      <w:bookmarkStart w:id="0" w:name="_GoBack"/>
      <w:bookmarkEnd w:id="0"/>
    </w:p>
    <w:p w14:paraId="364973F3">
      <w:pPr>
        <w:pStyle w:val="3"/>
        <w:keepNext w:val="0"/>
        <w:keepLines w:val="0"/>
        <w:pageBreakBefore w:val="0"/>
        <w:widowControl w:val="0"/>
        <w:tabs>
          <w:tab w:val="left" w:pos="3795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sz w:val="2"/>
          <w:szCs w:val="2"/>
        </w:rPr>
      </w:pPr>
    </w:p>
    <w:sectPr>
      <w:footerReference r:id="rId4" w:type="default"/>
      <w:footerReference r:id="rId5" w:type="even"/>
      <w:pgSz w:w="11910" w:h="16840"/>
      <w:pgMar w:top="2098" w:right="1417" w:bottom="1984" w:left="1531" w:header="0" w:footer="0" w:gutter="0"/>
      <w:pgNumType w:fmt="numberInDash"/>
      <w:cols w:equalWidth="0" w:num="1">
        <w:col w:w="906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9406E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-85725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6E0B2C">
                          <w:pPr>
                            <w:pStyle w:val="5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6.7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CWcMzdUAAAAIAQAADwAAAAAAAAABACAAAAAiAAAAZHJzL2Rvd25y&#10;ZXYueG1sUEsBAhQAFAAAAAgAh07iQCWTNKnIAQAAmQMAAA4AAAAAAAAAAQAgAAAAJA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F6E0B2C">
                    <w:pPr>
                      <w:pStyle w:val="5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775D2">
    <w:pPr>
      <w:pStyle w:val="3"/>
      <w:kinsoku w:val="0"/>
      <w:overflowPunct w:val="0"/>
      <w:spacing w:line="14" w:lineRule="auto"/>
      <w:ind w:left="0"/>
      <w:rPr>
        <w:rFonts w:ascii="Times New Roman" w:cs="Times New Roman" w:eastAsiaTheme="minorEastAsia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4A6E77">
    <w:pPr>
      <w:pStyle w:val="3"/>
      <w:kinsoku w:val="0"/>
      <w:overflowPunct w:val="0"/>
      <w:spacing w:line="14" w:lineRule="auto"/>
      <w:ind w:left="0"/>
      <w:rPr>
        <w:rFonts w:ascii="Times New Roman" w:cs="Times New Roman" w:eastAsiaTheme="minorEastAsia"/>
        <w:sz w:val="2"/>
        <w:szCs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HorizontalSpacing w:val="164"/>
  <w:drawingGridVerticalSpacing w:val="911"/>
  <w:displayHorizontalDrawingGridEvery w:val="1"/>
  <w:displayVerticalDrawingGridEvery w:val="1"/>
  <w:doNotUseMarginsForDrawingGridOrigin w:val="1"/>
  <w:drawingGridHorizontalOrigin w:val="1800"/>
  <w:drawingGridVerticalOrigin w:val="1440"/>
  <w:doNotShadeFormData w:val="1"/>
  <w:noPunctuationKerning w:val="1"/>
  <w:characterSpacingControl w:val="doNotCompress"/>
  <w:doNotValidateAgainstSchema/>
  <w:doNotDemarcateInvalidXml/>
  <w:compat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hZWM0M2ZmZjcwNmVhYjNhNzE2OTE0MWQwZGFkNDkifQ=="/>
  </w:docVars>
  <w:rsids>
    <w:rsidRoot w:val="00E81EA5"/>
    <w:rsid w:val="0000477E"/>
    <w:rsid w:val="00014372"/>
    <w:rsid w:val="0003074A"/>
    <w:rsid w:val="00052CED"/>
    <w:rsid w:val="000F2CAB"/>
    <w:rsid w:val="000F30A3"/>
    <w:rsid w:val="000F7159"/>
    <w:rsid w:val="0010502F"/>
    <w:rsid w:val="001569B3"/>
    <w:rsid w:val="001A26A2"/>
    <w:rsid w:val="001E3E98"/>
    <w:rsid w:val="0021193B"/>
    <w:rsid w:val="00214CB3"/>
    <w:rsid w:val="00234B70"/>
    <w:rsid w:val="0027137E"/>
    <w:rsid w:val="002A6925"/>
    <w:rsid w:val="002B4746"/>
    <w:rsid w:val="002F2A39"/>
    <w:rsid w:val="002F41A7"/>
    <w:rsid w:val="00344EFB"/>
    <w:rsid w:val="00360F12"/>
    <w:rsid w:val="003614D5"/>
    <w:rsid w:val="00372EB5"/>
    <w:rsid w:val="003A0F9B"/>
    <w:rsid w:val="003C6FAA"/>
    <w:rsid w:val="003F3252"/>
    <w:rsid w:val="00416362"/>
    <w:rsid w:val="0047256A"/>
    <w:rsid w:val="00537A98"/>
    <w:rsid w:val="00540056"/>
    <w:rsid w:val="005E4071"/>
    <w:rsid w:val="00693127"/>
    <w:rsid w:val="00695EB8"/>
    <w:rsid w:val="006A6A42"/>
    <w:rsid w:val="006B496C"/>
    <w:rsid w:val="006C0777"/>
    <w:rsid w:val="006D2734"/>
    <w:rsid w:val="006D470C"/>
    <w:rsid w:val="006E0018"/>
    <w:rsid w:val="00707134"/>
    <w:rsid w:val="007430DA"/>
    <w:rsid w:val="00760962"/>
    <w:rsid w:val="007B7788"/>
    <w:rsid w:val="007D2FD9"/>
    <w:rsid w:val="007E6989"/>
    <w:rsid w:val="008143F0"/>
    <w:rsid w:val="0084660E"/>
    <w:rsid w:val="008B6FC0"/>
    <w:rsid w:val="008C3461"/>
    <w:rsid w:val="008C6659"/>
    <w:rsid w:val="008E69C5"/>
    <w:rsid w:val="00900BF2"/>
    <w:rsid w:val="00924C63"/>
    <w:rsid w:val="0092521F"/>
    <w:rsid w:val="00950550"/>
    <w:rsid w:val="0096028A"/>
    <w:rsid w:val="00976093"/>
    <w:rsid w:val="009C16F6"/>
    <w:rsid w:val="009D3FAD"/>
    <w:rsid w:val="00A2725A"/>
    <w:rsid w:val="00AA5514"/>
    <w:rsid w:val="00AB73E8"/>
    <w:rsid w:val="00AC1713"/>
    <w:rsid w:val="00B64364"/>
    <w:rsid w:val="00BE550A"/>
    <w:rsid w:val="00C37C8E"/>
    <w:rsid w:val="00D747FD"/>
    <w:rsid w:val="00DD5A67"/>
    <w:rsid w:val="00DE27B0"/>
    <w:rsid w:val="00DE7363"/>
    <w:rsid w:val="00E81EA5"/>
    <w:rsid w:val="00EA5A19"/>
    <w:rsid w:val="00EA7A73"/>
    <w:rsid w:val="00EC5341"/>
    <w:rsid w:val="00ED069E"/>
    <w:rsid w:val="00F376BF"/>
    <w:rsid w:val="00F633A2"/>
    <w:rsid w:val="00F66588"/>
    <w:rsid w:val="00F71EBA"/>
    <w:rsid w:val="00FC61F6"/>
    <w:rsid w:val="00FE5182"/>
    <w:rsid w:val="00FF3338"/>
    <w:rsid w:val="01B464A4"/>
    <w:rsid w:val="02BA6B3C"/>
    <w:rsid w:val="03947F55"/>
    <w:rsid w:val="03FE3CA5"/>
    <w:rsid w:val="074712A8"/>
    <w:rsid w:val="0CC51422"/>
    <w:rsid w:val="0D2014D6"/>
    <w:rsid w:val="0D7C1820"/>
    <w:rsid w:val="0EEC62C4"/>
    <w:rsid w:val="0F0F3A3B"/>
    <w:rsid w:val="10774A97"/>
    <w:rsid w:val="10C84F83"/>
    <w:rsid w:val="11515202"/>
    <w:rsid w:val="13A95830"/>
    <w:rsid w:val="147A286F"/>
    <w:rsid w:val="14B35ABC"/>
    <w:rsid w:val="16AC6952"/>
    <w:rsid w:val="16FC0019"/>
    <w:rsid w:val="1955117E"/>
    <w:rsid w:val="21B24356"/>
    <w:rsid w:val="2351253E"/>
    <w:rsid w:val="235F05A0"/>
    <w:rsid w:val="24713408"/>
    <w:rsid w:val="2765311F"/>
    <w:rsid w:val="276B5630"/>
    <w:rsid w:val="27CA4CC7"/>
    <w:rsid w:val="29C803A8"/>
    <w:rsid w:val="2C953829"/>
    <w:rsid w:val="34795E12"/>
    <w:rsid w:val="347C1A65"/>
    <w:rsid w:val="34EC6134"/>
    <w:rsid w:val="37B213A9"/>
    <w:rsid w:val="388163D9"/>
    <w:rsid w:val="39344F8B"/>
    <w:rsid w:val="3A9E59FB"/>
    <w:rsid w:val="3B6C7846"/>
    <w:rsid w:val="3DFA6BFA"/>
    <w:rsid w:val="3F7170B1"/>
    <w:rsid w:val="4407278A"/>
    <w:rsid w:val="46CC1C7E"/>
    <w:rsid w:val="4B426609"/>
    <w:rsid w:val="539B01DF"/>
    <w:rsid w:val="58514147"/>
    <w:rsid w:val="58D32208"/>
    <w:rsid w:val="59DD7A04"/>
    <w:rsid w:val="59ED3194"/>
    <w:rsid w:val="5A851901"/>
    <w:rsid w:val="5D9923BD"/>
    <w:rsid w:val="5DD01B79"/>
    <w:rsid w:val="5E2420D4"/>
    <w:rsid w:val="5F150B51"/>
    <w:rsid w:val="5F546472"/>
    <w:rsid w:val="607F0675"/>
    <w:rsid w:val="65336B29"/>
    <w:rsid w:val="67136B54"/>
    <w:rsid w:val="6C5F7359"/>
    <w:rsid w:val="6CEB1A97"/>
    <w:rsid w:val="6F655B31"/>
    <w:rsid w:val="75F55735"/>
    <w:rsid w:val="7C3847D9"/>
    <w:rsid w:val="7E1E1C40"/>
    <w:rsid w:val="7E82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96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autoRedefine/>
    <w:qFormat/>
    <w:uiPriority w:val="1"/>
    <w:pPr>
      <w:ind w:left="115"/>
      <w:outlineLvl w:val="0"/>
    </w:pPr>
    <w:rPr>
      <w:rFonts w:ascii="宋体" w:eastAsia="宋体" w:cs="宋体"/>
      <w:sz w:val="44"/>
      <w:szCs w:val="44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4"/>
    <w:autoRedefine/>
    <w:qFormat/>
    <w:uiPriority w:val="1"/>
    <w:pPr>
      <w:ind w:left="108"/>
    </w:pPr>
    <w:rPr>
      <w:rFonts w:ascii="宋体" w:eastAsia="宋体" w:cs="宋体"/>
      <w:sz w:val="32"/>
      <w:szCs w:val="32"/>
    </w:rPr>
  </w:style>
  <w:style w:type="paragraph" w:styleId="4">
    <w:name w:val="Balloon Text"/>
    <w:basedOn w:val="1"/>
    <w:link w:val="20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styleId="10">
    <w:name w:val="Strong"/>
    <w:qFormat/>
    <w:uiPriority w:val="0"/>
    <w:rPr>
      <w:b/>
    </w:rPr>
  </w:style>
  <w:style w:type="character" w:styleId="11">
    <w:name w:val="page number"/>
    <w:basedOn w:val="9"/>
    <w:autoRedefine/>
    <w:qFormat/>
    <w:uiPriority w:val="0"/>
  </w:style>
  <w:style w:type="character" w:styleId="12">
    <w:name w:val="Hyperlink"/>
    <w:basedOn w:val="9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Heading3"/>
    <w:basedOn w:val="1"/>
    <w:next w:val="1"/>
    <w:autoRedefine/>
    <w:qFormat/>
    <w:uiPriority w:val="99"/>
    <w:pPr>
      <w:keepNext/>
      <w:keepLines/>
      <w:spacing w:line="560" w:lineRule="exact"/>
      <w:textAlignment w:val="baseline"/>
    </w:pPr>
    <w:rPr>
      <w:rFonts w:ascii="Calibri" w:hAnsi="Calibri" w:cs="Calibri"/>
      <w:b/>
      <w:bCs/>
    </w:rPr>
  </w:style>
  <w:style w:type="character" w:customStyle="1" w:styleId="14">
    <w:name w:val="正文文本 字符"/>
    <w:basedOn w:val="9"/>
    <w:link w:val="3"/>
    <w:autoRedefine/>
    <w:semiHidden/>
    <w:qFormat/>
    <w:uiPriority w:val="99"/>
    <w:rPr>
      <w:rFonts w:ascii="Times New Roman" w:hAnsi="Times New Roman" w:cs="Times New Roman"/>
      <w:kern w:val="0"/>
      <w:sz w:val="24"/>
      <w:szCs w:val="24"/>
    </w:rPr>
  </w:style>
  <w:style w:type="character" w:customStyle="1" w:styleId="15">
    <w:name w:val="标题 1 字符"/>
    <w:basedOn w:val="9"/>
    <w:link w:val="2"/>
    <w:autoRedefine/>
    <w:qFormat/>
    <w:uiPriority w:val="9"/>
    <w:rPr>
      <w:rFonts w:ascii="Times New Roman" w:hAnsi="Times New Roman" w:cs="Times New Roman"/>
      <w:b/>
      <w:bCs/>
      <w:kern w:val="44"/>
      <w:sz w:val="44"/>
      <w:szCs w:val="44"/>
    </w:rPr>
  </w:style>
  <w:style w:type="paragraph" w:styleId="16">
    <w:name w:val="List Paragraph"/>
    <w:basedOn w:val="1"/>
    <w:autoRedefine/>
    <w:qFormat/>
    <w:uiPriority w:val="1"/>
  </w:style>
  <w:style w:type="paragraph" w:customStyle="1" w:styleId="17">
    <w:name w:val="Table Paragraph"/>
    <w:basedOn w:val="1"/>
    <w:autoRedefine/>
    <w:qFormat/>
    <w:uiPriority w:val="1"/>
  </w:style>
  <w:style w:type="character" w:customStyle="1" w:styleId="18">
    <w:name w:val="页眉 字符"/>
    <w:basedOn w:val="9"/>
    <w:link w:val="6"/>
    <w:autoRedefine/>
    <w:qFormat/>
    <w:uiPriority w:val="99"/>
    <w:rPr>
      <w:rFonts w:ascii="Times New Roman" w:hAnsi="Times New Roman" w:cs="Times New Roman"/>
      <w:kern w:val="0"/>
      <w:sz w:val="18"/>
      <w:szCs w:val="18"/>
    </w:rPr>
  </w:style>
  <w:style w:type="character" w:customStyle="1" w:styleId="19">
    <w:name w:val="页脚 字符"/>
    <w:basedOn w:val="9"/>
    <w:link w:val="5"/>
    <w:autoRedefine/>
    <w:qFormat/>
    <w:uiPriority w:val="99"/>
    <w:rPr>
      <w:rFonts w:ascii="Times New Roman" w:hAnsi="Times New Roman" w:cs="Times New Roman"/>
      <w:kern w:val="0"/>
      <w:sz w:val="18"/>
      <w:szCs w:val="18"/>
    </w:rPr>
  </w:style>
  <w:style w:type="character" w:customStyle="1" w:styleId="20">
    <w:name w:val="批注框文本 字符"/>
    <w:basedOn w:val="9"/>
    <w:link w:val="4"/>
    <w:autoRedefine/>
    <w:semiHidden/>
    <w:qFormat/>
    <w:uiPriority w:val="99"/>
    <w:rPr>
      <w:rFonts w:ascii="Times New Roman" w:hAnsi="Times New Roman" w:cs="Times New Roman"/>
      <w:kern w:val="0"/>
      <w:sz w:val="18"/>
      <w:szCs w:val="18"/>
    </w:rPr>
  </w:style>
  <w:style w:type="paragraph" w:customStyle="1" w:styleId="21">
    <w:name w:val="Heading #2|1"/>
    <w:basedOn w:val="1"/>
    <w:autoRedefine/>
    <w:qFormat/>
    <w:uiPriority w:val="0"/>
    <w:pPr>
      <w:widowControl w:val="0"/>
      <w:shd w:val="clear" w:color="auto" w:fill="auto"/>
      <w:spacing w:after="540" w:line="662" w:lineRule="exact"/>
      <w:jc w:val="center"/>
      <w:outlineLvl w:val="1"/>
    </w:pPr>
    <w:rPr>
      <w:rFonts w:ascii="宋体" w:hAnsi="宋体" w:eastAsia="宋体" w:cs="宋体"/>
      <w:sz w:val="40"/>
      <w:szCs w:val="40"/>
      <w:u w:val="none"/>
      <w:shd w:val="clear" w:color="auto" w:fill="auto"/>
      <w:lang w:val="zh-TW" w:eastAsia="zh-TW" w:bidi="zh-TW"/>
    </w:rPr>
  </w:style>
  <w:style w:type="paragraph" w:customStyle="1" w:styleId="22">
    <w:name w:val="Body text|1"/>
    <w:basedOn w:val="1"/>
    <w:autoRedefine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3">
    <w:name w:val="Header or footer|2"/>
    <w:basedOn w:val="1"/>
    <w:autoRedefine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09ACDD8-21E4-42ED-BBF8-7487FBC9D3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2699</Words>
  <Characters>2750</Characters>
  <Lines>3</Lines>
  <Paragraphs>1</Paragraphs>
  <TotalTime>4</TotalTime>
  <ScaleCrop>false</ScaleCrop>
  <LinksUpToDate>false</LinksUpToDate>
  <CharactersWithSpaces>2821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2020-01-08T06:56:00Z</dcterms:created>
  <dc:creator>冯樱</dc:creator>
  <cp:lastModifiedBy>Avecle soleil</cp:lastModifiedBy>
  <cp:lastPrinted>2024-01-30T02:15:00Z</cp:lastPrinted>
  <dcterms:modified xsi:type="dcterms:W3CDTF">2025-03-04T06:08:46Z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WPS Office</vt:lpwstr>
  </property>
  <property fmtid="{D5CDD505-2E9C-101B-9397-08002B2CF9AE}" pid="3" name="KSOProductBuildVer">
    <vt:lpwstr>2052-12.1.0.20305</vt:lpwstr>
  </property>
  <property fmtid="{D5CDD505-2E9C-101B-9397-08002B2CF9AE}" pid="4" name="ICV">
    <vt:lpwstr>E2B3D4886C4F45B0A3AE00393BA093D5_13</vt:lpwstr>
  </property>
  <property fmtid="{D5CDD505-2E9C-101B-9397-08002B2CF9AE}" pid="5" name="KSOTemplateDocerSaveRecord">
    <vt:lpwstr>eyJoZGlkIjoiYjlhZWM0M2ZmZjcwNmVhYjNhNzE2OTE0MWQwZGFkNDkiLCJ1c2VySWQiOiI5ODIwNTYzMzAifQ==</vt:lpwstr>
  </property>
</Properties>
</file>