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44D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drawing>
          <wp:anchor distT="0" distB="0" distL="114300" distR="114300" simplePos="0" relativeHeight="251660288" behindDoc="0" locked="0" layoutInCell="1" allowOverlap="1">
            <wp:simplePos x="0" y="0"/>
            <wp:positionH relativeFrom="column">
              <wp:posOffset>7620</wp:posOffset>
            </wp:positionH>
            <wp:positionV relativeFrom="paragraph">
              <wp:posOffset>175260</wp:posOffset>
            </wp:positionV>
            <wp:extent cx="5573395" cy="1110615"/>
            <wp:effectExtent l="0" t="0" r="8255" b="1333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573395" cy="1110615"/>
                    </a:xfrm>
                    <a:prstGeom prst="rect">
                      <a:avLst/>
                    </a:prstGeom>
                    <a:noFill/>
                    <a:ln>
                      <a:noFill/>
                    </a:ln>
                  </pic:spPr>
                </pic:pic>
              </a:graphicData>
            </a:graphic>
          </wp:anchor>
        </w:drawing>
      </w:r>
    </w:p>
    <w:p w14:paraId="5AA571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阜</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统</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法</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字</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20</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25]4</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号</w:t>
      </w:r>
    </w:p>
    <w:p w14:paraId="72F951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-231775</wp:posOffset>
                </wp:positionH>
                <wp:positionV relativeFrom="paragraph">
                  <wp:posOffset>92075</wp:posOffset>
                </wp:positionV>
                <wp:extent cx="5976620" cy="15875"/>
                <wp:effectExtent l="0" t="0" r="0" b="0"/>
                <wp:wrapNone/>
                <wp:docPr id="2" name="直接连接符 2"/>
                <wp:cNvGraphicFramePr/>
                <a:graphic xmlns:a="http://schemas.openxmlformats.org/drawingml/2006/main">
                  <a:graphicData uri="http://schemas.microsoft.com/office/word/2010/wordprocessingShape">
                    <wps:wsp>
                      <wps:cNvCnPr/>
                      <wps:spPr>
                        <a:xfrm flipV="1">
                          <a:off x="791845" y="2796540"/>
                          <a:ext cx="5976620" cy="15875"/>
                        </a:xfrm>
                        <a:prstGeom prst="line">
                          <a:avLst/>
                        </a:prstGeom>
                        <a:ln w="28575">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flip:y;margin-left:-18.25pt;margin-top:7.25pt;height:1.25pt;width:470.6pt;z-index:251661312;mso-width-relative:page;mso-height-relative:page;" filled="f" stroked="t" coordsize="21600,21600" o:gfxdata="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3pnLoNoAAAAJAQAADwAAAAAAAAABACAAAAAiAAAAZHJzL2Rv&#10;d25yZXYueG1sUEsBAhQAFAAAAAgAh07iQDD+HFv/AQAAywMAAA4AAAAAAAAAAQAgAAAAKQEAAGRy&#10;cy9lMm9Eb2MueG1sUEsFBgAAAAAGAAYAWQEAAJoFAAAAAA==&#10;">
                <v:fill on="f" focussize="0,0"/>
                <v:stroke weight="2.25pt" color="#FF0000 [3205]" miterlimit="8" joinstyle="miter"/>
                <v:imagedata o:title=""/>
                <o:lock v:ext="edit" aspectratio="f"/>
              </v:line>
            </w:pict>
          </mc:Fallback>
        </mc:AlternateContent>
      </w:r>
    </w:p>
    <w:p w14:paraId="11208DD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阜平县统计局</w:t>
      </w:r>
    </w:p>
    <w:p w14:paraId="52F2D88B">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eastAsia="zh-CN"/>
        </w:rPr>
        <w:t>内部</w:t>
      </w:r>
      <w:r>
        <w:rPr>
          <w:rFonts w:hint="eastAsia" w:ascii="方正小标宋简体" w:hAnsi="方正小标宋简体" w:eastAsia="方正小标宋简体" w:cs="方正小标宋简体"/>
          <w:sz w:val="44"/>
          <w:szCs w:val="44"/>
        </w:rPr>
        <w:t>联合随机抽查工作方案</w:t>
      </w:r>
    </w:p>
    <w:p w14:paraId="73FB937A">
      <w:pPr>
        <w:keepNext w:val="0"/>
        <w:keepLines w:val="0"/>
        <w:pageBreakBefore w:val="0"/>
        <w:widowControl w:val="0"/>
        <w:kinsoku/>
        <w:wordWrap/>
        <w:overflowPunct/>
        <w:topLinePunct w:val="0"/>
        <w:autoSpaceDE/>
        <w:autoSpaceDN/>
        <w:bidi w:val="0"/>
        <w:adjustRightInd/>
        <w:snapToGrid/>
        <w:spacing w:line="560" w:lineRule="exact"/>
        <w:ind w:left="0" w:leftChars="0" w:right="0"/>
        <w:textAlignment w:val="auto"/>
        <w:rPr>
          <w:rFonts w:hint="eastAsia"/>
        </w:rPr>
      </w:pPr>
    </w:p>
    <w:p w14:paraId="270306BE">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为</w:t>
      </w:r>
      <w:r>
        <w:rPr>
          <w:rFonts w:hint="eastAsia" w:ascii="仿宋_GB2312" w:hAnsi="仿宋_GB2312" w:eastAsia="仿宋_GB2312" w:cs="仿宋_GB2312"/>
          <w:color w:val="000000"/>
          <w:sz w:val="32"/>
          <w:szCs w:val="32"/>
        </w:rPr>
        <w:t>认真贯彻落实“双随机、一公开”监管工作的部署要求，</w:t>
      </w:r>
      <w:r>
        <w:rPr>
          <w:rFonts w:hint="eastAsia" w:ascii="仿宋_GB2312" w:hAnsi="仿宋_GB2312" w:eastAsia="仿宋_GB2312" w:cs="仿宋_GB2312"/>
          <w:color w:val="000000"/>
          <w:kern w:val="0"/>
          <w:sz w:val="32"/>
          <w:szCs w:val="32"/>
        </w:rPr>
        <w:t>深入</w:t>
      </w:r>
      <w:r>
        <w:rPr>
          <w:rFonts w:hint="eastAsia" w:ascii="仿宋_GB2312" w:hAnsi="仿宋_GB2312" w:eastAsia="仿宋_GB2312" w:cs="仿宋_GB2312"/>
          <w:color w:val="000000"/>
          <w:sz w:val="32"/>
          <w:szCs w:val="32"/>
        </w:rPr>
        <w:t>推进部门</w:t>
      </w:r>
      <w:r>
        <w:rPr>
          <w:rFonts w:hint="eastAsia" w:ascii="仿宋_GB2312" w:hAnsi="仿宋_GB2312" w:eastAsia="仿宋_GB2312" w:cs="仿宋_GB2312"/>
          <w:color w:val="000000"/>
          <w:sz w:val="32"/>
          <w:szCs w:val="32"/>
          <w:lang w:eastAsia="zh-CN"/>
        </w:rPr>
        <w:t>内部</w:t>
      </w:r>
      <w:r>
        <w:rPr>
          <w:rFonts w:hint="eastAsia" w:ascii="仿宋_GB2312" w:hAnsi="仿宋_GB2312" w:eastAsia="仿宋_GB2312" w:cs="仿宋_GB2312"/>
          <w:color w:val="000000"/>
          <w:sz w:val="32"/>
          <w:szCs w:val="32"/>
        </w:rPr>
        <w:t>联合抽查和企业信用风险差异化抽查，</w:t>
      </w:r>
      <w:r>
        <w:rPr>
          <w:rFonts w:hint="eastAsia" w:ascii="仿宋_GB2312" w:hAnsi="仿宋_GB2312" w:eastAsia="仿宋_GB2312" w:cs="仿宋_GB2312"/>
          <w:color w:val="000000"/>
          <w:kern w:val="0"/>
          <w:sz w:val="32"/>
          <w:szCs w:val="32"/>
        </w:rPr>
        <w:t>根据《阜平县</w:t>
      </w:r>
      <w:r>
        <w:rPr>
          <w:rFonts w:hint="eastAsia" w:ascii="仿宋_GB2312" w:hAnsi="仿宋_GB2312" w:eastAsia="仿宋_GB2312" w:cs="仿宋_GB2312"/>
          <w:color w:val="000000"/>
          <w:kern w:val="0"/>
          <w:sz w:val="32"/>
          <w:szCs w:val="32"/>
          <w:lang w:eastAsia="zh-CN"/>
        </w:rPr>
        <w:t>统计</w:t>
      </w:r>
      <w:r>
        <w:rPr>
          <w:rFonts w:hint="eastAsia" w:ascii="仿宋_GB2312" w:hAnsi="仿宋_GB2312" w:eastAsia="仿宋_GB2312" w:cs="仿宋_GB2312"/>
          <w:color w:val="000000"/>
          <w:kern w:val="0"/>
          <w:sz w:val="32"/>
          <w:szCs w:val="32"/>
        </w:rPr>
        <w:t>局202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年度“双随机、一公开”随机抽查工作计划》，</w:t>
      </w:r>
      <w:r>
        <w:rPr>
          <w:rFonts w:hint="eastAsia" w:ascii="仿宋_GB2312" w:hAnsi="仿宋_GB2312" w:eastAsia="仿宋_GB2312" w:cs="仿宋_GB2312"/>
          <w:color w:val="000000"/>
          <w:kern w:val="0"/>
          <w:sz w:val="32"/>
          <w:szCs w:val="32"/>
          <w:lang w:eastAsia="zh-CN"/>
        </w:rPr>
        <w:t>结合我局实际，</w:t>
      </w:r>
      <w:r>
        <w:rPr>
          <w:rFonts w:hint="eastAsia" w:ascii="仿宋_GB2312" w:hAnsi="仿宋_GB2312" w:eastAsia="仿宋_GB2312" w:cs="仿宋_GB2312"/>
          <w:color w:val="000000"/>
          <w:kern w:val="0"/>
          <w:sz w:val="32"/>
          <w:szCs w:val="32"/>
        </w:rPr>
        <w:t>组织开展202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eastAsia="zh-CN"/>
        </w:rPr>
        <w:t>内部</w:t>
      </w:r>
      <w:r>
        <w:rPr>
          <w:rFonts w:hint="eastAsia" w:ascii="仿宋_GB2312" w:hAnsi="仿宋_GB2312" w:eastAsia="仿宋_GB2312" w:cs="仿宋_GB2312"/>
          <w:color w:val="000000"/>
          <w:kern w:val="0"/>
          <w:sz w:val="32"/>
          <w:szCs w:val="32"/>
        </w:rPr>
        <w:t>联合</w:t>
      </w:r>
      <w:r>
        <w:rPr>
          <w:rFonts w:hint="eastAsia" w:ascii="仿宋_GB2312" w:hAnsi="仿宋_GB2312" w:eastAsia="仿宋_GB2312" w:cs="仿宋_GB2312"/>
          <w:color w:val="000000"/>
          <w:kern w:val="0"/>
          <w:sz w:val="32"/>
          <w:szCs w:val="32"/>
          <w:lang w:eastAsia="zh-CN"/>
        </w:rPr>
        <w:t>随机</w:t>
      </w:r>
      <w:r>
        <w:rPr>
          <w:rFonts w:hint="eastAsia" w:ascii="仿宋_GB2312" w:hAnsi="仿宋_GB2312" w:eastAsia="仿宋_GB2312" w:cs="仿宋_GB2312"/>
          <w:color w:val="000000"/>
          <w:kern w:val="0"/>
          <w:sz w:val="32"/>
          <w:szCs w:val="32"/>
        </w:rPr>
        <w:t>抽查，特制定本方案。</w:t>
      </w:r>
    </w:p>
    <w:p w14:paraId="201A68A3">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一、抽查时间</w:t>
      </w:r>
    </w:p>
    <w:p w14:paraId="5C8F3F32">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rPr>
        <w:t>日至202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30</w:t>
      </w:r>
      <w:r>
        <w:rPr>
          <w:rFonts w:hint="eastAsia" w:ascii="仿宋_GB2312" w:hAnsi="仿宋_GB2312" w:eastAsia="仿宋_GB2312" w:cs="仿宋_GB2312"/>
          <w:color w:val="000000"/>
          <w:kern w:val="0"/>
          <w:sz w:val="32"/>
          <w:szCs w:val="32"/>
        </w:rPr>
        <w:t>日。</w:t>
      </w:r>
    </w:p>
    <w:p w14:paraId="08A777B1">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黑体" w:hAnsi="黑体" w:eastAsia="黑体" w:cs="黑体"/>
          <w:sz w:val="32"/>
          <w:szCs w:val="32"/>
        </w:rPr>
      </w:pPr>
      <w:r>
        <w:rPr>
          <w:rFonts w:hint="eastAsia" w:ascii="黑体" w:hAnsi="黑体" w:eastAsia="黑体" w:cs="黑体"/>
          <w:color w:val="000000"/>
          <w:kern w:val="0"/>
          <w:sz w:val="32"/>
          <w:szCs w:val="32"/>
        </w:rPr>
        <w:t>二、</w:t>
      </w:r>
      <w:r>
        <w:rPr>
          <w:rFonts w:hint="eastAsia" w:ascii="黑体" w:hAnsi="黑体" w:eastAsia="黑体" w:cs="黑体"/>
          <w:sz w:val="32"/>
          <w:szCs w:val="32"/>
        </w:rPr>
        <w:t>抽查检查事项</w:t>
      </w:r>
    </w:p>
    <w:p w14:paraId="06509F17">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对统计调查对象依法提供统计资料情况检查；对统计调查对象依法建立原始记录、统计台账和统计资料管理制度情况检查。</w:t>
      </w:r>
    </w:p>
    <w:p w14:paraId="4DC285EC">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三、抽查对象范围、比例（数量）及信用风险等级</w:t>
      </w:r>
    </w:p>
    <w:p w14:paraId="261FC8E6">
      <w:pPr>
        <w:keepNext w:val="0"/>
        <w:keepLines w:val="0"/>
        <w:pageBreakBefore w:val="0"/>
        <w:widowControl w:val="0"/>
        <w:kinsoku/>
        <w:wordWrap/>
        <w:overflowPunct/>
        <w:topLinePunct w:val="0"/>
        <w:autoSpaceDE/>
        <w:autoSpaceDN/>
        <w:bidi w:val="0"/>
        <w:adjustRightInd/>
        <w:snapToGrid/>
        <w:spacing w:line="560" w:lineRule="exact"/>
        <w:ind w:left="0" w:leftChars="0" w:right="0" w:firstLine="643" w:firstLineChars="200"/>
        <w:textAlignment w:val="auto"/>
        <w:outlineLvl w:val="9"/>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（一）抽查对象范围</w:t>
      </w:r>
    </w:p>
    <w:p w14:paraId="6916F1DE">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名录库内规上企业</w:t>
      </w:r>
    </w:p>
    <w:p w14:paraId="566CEAEF">
      <w:pPr>
        <w:keepNext w:val="0"/>
        <w:keepLines w:val="0"/>
        <w:pageBreakBefore w:val="0"/>
        <w:widowControl w:val="0"/>
        <w:kinsoku/>
        <w:wordWrap/>
        <w:overflowPunct/>
        <w:topLinePunct w:val="0"/>
        <w:autoSpaceDE/>
        <w:autoSpaceDN/>
        <w:bidi w:val="0"/>
        <w:adjustRightInd/>
        <w:snapToGrid/>
        <w:spacing w:line="560" w:lineRule="exact"/>
        <w:ind w:left="0" w:leftChars="0" w:right="0" w:firstLine="643" w:firstLineChars="200"/>
        <w:textAlignment w:val="auto"/>
        <w:outlineLvl w:val="9"/>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（二）抽取比例（数量）</w:t>
      </w:r>
    </w:p>
    <w:p w14:paraId="742A6AAE">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lang w:eastAsia="zh-CN"/>
        </w:rPr>
        <w:t>规上企业</w:t>
      </w:r>
      <w:r>
        <w:rPr>
          <w:rFonts w:hint="eastAsia" w:ascii="仿宋_GB2312" w:hAnsi="仿宋_GB2312" w:eastAsia="仿宋_GB2312" w:cs="仿宋_GB2312"/>
          <w:color w:val="000000"/>
          <w:kern w:val="0"/>
          <w:sz w:val="32"/>
          <w:szCs w:val="32"/>
          <w:highlight w:val="none"/>
          <w:lang w:val="en-US" w:eastAsia="zh-CN"/>
        </w:rPr>
        <w:t>按12</w:t>
      </w:r>
      <w:bookmarkStart w:id="1" w:name="_GoBack"/>
      <w:bookmarkEnd w:id="1"/>
      <w:r>
        <w:rPr>
          <w:rFonts w:hint="eastAsia" w:ascii="仿宋_GB2312" w:hAnsi="仿宋_GB2312" w:eastAsia="仿宋_GB2312" w:cs="仿宋_GB2312"/>
          <w:color w:val="000000"/>
          <w:kern w:val="0"/>
          <w:sz w:val="32"/>
          <w:szCs w:val="32"/>
          <w:highlight w:val="none"/>
          <w:lang w:val="en-US" w:eastAsia="zh-CN"/>
        </w:rPr>
        <w:t>%比例抽取</w:t>
      </w:r>
      <w:r>
        <w:rPr>
          <w:rFonts w:hint="eastAsia" w:ascii="仿宋_GB2312" w:hAnsi="仿宋_GB2312" w:eastAsia="仿宋_GB2312" w:cs="仿宋_GB2312"/>
          <w:color w:val="000000"/>
          <w:kern w:val="0"/>
          <w:sz w:val="32"/>
          <w:szCs w:val="32"/>
          <w:highlight w:val="none"/>
        </w:rPr>
        <w:t>。</w:t>
      </w:r>
    </w:p>
    <w:p w14:paraId="4EC2C77F">
      <w:pPr>
        <w:keepNext w:val="0"/>
        <w:keepLines w:val="0"/>
        <w:pageBreakBefore w:val="0"/>
        <w:widowControl w:val="0"/>
        <w:kinsoku/>
        <w:wordWrap/>
        <w:overflowPunct/>
        <w:topLinePunct w:val="0"/>
        <w:autoSpaceDE/>
        <w:autoSpaceDN/>
        <w:bidi w:val="0"/>
        <w:adjustRightInd/>
        <w:snapToGrid/>
        <w:spacing w:line="560" w:lineRule="exact"/>
        <w:ind w:left="0" w:leftChars="0" w:right="0" w:firstLine="643" w:firstLineChars="200"/>
        <w:textAlignment w:val="auto"/>
        <w:outlineLvl w:val="9"/>
        <w:rPr>
          <w:rFonts w:hint="eastAsia" w:ascii="楷体_GB2312" w:hAnsi="楷体_GB2312" w:eastAsia="楷体_GB2312" w:cs="楷体_GB2312"/>
          <w:b/>
          <w:bCs/>
          <w:color w:val="000000"/>
          <w:sz w:val="32"/>
          <w:szCs w:val="32"/>
          <w:highlight w:val="none"/>
        </w:rPr>
      </w:pPr>
      <w:r>
        <w:rPr>
          <w:rFonts w:hint="eastAsia" w:ascii="楷体_GB2312" w:hAnsi="楷体_GB2312" w:eastAsia="楷体_GB2312" w:cs="楷体_GB2312"/>
          <w:b/>
          <w:bCs/>
          <w:color w:val="000000"/>
          <w:sz w:val="32"/>
          <w:szCs w:val="32"/>
          <w:highlight w:val="none"/>
        </w:rPr>
        <w:t>（三）运用企业信用风险等级抽取比例</w:t>
      </w:r>
    </w:p>
    <w:p w14:paraId="678A1FC8">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highlight w:val="none"/>
          <w:lang w:val="en"/>
        </w:rPr>
      </w:pPr>
      <w:r>
        <w:rPr>
          <w:rFonts w:hint="eastAsia" w:ascii="仿宋_GB2312" w:hAnsi="仿宋_GB2312" w:eastAsia="仿宋_GB2312" w:cs="仿宋_GB2312"/>
          <w:color w:val="000000"/>
          <w:kern w:val="0"/>
          <w:sz w:val="32"/>
          <w:szCs w:val="32"/>
          <w:highlight w:val="none"/>
        </w:rPr>
        <w:t>本次抽查是运用</w:t>
      </w:r>
      <w:r>
        <w:rPr>
          <w:rFonts w:hint="eastAsia" w:ascii="仿宋_GB2312" w:hAnsi="仿宋_GB2312" w:eastAsia="仿宋_GB2312" w:cs="仿宋_GB2312"/>
          <w:color w:val="000000"/>
          <w:kern w:val="0"/>
          <w:sz w:val="32"/>
          <w:szCs w:val="32"/>
          <w:highlight w:val="none"/>
          <w:lang w:eastAsia="zh-CN"/>
        </w:rPr>
        <w:t>“国家互联网</w:t>
      </w:r>
      <w:r>
        <w:rPr>
          <w:rFonts w:hint="eastAsia" w:ascii="仿宋_GB2312" w:hAnsi="仿宋_GB2312" w:eastAsia="仿宋_GB2312" w:cs="仿宋_GB2312"/>
          <w:color w:val="000000"/>
          <w:kern w:val="0"/>
          <w:sz w:val="32"/>
          <w:szCs w:val="32"/>
          <w:highlight w:val="none"/>
          <w:lang w:val="en-US" w:eastAsia="zh-CN"/>
        </w:rPr>
        <w:t>+</w:t>
      </w:r>
      <w:r>
        <w:rPr>
          <w:rFonts w:hint="eastAsia" w:ascii="仿宋_GB2312" w:hAnsi="仿宋_GB2312" w:eastAsia="仿宋_GB2312" w:cs="仿宋_GB2312"/>
          <w:color w:val="000000"/>
          <w:kern w:val="0"/>
          <w:sz w:val="32"/>
          <w:szCs w:val="32"/>
          <w:highlight w:val="none"/>
          <w:lang w:eastAsia="zh-CN"/>
        </w:rPr>
        <w:t>监管信用信息”</w:t>
      </w:r>
      <w:r>
        <w:rPr>
          <w:rFonts w:hint="eastAsia" w:ascii="仿宋_GB2312" w:hAnsi="仿宋_GB2312" w:eastAsia="仿宋_GB2312" w:cs="仿宋_GB2312"/>
          <w:color w:val="000000"/>
          <w:kern w:val="0"/>
          <w:sz w:val="32"/>
          <w:szCs w:val="32"/>
          <w:highlight w:val="none"/>
        </w:rPr>
        <w:t>系统</w:t>
      </w:r>
      <w:r>
        <w:rPr>
          <w:rFonts w:hint="eastAsia" w:ascii="仿宋_GB2312" w:hAnsi="仿宋_GB2312" w:eastAsia="仿宋_GB2312" w:cs="仿宋_GB2312"/>
          <w:color w:val="000000"/>
          <w:kern w:val="0"/>
          <w:sz w:val="32"/>
          <w:szCs w:val="32"/>
          <w:highlight w:val="none"/>
          <w:lang w:eastAsia="zh-CN"/>
        </w:rPr>
        <w:t>推送至</w:t>
      </w:r>
      <w:r>
        <w:rPr>
          <w:rFonts w:hint="eastAsia" w:ascii="仿宋_GB2312" w:hAnsi="仿宋_GB2312" w:eastAsia="仿宋_GB2312" w:cs="仿宋_GB2312"/>
          <w:color w:val="000000"/>
          <w:kern w:val="0"/>
          <w:sz w:val="32"/>
          <w:szCs w:val="32"/>
          <w:highlight w:val="none"/>
        </w:rPr>
        <w:t>“河北省双随机执法监管平台”（以下简称“监管平台”）数据，</w:t>
      </w:r>
      <w:r>
        <w:rPr>
          <w:rFonts w:hint="eastAsia" w:ascii="仿宋_GB2312" w:hAnsi="仿宋_GB2312" w:eastAsia="仿宋_GB2312" w:cs="仿宋_GB2312"/>
          <w:color w:val="000000"/>
          <w:kern w:val="0"/>
          <w:sz w:val="32"/>
          <w:szCs w:val="32"/>
          <w:highlight w:val="none"/>
          <w:lang w:val="en-US" w:eastAsia="zh-CN"/>
        </w:rPr>
        <w:t>对</w:t>
      </w:r>
      <w:r>
        <w:rPr>
          <w:rFonts w:hint="eastAsia" w:ascii="仿宋_GB2312" w:hAnsi="仿宋_GB2312" w:eastAsia="仿宋_GB2312" w:cs="仿宋_GB2312"/>
          <w:color w:val="000000"/>
          <w:kern w:val="0"/>
          <w:sz w:val="32"/>
          <w:szCs w:val="32"/>
          <w:highlight w:val="none"/>
          <w:lang w:eastAsia="zh-CN"/>
        </w:rPr>
        <w:t>规上企业</w:t>
      </w:r>
      <w:r>
        <w:rPr>
          <w:rFonts w:hint="eastAsia" w:ascii="仿宋_GB2312" w:hAnsi="仿宋_GB2312" w:eastAsia="仿宋_GB2312" w:cs="仿宋_GB2312"/>
          <w:color w:val="000000"/>
          <w:kern w:val="0"/>
          <w:sz w:val="32"/>
          <w:szCs w:val="32"/>
          <w:highlight w:val="none"/>
        </w:rPr>
        <w:t>按照风险等级越高抽取比例越</w:t>
      </w:r>
      <w:r>
        <w:rPr>
          <w:rFonts w:hint="eastAsia" w:ascii="仿宋_GB2312" w:hAnsi="仿宋_GB2312" w:eastAsia="仿宋_GB2312" w:cs="仿宋_GB2312"/>
          <w:color w:val="000000"/>
          <w:kern w:val="0"/>
          <w:sz w:val="32"/>
          <w:szCs w:val="32"/>
          <w:highlight w:val="none"/>
          <w:lang w:eastAsia="zh-CN"/>
        </w:rPr>
        <w:t>大</w:t>
      </w:r>
      <w:r>
        <w:rPr>
          <w:rFonts w:hint="eastAsia" w:ascii="仿宋_GB2312" w:hAnsi="仿宋_GB2312" w:eastAsia="仿宋_GB2312" w:cs="仿宋_GB2312"/>
          <w:color w:val="000000"/>
          <w:kern w:val="0"/>
          <w:sz w:val="32"/>
          <w:szCs w:val="32"/>
          <w:highlight w:val="none"/>
        </w:rPr>
        <w:t>的原则抽取检查对象。其中：B风险按</w:t>
      </w:r>
      <w:r>
        <w:rPr>
          <w:rFonts w:hint="eastAsia" w:ascii="仿宋_GB2312" w:hAnsi="仿宋_GB2312" w:eastAsia="仿宋_GB2312" w:cs="仿宋_GB2312"/>
          <w:color w:val="000000"/>
          <w:kern w:val="0"/>
          <w:sz w:val="32"/>
          <w:szCs w:val="32"/>
          <w:highlight w:val="none"/>
          <w:lang w:val="en-US" w:eastAsia="zh-CN"/>
        </w:rPr>
        <w:t>25</w:t>
      </w:r>
      <w:r>
        <w:rPr>
          <w:rFonts w:hint="eastAsia" w:ascii="仿宋_GB2312" w:hAnsi="仿宋_GB2312" w:eastAsia="仿宋_GB2312" w:cs="仿宋_GB2312"/>
          <w:color w:val="000000"/>
          <w:kern w:val="0"/>
          <w:sz w:val="32"/>
          <w:szCs w:val="32"/>
          <w:highlight w:val="none"/>
        </w:rPr>
        <w:t>%比例抽取，C风险按</w:t>
      </w:r>
      <w:r>
        <w:rPr>
          <w:rFonts w:hint="eastAsia" w:ascii="仿宋_GB2312" w:hAnsi="仿宋_GB2312" w:eastAsia="仿宋_GB2312" w:cs="仿宋_GB2312"/>
          <w:color w:val="000000"/>
          <w:kern w:val="0"/>
          <w:sz w:val="32"/>
          <w:szCs w:val="32"/>
          <w:highlight w:val="none"/>
          <w:lang w:val="en-US" w:eastAsia="zh-CN"/>
        </w:rPr>
        <w:t>30</w:t>
      </w:r>
      <w:r>
        <w:rPr>
          <w:rFonts w:hint="eastAsia" w:ascii="仿宋_GB2312" w:hAnsi="仿宋_GB2312" w:eastAsia="仿宋_GB2312" w:cs="仿宋_GB2312"/>
          <w:color w:val="000000"/>
          <w:kern w:val="0"/>
          <w:sz w:val="32"/>
          <w:szCs w:val="32"/>
          <w:highlight w:val="none"/>
        </w:rPr>
        <w:t>%比例抽取</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D风险按100%比例抽取</w:t>
      </w:r>
      <w:r>
        <w:rPr>
          <w:rFonts w:hint="eastAsia" w:ascii="仿宋_GB2312" w:hAnsi="仿宋_GB2312" w:eastAsia="仿宋_GB2312" w:cs="仿宋_GB2312"/>
          <w:color w:val="000000"/>
          <w:kern w:val="0"/>
          <w:sz w:val="32"/>
          <w:szCs w:val="32"/>
          <w:highlight w:val="none"/>
        </w:rPr>
        <w:t>。</w:t>
      </w:r>
    </w:p>
    <w:p w14:paraId="73FF6FD5">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四、抽查工作流程</w:t>
      </w:r>
    </w:p>
    <w:p w14:paraId="42DCA151">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统一</w:t>
      </w:r>
      <w:r>
        <w:rPr>
          <w:rFonts w:hint="eastAsia" w:ascii="仿宋_GB2312" w:hAnsi="仿宋_GB2312" w:eastAsia="仿宋_GB2312" w:cs="仿宋_GB2312"/>
          <w:color w:val="000000"/>
          <w:kern w:val="0"/>
          <w:sz w:val="32"/>
          <w:szCs w:val="32"/>
        </w:rPr>
        <w:t>通过“监管平台”按照不同比例、不同数量、不同信用风险等级抽取检查对象，</w:t>
      </w:r>
      <w:r>
        <w:rPr>
          <w:rFonts w:hint="eastAsia" w:ascii="仿宋_GB2312" w:hAnsi="仿宋_GB2312" w:eastAsia="仿宋_GB2312" w:cs="仿宋_GB2312"/>
          <w:color w:val="000000"/>
          <w:kern w:val="0"/>
          <w:sz w:val="32"/>
          <w:szCs w:val="32"/>
          <w:lang w:eastAsia="zh-CN"/>
        </w:rPr>
        <w:t>由“监管平台”自动派发到管辖机关，</w:t>
      </w:r>
      <w:r>
        <w:rPr>
          <w:rFonts w:hint="eastAsia" w:ascii="仿宋_GB2312" w:hAnsi="仿宋_GB2312" w:eastAsia="仿宋_GB2312" w:cs="仿宋_GB2312"/>
          <w:color w:val="000000"/>
          <w:kern w:val="0"/>
          <w:sz w:val="32"/>
          <w:szCs w:val="32"/>
        </w:rPr>
        <w:t>由部门系统管理员在两个工作日内完成比对和确认。</w:t>
      </w:r>
    </w:p>
    <w:p w14:paraId="41524CB7">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（二）</w:t>
      </w:r>
      <w:r>
        <w:rPr>
          <w:rFonts w:hint="eastAsia" w:ascii="仿宋_GB2312" w:hAnsi="仿宋_GB2312" w:eastAsia="仿宋_GB2312" w:cs="仿宋_GB2312"/>
          <w:color w:val="000000"/>
          <w:kern w:val="0"/>
          <w:sz w:val="32"/>
          <w:szCs w:val="32"/>
        </w:rPr>
        <w:t>通过“监管平台”对被检查对象进行编组</w:t>
      </w:r>
      <w:r>
        <w:rPr>
          <w:rFonts w:hint="eastAsia" w:ascii="仿宋_GB2312" w:hAnsi="仿宋_GB2312" w:eastAsia="仿宋_GB2312" w:cs="仿宋_GB2312"/>
          <w:color w:val="000000"/>
          <w:kern w:val="0"/>
          <w:sz w:val="32"/>
          <w:szCs w:val="32"/>
          <w:lang w:eastAsia="zh-CN"/>
        </w:rPr>
        <w:t>，并</w:t>
      </w:r>
      <w:r>
        <w:rPr>
          <w:rFonts w:hint="eastAsia" w:ascii="仿宋_GB2312" w:hAnsi="仿宋_GB2312" w:eastAsia="仿宋_GB2312" w:cs="仿宋_GB2312"/>
          <w:color w:val="000000"/>
          <w:kern w:val="0"/>
          <w:sz w:val="32"/>
          <w:szCs w:val="32"/>
        </w:rPr>
        <w:t>通过“监管平台”随机匹配检查人员</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生成针对每个检查对象的《双随机抽查检查记录表》，由执法人员对每个检查对象所涉及到的抽查事项内容一次性完成现场检查</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对每一个检查对象所涉及本次抽查的所有检查事项，实施全覆盖检查，确保按时完成检查任务。</w:t>
      </w:r>
    </w:p>
    <w:p w14:paraId="0BD0B8EB">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）按照“谁检查、谁录入、谁公开”的原则，自检查结束之日起20个工作日内在“监管平台”中完成录入、审核并公示检查结果。</w:t>
      </w:r>
    </w:p>
    <w:p w14:paraId="5B48E907">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）按照“谁审批、谁监管，谁主管、谁监管”的原则，根据职责和管辖权限，依法做好“双随机”抽查结果后续处理，及时向有关部门移交涉嫌违法行为的案件线索。</w:t>
      </w:r>
    </w:p>
    <w:p w14:paraId="00C41A43">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黑体" w:hAnsi="黑体" w:eastAsia="黑体" w:cs="黑体"/>
          <w:sz w:val="32"/>
          <w:szCs w:val="32"/>
        </w:rPr>
      </w:pPr>
      <w:r>
        <w:rPr>
          <w:rFonts w:hint="eastAsia" w:ascii="黑体" w:hAnsi="黑体" w:eastAsia="黑体" w:cs="黑体"/>
          <w:color w:val="000000"/>
          <w:kern w:val="0"/>
          <w:sz w:val="32"/>
          <w:szCs w:val="32"/>
        </w:rPr>
        <w:t>五、</w:t>
      </w:r>
      <w:r>
        <w:rPr>
          <w:rFonts w:hint="eastAsia" w:ascii="黑体" w:hAnsi="黑体" w:eastAsia="黑体" w:cs="黑体"/>
          <w:sz w:val="32"/>
          <w:szCs w:val="32"/>
        </w:rPr>
        <w:t>组织实施</w:t>
      </w:r>
    </w:p>
    <w:p w14:paraId="7DC3FA27">
      <w:pPr>
        <w:keepNext w:val="0"/>
        <w:keepLines w:val="0"/>
        <w:pageBreakBefore w:val="0"/>
        <w:kinsoku/>
        <w:wordWrap/>
        <w:overflowPunct/>
        <w:topLinePunct w:val="0"/>
        <w:autoSpaceDE/>
        <w:autoSpaceDN/>
        <w:bidi w:val="0"/>
        <w:adjustRightInd/>
        <w:snapToGrid/>
        <w:spacing w:line="560" w:lineRule="exact"/>
        <w:ind w:left="0" w:leftChars="0" w:right="0" w:firstLine="571" w:firstLineChars="200"/>
        <w:textAlignment w:val="auto"/>
        <w:rPr>
          <w:rFonts w:hint="eastAsia" w:ascii="楷体_GB2312" w:hAnsi="楷体_GB2312" w:eastAsia="楷体_GB2312" w:cs="楷体_GB2312"/>
          <w:b/>
          <w:bCs/>
          <w:spacing w:val="-18"/>
          <w:sz w:val="32"/>
          <w:szCs w:val="32"/>
        </w:rPr>
      </w:pPr>
      <w:r>
        <w:rPr>
          <w:rFonts w:hint="eastAsia" w:ascii="楷体_GB2312" w:hAnsi="楷体_GB2312" w:eastAsia="楷体_GB2312" w:cs="楷体_GB2312"/>
          <w:b/>
          <w:bCs/>
          <w:spacing w:val="-18"/>
          <w:sz w:val="32"/>
          <w:szCs w:val="32"/>
        </w:rPr>
        <w:t>（一）任务分工</w:t>
      </w:r>
    </w:p>
    <w:p w14:paraId="561B3BBD">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1</w:t>
      </w:r>
      <w:r>
        <w:rPr>
          <w:rFonts w:hint="eastAsia" w:ascii="仿宋_GB2312" w:hAnsi="仿宋_GB2312" w:eastAsia="仿宋_GB2312" w:cs="仿宋_GB2312"/>
          <w:color w:val="000000"/>
          <w:kern w:val="0"/>
          <w:sz w:val="32"/>
          <w:szCs w:val="32"/>
          <w:lang w:val="en-US" w:eastAsia="zh-CN"/>
        </w:rPr>
        <w:t>.办公室</w:t>
      </w:r>
      <w:r>
        <w:rPr>
          <w:rFonts w:hint="eastAsia" w:ascii="仿宋_GB2312" w:hAnsi="仿宋_GB2312" w:eastAsia="仿宋_GB2312" w:cs="仿宋_GB2312"/>
          <w:color w:val="000000"/>
          <w:kern w:val="0"/>
          <w:sz w:val="32"/>
          <w:szCs w:val="32"/>
        </w:rPr>
        <w:t>负责沟通、协调、组织此次“双随机、一公开”抽查工作，</w:t>
      </w:r>
      <w:r>
        <w:rPr>
          <w:rFonts w:hint="eastAsia" w:ascii="仿宋_GB2312" w:hAnsi="仿宋_GB2312" w:eastAsia="仿宋_GB2312" w:cs="仿宋_GB2312"/>
          <w:color w:val="000000"/>
          <w:kern w:val="0"/>
          <w:sz w:val="32"/>
          <w:szCs w:val="32"/>
          <w:highlight w:val="none"/>
          <w:lang w:val="en-US" w:eastAsia="zh-CN"/>
        </w:rPr>
        <w:t>执法股</w:t>
      </w:r>
      <w:r>
        <w:rPr>
          <w:rFonts w:hint="eastAsia" w:ascii="仿宋_GB2312" w:hAnsi="仿宋_GB2312" w:eastAsia="仿宋_GB2312" w:cs="仿宋_GB2312"/>
          <w:color w:val="000000"/>
          <w:kern w:val="0"/>
          <w:sz w:val="32"/>
          <w:szCs w:val="32"/>
        </w:rPr>
        <w:t>要按照统一安排、统一部署，抓好落实。</w:t>
      </w:r>
    </w:p>
    <w:p w14:paraId="7440707B">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随机抽取执法人员，无法独立完成专业抽查事项的，</w:t>
      </w:r>
      <w:r>
        <w:rPr>
          <w:rFonts w:hint="eastAsia" w:ascii="仿宋" w:hAnsi="仿宋" w:eastAsia="仿宋" w:cs="仿宋"/>
          <w:spacing w:val="-4"/>
          <w:sz w:val="32"/>
          <w:szCs w:val="32"/>
        </w:rPr>
        <w:t>由专业人员配合指导协助完成抽查工作。</w:t>
      </w:r>
    </w:p>
    <w:p w14:paraId="7E88C595">
      <w:pPr>
        <w:keepNext w:val="0"/>
        <w:keepLines w:val="0"/>
        <w:pageBreakBefore w:val="0"/>
        <w:kinsoku/>
        <w:wordWrap/>
        <w:overflowPunct/>
        <w:topLinePunct w:val="0"/>
        <w:autoSpaceDE/>
        <w:autoSpaceDN/>
        <w:bidi w:val="0"/>
        <w:adjustRightInd/>
        <w:snapToGrid/>
        <w:spacing w:line="560" w:lineRule="exact"/>
        <w:ind w:left="0" w:leftChars="0" w:right="0" w:firstLine="571" w:firstLineChars="200"/>
        <w:textAlignment w:val="auto"/>
        <w:rPr>
          <w:rFonts w:hint="eastAsia" w:ascii="楷体_GB2312" w:hAnsi="楷体_GB2312" w:eastAsia="楷体_GB2312" w:cs="楷体_GB2312"/>
          <w:b/>
          <w:bCs/>
          <w:spacing w:val="-18"/>
          <w:sz w:val="32"/>
          <w:szCs w:val="32"/>
        </w:rPr>
      </w:pPr>
      <w:r>
        <w:rPr>
          <w:rFonts w:hint="eastAsia" w:ascii="楷体_GB2312" w:hAnsi="楷体_GB2312" w:eastAsia="楷体_GB2312" w:cs="楷体_GB2312"/>
          <w:b/>
          <w:bCs/>
          <w:spacing w:val="-18"/>
          <w:sz w:val="32"/>
          <w:szCs w:val="32"/>
        </w:rPr>
        <w:t>（二）检查方式</w:t>
      </w:r>
    </w:p>
    <w:p w14:paraId="1CDF41B7">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抽查部门按照抽查内容可以采取书面检查、实地核查、网络检测等方式，也可以依法利用政府其他部门作出的检查、核查结果或者其他专业机构作出的专业结论。被检查对象实施现场检查一般采取信息比对、实地核查等方式进行。</w:t>
      </w:r>
    </w:p>
    <w:p w14:paraId="4B6C1E14">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lang w:eastAsia="zh-CN"/>
        </w:rPr>
        <w:t>六、</w:t>
      </w:r>
      <w:r>
        <w:rPr>
          <w:rFonts w:hint="eastAsia" w:ascii="黑体" w:hAnsi="黑体" w:eastAsia="黑体" w:cs="黑体"/>
          <w:color w:val="000000"/>
          <w:kern w:val="0"/>
          <w:sz w:val="32"/>
          <w:szCs w:val="32"/>
        </w:rPr>
        <w:t>工作要求</w:t>
      </w:r>
    </w:p>
    <w:p w14:paraId="3D60996B">
      <w:pPr>
        <w:keepNext w:val="0"/>
        <w:keepLines w:val="0"/>
        <w:pageBreakBefore w:val="0"/>
        <w:widowControl w:val="0"/>
        <w:kinsoku/>
        <w:wordWrap/>
        <w:overflowPunct/>
        <w:topLinePunct w:val="0"/>
        <w:autoSpaceDE/>
        <w:autoSpaceDN/>
        <w:bidi w:val="0"/>
        <w:adjustRightInd/>
        <w:snapToGrid/>
        <w:spacing w:line="560" w:lineRule="exact"/>
        <w:ind w:left="0" w:leftChars="0" w:right="0" w:firstLine="643" w:firstLineChars="200"/>
        <w:textAlignment w:val="auto"/>
        <w:outlineLvl w:val="9"/>
        <w:rPr>
          <w:rFonts w:hint="eastAsia" w:ascii="仿宋_GB2312" w:hAnsi="仿宋_GB2312" w:eastAsia="仿宋_GB2312" w:cs="仿宋_GB2312"/>
          <w:color w:val="000000"/>
          <w:kern w:val="0"/>
          <w:sz w:val="32"/>
          <w:szCs w:val="32"/>
        </w:rPr>
      </w:pPr>
      <w:r>
        <w:rPr>
          <w:rFonts w:hint="eastAsia" w:ascii="楷体_GB2312" w:hAnsi="楷体_GB2312" w:eastAsia="楷体_GB2312" w:cs="楷体_GB2312"/>
          <w:b/>
          <w:bCs/>
          <w:color w:val="000000"/>
          <w:sz w:val="32"/>
          <w:szCs w:val="32"/>
        </w:rPr>
        <w:t>（一）加强组织领导。</w:t>
      </w:r>
      <w:bookmarkStart w:id="0" w:name="FUJIAN4CONTENT"/>
      <w:bookmarkEnd w:id="0"/>
      <w:r>
        <w:rPr>
          <w:rFonts w:hint="eastAsia" w:ascii="仿宋_GB2312" w:hAnsi="仿宋_GB2312" w:eastAsia="仿宋_GB2312" w:cs="仿宋_GB2312"/>
          <w:color w:val="000000"/>
          <w:kern w:val="0"/>
          <w:sz w:val="32"/>
          <w:szCs w:val="32"/>
          <w:highlight w:val="none"/>
          <w:lang w:val="en-US" w:eastAsia="zh-CN"/>
        </w:rPr>
        <w:t>执法股</w:t>
      </w:r>
      <w:r>
        <w:rPr>
          <w:rFonts w:hint="eastAsia" w:ascii="仿宋_GB2312" w:hAnsi="仿宋_GB2312" w:eastAsia="仿宋_GB2312" w:cs="仿宋_GB2312"/>
          <w:color w:val="000000"/>
          <w:kern w:val="0"/>
          <w:sz w:val="32"/>
          <w:szCs w:val="32"/>
        </w:rPr>
        <w:t>要高度重视</w:t>
      </w:r>
      <w:r>
        <w:rPr>
          <w:rFonts w:hint="eastAsia" w:ascii="仿宋_GB2312" w:hAnsi="仿宋_GB2312" w:eastAsia="仿宋_GB2312" w:cs="仿宋_GB2312"/>
          <w:color w:val="000000"/>
          <w:kern w:val="0"/>
          <w:sz w:val="32"/>
          <w:szCs w:val="32"/>
          <w:lang w:eastAsia="zh-CN"/>
        </w:rPr>
        <w:t>此次</w:t>
      </w:r>
      <w:r>
        <w:rPr>
          <w:rFonts w:hint="eastAsia" w:ascii="仿宋_GB2312" w:hAnsi="仿宋_GB2312" w:eastAsia="仿宋_GB2312" w:cs="仿宋_GB2312"/>
          <w:color w:val="000000"/>
          <w:kern w:val="0"/>
          <w:sz w:val="32"/>
          <w:szCs w:val="32"/>
        </w:rPr>
        <w:t>“双随机、一公开”抽查工作，</w:t>
      </w:r>
      <w:r>
        <w:rPr>
          <w:rFonts w:hint="eastAsia" w:ascii="仿宋" w:hAnsi="仿宋" w:eastAsia="仿宋" w:cs="仿宋"/>
          <w:spacing w:val="-4"/>
          <w:sz w:val="32"/>
          <w:szCs w:val="32"/>
        </w:rPr>
        <w:t>股室负责人要切实负起责任，督促、指导执法人员按照要求检查，一次性完成对抽查对象的全面检查，确保此次抽查工作依法、有序开展。</w:t>
      </w:r>
    </w:p>
    <w:p w14:paraId="7FE86873">
      <w:pPr>
        <w:keepNext w:val="0"/>
        <w:keepLines w:val="0"/>
        <w:pageBreakBefore w:val="0"/>
        <w:kinsoku/>
        <w:wordWrap/>
        <w:overflowPunct/>
        <w:topLinePunct w:val="0"/>
        <w:autoSpaceDE/>
        <w:autoSpaceDN/>
        <w:bidi w:val="0"/>
        <w:adjustRightInd/>
        <w:snapToGrid/>
        <w:spacing w:line="560" w:lineRule="exact"/>
        <w:ind w:left="0" w:leftChars="0" w:right="0" w:firstLine="420"/>
        <w:textAlignment w:val="auto"/>
        <w:rPr>
          <w:rFonts w:hint="eastAsia" w:ascii="仿宋_GB2312" w:hAnsi="仿宋_GB2312" w:eastAsia="仿宋_GB2312" w:cs="仿宋_GB2312"/>
          <w:color w:val="000000"/>
          <w:kern w:val="0"/>
          <w:sz w:val="32"/>
          <w:szCs w:val="32"/>
        </w:rPr>
      </w:pPr>
      <w:r>
        <w:rPr>
          <w:rFonts w:hint="eastAsia" w:ascii="楷体_GB2312" w:hAnsi="楷体_GB2312" w:eastAsia="楷体_GB2312" w:cs="楷体_GB2312"/>
          <w:b/>
          <w:bCs/>
          <w:color w:val="000000"/>
          <w:sz w:val="32"/>
          <w:szCs w:val="32"/>
        </w:rPr>
        <w:t>（二）加强信用监管。</w:t>
      </w:r>
      <w:r>
        <w:rPr>
          <w:rFonts w:hint="eastAsia" w:ascii="仿宋_GB2312" w:hAnsi="仿宋_GB2312" w:eastAsia="仿宋_GB2312" w:cs="仿宋_GB2312"/>
          <w:color w:val="000000"/>
          <w:kern w:val="0"/>
          <w:sz w:val="32"/>
          <w:szCs w:val="32"/>
        </w:rPr>
        <w:t>在检查工作中，检查人员在监督检查工作中要切实负起责任，不要敷衍了事，要廉政执法，依法行政，同时要增强服务意识，按时完成抽查任务。按照“谁抽查，谁录入”的原则，及时将抽查结果录入监管平台，对随机抽查中发现的问题实施后续监管，防止监管脱节，促进形成企业诚信自律的社会氛围。</w:t>
      </w:r>
    </w:p>
    <w:p w14:paraId="3CB4E2B8">
      <w:pPr>
        <w:keepNext w:val="0"/>
        <w:keepLines w:val="0"/>
        <w:pageBreakBefore w:val="0"/>
        <w:widowControl w:val="0"/>
        <w:kinsoku/>
        <w:wordWrap/>
        <w:overflowPunct/>
        <w:topLinePunct w:val="0"/>
        <w:autoSpaceDE/>
        <w:autoSpaceDN/>
        <w:bidi w:val="0"/>
        <w:adjustRightInd/>
        <w:snapToGrid/>
        <w:spacing w:line="560" w:lineRule="exact"/>
        <w:ind w:left="0" w:leftChars="0" w:right="0" w:firstLine="643" w:firstLineChars="200"/>
        <w:textAlignment w:val="auto"/>
        <w:outlineLvl w:val="9"/>
        <w:rPr>
          <w:rFonts w:hint="eastAsia" w:ascii="仿宋_GB2312" w:hAnsi="仿宋_GB2312" w:eastAsia="仿宋_GB2312" w:cs="仿宋_GB2312"/>
          <w:color w:val="000000"/>
          <w:kern w:val="0"/>
          <w:sz w:val="32"/>
          <w:szCs w:val="32"/>
          <w:lang w:eastAsia="zh-CN"/>
        </w:rPr>
      </w:pPr>
      <w:r>
        <w:rPr>
          <w:rFonts w:hint="eastAsia" w:ascii="楷体_GB2312" w:hAnsi="楷体_GB2312" w:eastAsia="楷体_GB2312" w:cs="楷体_GB2312"/>
          <w:b/>
          <w:bCs/>
          <w:color w:val="000000"/>
          <w:sz w:val="32"/>
          <w:szCs w:val="32"/>
        </w:rPr>
        <w:t>（三）加强信息反馈。</w:t>
      </w:r>
      <w:r>
        <w:rPr>
          <w:rFonts w:hint="eastAsia" w:ascii="仿宋_GB2312" w:hAnsi="仿宋_GB2312" w:eastAsia="仿宋_GB2312" w:cs="仿宋_GB2312"/>
          <w:color w:val="000000"/>
          <w:kern w:val="0"/>
          <w:sz w:val="32"/>
          <w:szCs w:val="32"/>
          <w:lang w:eastAsia="zh-CN"/>
        </w:rPr>
        <w:t>抽查结束后</w:t>
      </w:r>
      <w:r>
        <w:rPr>
          <w:rFonts w:hint="eastAsia" w:ascii="仿宋_GB2312" w:hAnsi="仿宋_GB2312" w:eastAsia="仿宋_GB2312" w:cs="仿宋_GB2312"/>
          <w:color w:val="000000"/>
          <w:kern w:val="0"/>
          <w:sz w:val="32"/>
          <w:szCs w:val="32"/>
        </w:rPr>
        <w:t>要认真梳理联合抽查工作中的亮点，难点问题，总结经验做法及存在问题。为今后全面推行联合抽查工作提供可借鉴、推广的措施和方法</w:t>
      </w:r>
      <w:r>
        <w:rPr>
          <w:rFonts w:hint="eastAsia" w:ascii="仿宋_GB2312" w:hAnsi="仿宋_GB2312" w:eastAsia="仿宋_GB2312" w:cs="仿宋_GB2312"/>
          <w:color w:val="000000"/>
          <w:kern w:val="0"/>
          <w:sz w:val="32"/>
          <w:szCs w:val="32"/>
          <w:lang w:eastAsia="zh-CN"/>
        </w:rPr>
        <w:t>。</w:t>
      </w:r>
    </w:p>
    <w:p w14:paraId="17B5B0D8">
      <w:pPr>
        <w:keepNext w:val="0"/>
        <w:keepLines w:val="0"/>
        <w:pageBreakBefore w:val="0"/>
        <w:kinsoku/>
        <w:wordWrap/>
        <w:overflowPunct/>
        <w:topLinePunct w:val="0"/>
        <w:autoSpaceDE/>
        <w:autoSpaceDN/>
        <w:bidi w:val="0"/>
        <w:adjustRightInd/>
        <w:snapToGrid/>
        <w:spacing w:line="560" w:lineRule="exact"/>
        <w:ind w:left="0" w:leftChars="0" w:right="0" w:firstLine="624" w:firstLineChars="200"/>
        <w:textAlignment w:val="auto"/>
        <w:rPr>
          <w:rFonts w:hint="eastAsia" w:ascii="仿宋" w:hAnsi="仿宋" w:eastAsia="仿宋" w:cs="仿宋"/>
          <w:spacing w:val="-4"/>
          <w:sz w:val="32"/>
          <w:szCs w:val="32"/>
        </w:rPr>
      </w:pPr>
    </w:p>
    <w:p w14:paraId="204E4E1C">
      <w:pPr>
        <w:keepNext w:val="0"/>
        <w:keepLines w:val="0"/>
        <w:pageBreakBefore w:val="0"/>
        <w:kinsoku/>
        <w:wordWrap/>
        <w:overflowPunct/>
        <w:topLinePunct w:val="0"/>
        <w:autoSpaceDE/>
        <w:autoSpaceDN/>
        <w:bidi w:val="0"/>
        <w:adjustRightInd/>
        <w:snapToGrid/>
        <w:spacing w:line="560" w:lineRule="exact"/>
        <w:ind w:left="0" w:leftChars="0" w:right="0" w:firstLine="624" w:firstLineChars="200"/>
        <w:textAlignment w:val="auto"/>
        <w:rPr>
          <w:rFonts w:ascii="仿宋" w:hAnsi="仿宋" w:eastAsia="仿宋" w:cs="仿宋"/>
          <w:color w:val="000000"/>
          <w:spacing w:val="-4"/>
          <w:sz w:val="32"/>
          <w:szCs w:val="32"/>
        </w:rPr>
      </w:pPr>
      <w:r>
        <w:rPr>
          <w:rFonts w:hint="eastAsia" w:ascii="仿宋" w:hAnsi="仿宋" w:eastAsia="仿宋" w:cs="仿宋"/>
          <w:color w:val="000000"/>
          <w:spacing w:val="-4"/>
          <w:sz w:val="32"/>
          <w:szCs w:val="32"/>
        </w:rPr>
        <w:t xml:space="preserve">联系人： </w:t>
      </w:r>
      <w:r>
        <w:rPr>
          <w:rFonts w:hint="eastAsia" w:ascii="仿宋" w:hAnsi="仿宋" w:eastAsia="仿宋" w:cs="仿宋"/>
          <w:color w:val="000000"/>
          <w:spacing w:val="-4"/>
          <w:sz w:val="32"/>
          <w:szCs w:val="32"/>
          <w:lang w:eastAsia="zh-CN"/>
        </w:rPr>
        <w:t>李文静</w:t>
      </w:r>
      <w:r>
        <w:rPr>
          <w:rFonts w:hint="eastAsia" w:ascii="仿宋" w:hAnsi="仿宋" w:eastAsia="仿宋" w:cs="仿宋"/>
          <w:color w:val="000000"/>
          <w:spacing w:val="-4"/>
          <w:sz w:val="32"/>
          <w:szCs w:val="32"/>
        </w:rPr>
        <w:t xml:space="preserve">         </w:t>
      </w:r>
    </w:p>
    <w:p w14:paraId="2B34D384">
      <w:pPr>
        <w:keepNext w:val="0"/>
        <w:keepLines w:val="0"/>
        <w:pageBreakBefore w:val="0"/>
        <w:kinsoku/>
        <w:wordWrap/>
        <w:overflowPunct/>
        <w:topLinePunct w:val="0"/>
        <w:autoSpaceDE/>
        <w:autoSpaceDN/>
        <w:bidi w:val="0"/>
        <w:adjustRightInd/>
        <w:snapToGrid/>
        <w:spacing w:line="560" w:lineRule="exact"/>
        <w:ind w:left="0" w:leftChars="0" w:right="0" w:firstLine="624" w:firstLineChars="200"/>
        <w:textAlignment w:val="auto"/>
        <w:rPr>
          <w:rFonts w:hint="eastAsia" w:ascii="仿宋" w:hAnsi="仿宋" w:eastAsia="仿宋" w:cs="仿宋"/>
          <w:color w:val="000000"/>
          <w:spacing w:val="-4"/>
          <w:sz w:val="32"/>
          <w:szCs w:val="32"/>
          <w:lang w:val="en-US" w:eastAsia="zh-CN"/>
        </w:rPr>
      </w:pPr>
      <w:r>
        <w:rPr>
          <w:rFonts w:hint="eastAsia" w:ascii="仿宋" w:hAnsi="仿宋" w:eastAsia="仿宋" w:cs="仿宋"/>
          <w:color w:val="000000"/>
          <w:spacing w:val="-4"/>
          <w:sz w:val="32"/>
          <w:szCs w:val="32"/>
        </w:rPr>
        <w:t>联系方式：</w:t>
      </w:r>
      <w:r>
        <w:rPr>
          <w:rFonts w:hint="eastAsia" w:ascii="仿宋" w:hAnsi="仿宋" w:eastAsia="仿宋" w:cs="仿宋"/>
          <w:color w:val="000000"/>
          <w:spacing w:val="-4"/>
          <w:sz w:val="32"/>
          <w:szCs w:val="32"/>
          <w:lang w:val="en-US" w:eastAsia="zh-CN"/>
        </w:rPr>
        <w:t>15930258947</w:t>
      </w:r>
    </w:p>
    <w:p w14:paraId="041F961C">
      <w:pPr>
        <w:pStyle w:val="2"/>
        <w:keepNext w:val="0"/>
        <w:keepLines w:val="0"/>
        <w:pageBreakBefore w:val="0"/>
        <w:kinsoku/>
        <w:wordWrap/>
        <w:overflowPunct/>
        <w:topLinePunct w:val="0"/>
        <w:autoSpaceDE/>
        <w:autoSpaceDN/>
        <w:bidi w:val="0"/>
        <w:adjustRightInd/>
        <w:snapToGrid/>
        <w:spacing w:line="560" w:lineRule="exact"/>
        <w:ind w:left="0" w:leftChars="0" w:right="0"/>
        <w:textAlignment w:val="auto"/>
        <w:rPr>
          <w:rFonts w:hint="eastAsia" w:ascii="仿宋" w:hAnsi="仿宋" w:eastAsia="仿宋" w:cs="仿宋"/>
          <w:color w:val="000000"/>
          <w:spacing w:val="-4"/>
          <w:sz w:val="32"/>
          <w:szCs w:val="32"/>
          <w:lang w:val="en-US" w:eastAsia="zh-CN"/>
        </w:rPr>
      </w:pPr>
    </w:p>
    <w:p w14:paraId="55AF53BB">
      <w:pPr>
        <w:keepNext w:val="0"/>
        <w:keepLines w:val="0"/>
        <w:pageBreakBefore w:val="0"/>
        <w:kinsoku/>
        <w:wordWrap/>
        <w:overflowPunct/>
        <w:topLinePunct w:val="0"/>
        <w:autoSpaceDE/>
        <w:autoSpaceDN/>
        <w:bidi w:val="0"/>
        <w:adjustRightInd/>
        <w:snapToGrid/>
        <w:spacing w:line="560" w:lineRule="exact"/>
        <w:ind w:left="0" w:leftChars="0" w:right="0"/>
        <w:textAlignment w:val="auto"/>
        <w:rPr>
          <w:rFonts w:hint="eastAsia" w:ascii="仿宋" w:hAnsi="仿宋" w:eastAsia="仿宋" w:cs="仿宋"/>
          <w:color w:val="000000"/>
          <w:spacing w:val="-4"/>
          <w:sz w:val="32"/>
          <w:szCs w:val="32"/>
          <w:lang w:val="en-US" w:eastAsia="zh-CN"/>
        </w:rPr>
      </w:pPr>
    </w:p>
    <w:p w14:paraId="72BCD113">
      <w:pPr>
        <w:pStyle w:val="2"/>
        <w:keepNext w:val="0"/>
        <w:keepLines w:val="0"/>
        <w:pageBreakBefore w:val="0"/>
        <w:kinsoku/>
        <w:wordWrap/>
        <w:overflowPunct/>
        <w:topLinePunct w:val="0"/>
        <w:autoSpaceDE/>
        <w:autoSpaceDN/>
        <w:bidi w:val="0"/>
        <w:adjustRightInd/>
        <w:snapToGrid/>
        <w:spacing w:line="560" w:lineRule="exact"/>
        <w:ind w:left="0" w:leftChars="0" w:right="0"/>
        <w:textAlignment w:val="auto"/>
        <w:rPr>
          <w:rFonts w:hint="default"/>
          <w:lang w:val="en-US"/>
        </w:rPr>
      </w:pPr>
    </w:p>
    <w:p w14:paraId="2B27EF3F">
      <w:pPr>
        <w:keepNext w:val="0"/>
        <w:keepLines w:val="0"/>
        <w:pageBreakBefore w:val="0"/>
        <w:kinsoku/>
        <w:wordWrap/>
        <w:overflowPunct/>
        <w:topLinePunct w:val="0"/>
        <w:autoSpaceDE/>
        <w:autoSpaceDN/>
        <w:bidi w:val="0"/>
        <w:adjustRightInd/>
        <w:snapToGrid/>
        <w:spacing w:line="560" w:lineRule="exact"/>
        <w:ind w:left="0" w:leftChars="0" w:right="0"/>
        <w:jc w:val="right"/>
        <w:textAlignment w:val="auto"/>
        <w:rPr>
          <w:rFonts w:hint="eastAsia" w:ascii="仿宋" w:hAnsi="仿宋" w:eastAsia="仿宋"/>
          <w:sz w:val="32"/>
          <w:szCs w:val="32"/>
          <w:lang w:eastAsia="zh-CN"/>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阜平县统计局</w:t>
      </w:r>
    </w:p>
    <w:p w14:paraId="4AE03DEB">
      <w:pPr>
        <w:keepNext w:val="0"/>
        <w:keepLines w:val="0"/>
        <w:pageBreakBefore w:val="0"/>
        <w:widowControl/>
        <w:kinsoku/>
        <w:wordWrap/>
        <w:overflowPunct/>
        <w:topLinePunct w:val="0"/>
        <w:autoSpaceDE/>
        <w:autoSpaceDN/>
        <w:bidi w:val="0"/>
        <w:adjustRightInd/>
        <w:snapToGrid/>
        <w:spacing w:line="560" w:lineRule="exact"/>
        <w:ind w:left="0" w:leftChars="0" w:right="0"/>
        <w:jc w:val="center"/>
        <w:textAlignment w:val="auto"/>
        <w:rPr>
          <w:rFonts w:hint="eastAsia" w:ascii="仿宋" w:hAnsi="仿宋" w:eastAsia="仿宋"/>
          <w:sz w:val="44"/>
          <w:szCs w:val="44"/>
        </w:rPr>
      </w:pPr>
      <w:r>
        <w:rPr>
          <w:rFonts w:hint="eastAsia" w:ascii="仿宋" w:hAnsi="仿宋" w:eastAsia="仿宋"/>
          <w:sz w:val="32"/>
          <w:szCs w:val="32"/>
          <w:lang w:val="en-US" w:eastAsia="zh-CN"/>
        </w:rPr>
        <w:t xml:space="preserve">                                         </w:t>
      </w:r>
      <w:r>
        <w:rPr>
          <w:rFonts w:ascii="仿宋" w:hAnsi="仿宋" w:eastAsia="仿宋"/>
          <w:sz w:val="32"/>
          <w:szCs w:val="32"/>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val="en-US" w:eastAsia="zh-CN"/>
        </w:rPr>
        <w:t>6</w:t>
      </w:r>
      <w:r>
        <w:rPr>
          <w:rFonts w:hint="eastAsia" w:ascii="仿宋" w:hAnsi="仿宋" w:eastAsia="仿宋"/>
          <w:sz w:val="32"/>
          <w:szCs w:val="32"/>
        </w:rPr>
        <w:t>月</w:t>
      </w:r>
      <w:r>
        <w:rPr>
          <w:rFonts w:hint="eastAsia" w:ascii="仿宋" w:hAnsi="仿宋" w:eastAsia="仿宋"/>
          <w:sz w:val="32"/>
          <w:szCs w:val="32"/>
          <w:lang w:val="en-US" w:eastAsia="zh-CN"/>
        </w:rPr>
        <w:t>3</w:t>
      </w:r>
      <w:r>
        <w:rPr>
          <w:rFonts w:hint="eastAsia" w:ascii="仿宋" w:hAnsi="仿宋" w:eastAsia="仿宋"/>
          <w:sz w:val="32"/>
          <w:szCs w:val="32"/>
        </w:rPr>
        <w:t>日</w:t>
      </w:r>
    </w:p>
    <w:p w14:paraId="039F0D2A">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4A3219F3">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0D30CE0B">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704840FA">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4912BBED">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31DB148E">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0849E405">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27B22ABB">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0248BC2F">
      <w:pPr>
        <w:pStyle w:val="6"/>
        <w:keepNext w:val="0"/>
        <w:keepLines w:val="0"/>
        <w:pageBreakBefore w:val="0"/>
        <w:widowControl/>
        <w:pBdr>
          <w:bottom w:val="single" w:color="auto" w:sz="4"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F79646"/>
          <w:sz w:val="32"/>
          <w:szCs w:val="32"/>
        </w:rPr>
      </w:pPr>
    </w:p>
    <w:p w14:paraId="64D7CBB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357505</wp:posOffset>
                </wp:positionV>
                <wp:extent cx="5657215" cy="9525"/>
                <wp:effectExtent l="0" t="0" r="0" b="0"/>
                <wp:wrapNone/>
                <wp:docPr id="5" name="直接连接符 5"/>
                <wp:cNvGraphicFramePr/>
                <a:graphic xmlns:a="http://schemas.openxmlformats.org/drawingml/2006/main">
                  <a:graphicData uri="http://schemas.microsoft.com/office/word/2010/wordprocessingShape">
                    <wps:wsp>
                      <wps:cNvCnPr/>
                      <wps:spPr>
                        <a:xfrm flipV="1">
                          <a:off x="0" y="0"/>
                          <a:ext cx="5657215" cy="95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0.75pt;margin-top:28.15pt;height:0.75pt;width:445.45pt;z-index:251662336;mso-width-relative:page;mso-height-relative:page;" filled="f" stroked="t" coordsize="21600,21600" o:gfxdata="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NanWfYAAAACAEAAA8AAAAAAAAAAQAgAAAAIgAAAGRycy9kb3ducmV2&#10;LnhtbFBLAQIUABQAAAAIAIdO4kA0ssyz/AEAAPEDAAAOAAAAAAAAAAEAIAAAACcBAABkcnMvZTJv&#10;RG9jLnhtbFBLBQYAAAAABgAGAFkBAACVBQAAAAA=&#10;">
                <v:fill on="f" focussize="0,0"/>
                <v:stroke color="#000000" joinstyle="round"/>
                <v:imagedata o:title=""/>
                <o:lock v:ext="edit" aspectratio="f"/>
              </v:line>
            </w:pict>
          </mc:Fallback>
        </mc:AlternateContent>
      </w:r>
      <w:r>
        <w:rPr>
          <w:rFonts w:hint="eastAsia" w:ascii="仿宋_GB2312" w:hAnsi="仿宋_GB2312" w:eastAsia="仿宋_GB2312" w:cs="仿宋_GB2312"/>
          <w:sz w:val="32"/>
          <w:szCs w:val="32"/>
          <w:lang w:eastAsia="zh-CN"/>
        </w:rPr>
        <w:t>阜平县统计局办公室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日印发</w:t>
      </w:r>
    </w:p>
    <w:sectPr>
      <w:headerReference r:id="rId3" w:type="default"/>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19E7CF-9B03-451B-AC3E-54BCB538ABE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B1670983-51E3-4CF8-AD71-3B6992B04A50}"/>
  </w:font>
  <w:font w:name="仿宋_GB2312">
    <w:panose1 w:val="02010609030101010101"/>
    <w:charset w:val="86"/>
    <w:family w:val="modern"/>
    <w:pitch w:val="default"/>
    <w:sig w:usb0="00000001" w:usb1="080E0000" w:usb2="00000000" w:usb3="00000000" w:csb0="00040000" w:csb1="00000000"/>
    <w:embedRegular r:id="rId3" w:fontKey="{A7A50596-6C1B-47DF-B58F-843CC4BBA3ED}"/>
  </w:font>
  <w:font w:name="方正小标宋简体">
    <w:panose1 w:val="02000000000000000000"/>
    <w:charset w:val="86"/>
    <w:family w:val="auto"/>
    <w:pitch w:val="default"/>
    <w:sig w:usb0="A00002BF" w:usb1="184F6CFA" w:usb2="00000012" w:usb3="00000000" w:csb0="00040001" w:csb1="00000000"/>
    <w:embedRegular r:id="rId4" w:fontKey="{6BA20E89-1D73-41D6-9620-11767C60F848}"/>
  </w:font>
  <w:font w:name="楷体_GB2312">
    <w:panose1 w:val="02010609030101010101"/>
    <w:charset w:val="86"/>
    <w:family w:val="modern"/>
    <w:pitch w:val="default"/>
    <w:sig w:usb0="00000001" w:usb1="080E0000" w:usb2="00000000" w:usb3="00000000" w:csb0="00040000" w:csb1="00000000"/>
    <w:embedRegular r:id="rId5" w:fontKey="{753D7957-0A1B-46C7-B3A1-18F58D06EB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8F57E">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CC13E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6CC13E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EC20A">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3NTBmYTJlZTY0MTRjZjAxZjBlNzE4ZjdlODkyMjcifQ=="/>
  </w:docVars>
  <w:rsids>
    <w:rsidRoot w:val="1E1B2EC7"/>
    <w:rsid w:val="00EE18E4"/>
    <w:rsid w:val="01F23506"/>
    <w:rsid w:val="041B280B"/>
    <w:rsid w:val="05C5105D"/>
    <w:rsid w:val="0679331D"/>
    <w:rsid w:val="075811E6"/>
    <w:rsid w:val="0CD064B2"/>
    <w:rsid w:val="0D3D7C96"/>
    <w:rsid w:val="0D8C5C9B"/>
    <w:rsid w:val="0F1C3400"/>
    <w:rsid w:val="0F245500"/>
    <w:rsid w:val="11B70770"/>
    <w:rsid w:val="12641C51"/>
    <w:rsid w:val="13D053C0"/>
    <w:rsid w:val="18F60EA0"/>
    <w:rsid w:val="1E1B2EC7"/>
    <w:rsid w:val="226A0D65"/>
    <w:rsid w:val="239922D5"/>
    <w:rsid w:val="25EE5C20"/>
    <w:rsid w:val="27C83DBD"/>
    <w:rsid w:val="2AC82344"/>
    <w:rsid w:val="2AFE2B15"/>
    <w:rsid w:val="2B133C8C"/>
    <w:rsid w:val="2EA92857"/>
    <w:rsid w:val="2F665144"/>
    <w:rsid w:val="3265623B"/>
    <w:rsid w:val="35C85353"/>
    <w:rsid w:val="390211AD"/>
    <w:rsid w:val="39CD20DD"/>
    <w:rsid w:val="3AD72BF3"/>
    <w:rsid w:val="3B07350D"/>
    <w:rsid w:val="3EF019FC"/>
    <w:rsid w:val="3F562418"/>
    <w:rsid w:val="40FB75BD"/>
    <w:rsid w:val="424164C1"/>
    <w:rsid w:val="434C41B3"/>
    <w:rsid w:val="44067A80"/>
    <w:rsid w:val="455762F4"/>
    <w:rsid w:val="49B26195"/>
    <w:rsid w:val="4BCE3E45"/>
    <w:rsid w:val="4C1D6CA3"/>
    <w:rsid w:val="4CA621A4"/>
    <w:rsid w:val="4F805A1D"/>
    <w:rsid w:val="5488724D"/>
    <w:rsid w:val="553A07A1"/>
    <w:rsid w:val="55B95F24"/>
    <w:rsid w:val="56ED650D"/>
    <w:rsid w:val="56F4122A"/>
    <w:rsid w:val="5955311B"/>
    <w:rsid w:val="5ABF76F5"/>
    <w:rsid w:val="6051650D"/>
    <w:rsid w:val="64F353FC"/>
    <w:rsid w:val="65FC18B9"/>
    <w:rsid w:val="6AAA2EF8"/>
    <w:rsid w:val="6BB54CC0"/>
    <w:rsid w:val="6D607572"/>
    <w:rsid w:val="6D711757"/>
    <w:rsid w:val="6DD13C9A"/>
    <w:rsid w:val="725662FE"/>
    <w:rsid w:val="752243E6"/>
    <w:rsid w:val="75AA0A7C"/>
    <w:rsid w:val="76EB573A"/>
    <w:rsid w:val="77FD13C0"/>
    <w:rsid w:val="798D3A7B"/>
    <w:rsid w:val="7D4646B8"/>
    <w:rsid w:val="7E7F70E3"/>
    <w:rsid w:val="7F7E3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Normal Indent"/>
    <w:basedOn w:val="1"/>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customStyle="1" w:styleId="11">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1352</Words>
  <Characters>1401</Characters>
  <Lines>0</Lines>
  <Paragraphs>0</Paragraphs>
  <TotalTime>48</TotalTime>
  <ScaleCrop>false</ScaleCrop>
  <LinksUpToDate>false</LinksUpToDate>
  <CharactersWithSpaces>1480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2020-12-11T09:23:00Z</dcterms:created>
  <dc:creator>Administrator</dc:creator>
  <cp:lastModifiedBy>微信用户</cp:lastModifiedBy>
  <cp:lastPrinted>2023-06-21T07:56:00Z</cp:lastPrinted>
  <dcterms:modified xsi:type="dcterms:W3CDTF">2025-06-04T03:36:49Z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5B6C3420D51745BE997C7001D2AB9FFE_13</vt:lpwstr>
  </property>
  <property fmtid="{D5CDD505-2E9C-101B-9397-08002B2CF9AE}" pid="4" name="KSOTemplateDocerSaveRecord">
    <vt:lpwstr>eyJoZGlkIjoiYzQyZmEyYmE5OWUwNDg1OWI1ODBmOGM1MjU1MGUxYzEiLCJ1c2VySWQiOiIxMjY1MDMwMzkxIn0=</vt:lpwstr>
  </property>
</Properties>
</file>