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50" w:lineRule="exact"/>
        <w:jc w:val="center"/>
        <w:rPr>
          <w:rFonts w:ascii="黑体" w:hAnsi="黑体" w:eastAsia="黑体" w:cs="仿宋"/>
          <w:b/>
          <w:bCs/>
          <w:sz w:val="44"/>
          <w:szCs w:val="44"/>
        </w:rPr>
      </w:pPr>
      <w:bookmarkStart w:id="15" w:name="_GoBack"/>
      <w:bookmarkEnd w:id="15"/>
      <w:r>
        <w:rPr>
          <w:rFonts w:hint="eastAsia" w:ascii="黑体" w:hAnsi="黑体" w:eastAsia="黑体" w:cs="仿宋"/>
          <w:b/>
          <w:bCs/>
          <w:sz w:val="44"/>
          <w:szCs w:val="44"/>
        </w:rPr>
        <w:t>阜平县财政局</w:t>
      </w:r>
    </w:p>
    <w:p>
      <w:pPr>
        <w:spacing w:line="550" w:lineRule="exact"/>
        <w:jc w:val="center"/>
        <w:rPr>
          <w:rFonts w:ascii="黑体" w:hAnsi="黑体" w:eastAsia="黑体" w:cs="仿宋"/>
          <w:b/>
          <w:bCs/>
          <w:sz w:val="44"/>
          <w:szCs w:val="44"/>
        </w:rPr>
      </w:pPr>
      <w:r>
        <w:rPr>
          <w:rFonts w:hint="eastAsia" w:ascii="黑体" w:hAnsi="黑体" w:eastAsia="黑体" w:cs="仿宋"/>
          <w:b/>
          <w:bCs/>
          <w:sz w:val="44"/>
          <w:szCs w:val="44"/>
        </w:rPr>
        <w:t>2021年度预算绩效自评工作报告</w:t>
      </w:r>
    </w:p>
    <w:p>
      <w:pPr>
        <w:spacing w:line="550" w:lineRule="exact"/>
        <w:ind w:firstLine="640" w:firstLineChars="200"/>
        <w:rPr>
          <w:rFonts w:hint="eastAsia" w:ascii="黑体" w:hAnsi="黑体" w:eastAsia="黑体" w:cs="仿宋"/>
          <w:bCs/>
          <w:sz w:val="32"/>
          <w:szCs w:val="32"/>
        </w:rPr>
      </w:pPr>
    </w:p>
    <w:p>
      <w:pPr>
        <w:spacing w:line="550" w:lineRule="exact"/>
        <w:ind w:firstLine="640" w:firstLineChars="200"/>
        <w:rPr>
          <w:rFonts w:ascii="黑体" w:hAnsi="黑体" w:eastAsia="黑体" w:cs="仿宋"/>
          <w:bCs/>
          <w:sz w:val="32"/>
          <w:szCs w:val="32"/>
        </w:rPr>
      </w:pPr>
      <w:r>
        <w:rPr>
          <w:rFonts w:hint="eastAsia" w:ascii="黑体" w:hAnsi="黑体" w:eastAsia="黑体" w:cs="仿宋"/>
          <w:bCs/>
          <w:sz w:val="32"/>
          <w:szCs w:val="32"/>
        </w:rPr>
        <w:t>一、绩效自评工作组织开展情况</w:t>
      </w:r>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本次绩效评价工作经过了前期准备、绩效评价实施方案和指标体系制定、组织实施、绩效评价报告撰写四个阶段。</w:t>
      </w:r>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1.前期准备阶段</w:t>
      </w:r>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经与我部门</w:t>
      </w:r>
      <w:r>
        <w:rPr>
          <w:rFonts w:ascii="仿宋_GB2312" w:eastAsia="仿宋_GB2312" w:cs="DengXian-Regular"/>
          <w:sz w:val="32"/>
          <w:szCs w:val="32"/>
        </w:rPr>
        <w:t>各相关股室</w:t>
      </w:r>
      <w:r>
        <w:rPr>
          <w:rFonts w:hint="eastAsia" w:ascii="仿宋_GB2312" w:eastAsia="仿宋_GB2312" w:cs="DengXian-Regular"/>
          <w:sz w:val="32"/>
          <w:szCs w:val="32"/>
        </w:rPr>
        <w:t>充分沟通，并充分收集相关资料，主要包括部门职责、工作活动、预决算文本、相关管理制度、资金使用等相关资料，为制定绩效评价实施方案和指标体系奠定了基础。</w:t>
      </w:r>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2.制定绩效评价实施方案和体系</w:t>
      </w:r>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基于对相关资料的收集，制定绩效评价实施方案和体系,确定最终方案。</w:t>
      </w:r>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3.组织实施阶段</w:t>
      </w:r>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根据绩效评价实施方案和指标体系，对我部门开展评价工作，包括查看预决算文本及部门工作活动绩效目标和指标；比对预决算的调整及执行情况；核查固定资产管理的规范性；核查明细账与决算报表项目的一致性；对项目产出情况进行了解查看；随机选取服务对象进行满意度调查等。根据收集的数据、资料进行核对、比较、计算，对部门整体支出进行评分。</w:t>
      </w:r>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4.撰写绩效评价报告</w:t>
      </w:r>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在完成对各评价指标评分定级的基础上，开始进行报告撰写工作。</w:t>
      </w:r>
    </w:p>
    <w:p>
      <w:pPr>
        <w:spacing w:line="58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2021年涉及自评的预算项目共计20个，总支出60227.19316万元，自评得分90分以上的20个。</w:t>
      </w:r>
    </w:p>
    <w:p>
      <w:pPr>
        <w:spacing w:line="550" w:lineRule="exact"/>
        <w:rPr>
          <w:rFonts w:ascii="仿宋_GB2312" w:hAnsi="仿宋" w:eastAsia="仿宋_GB2312" w:cs="仿宋"/>
          <w:b/>
          <w:bCs/>
          <w:sz w:val="32"/>
          <w:szCs w:val="32"/>
        </w:rPr>
      </w:pPr>
      <w:r>
        <w:rPr>
          <w:rFonts w:hint="eastAsia" w:ascii="仿宋_GB2312" w:hAnsi="仿宋" w:eastAsia="仿宋_GB2312" w:cs="仿宋"/>
          <w:sz w:val="32"/>
          <w:szCs w:val="32"/>
        </w:rPr>
        <w:t xml:space="preserve"> </w:t>
      </w:r>
      <w:r>
        <w:rPr>
          <w:rFonts w:hint="eastAsia" w:ascii="黑体" w:hAnsi="黑体" w:eastAsia="黑体" w:cs="仿宋"/>
          <w:bCs/>
          <w:sz w:val="32"/>
          <w:szCs w:val="32"/>
        </w:rPr>
        <w:t xml:space="preserve">   二、绩效目标实现情况</w:t>
      </w:r>
    </w:p>
    <w:p>
      <w:pPr>
        <w:pStyle w:val="2"/>
        <w:spacing w:before="0" w:after="0"/>
        <w:ind w:firstLine="643" w:firstLineChars="200"/>
        <w:rPr>
          <w:rFonts w:ascii="楷体_GB2312" w:eastAsia="楷体_GB2312" w:hAnsiTheme="minorEastAsia"/>
          <w:sz w:val="32"/>
        </w:rPr>
      </w:pPr>
      <w:bookmarkStart w:id="0" w:name="_Toc17138"/>
      <w:r>
        <w:rPr>
          <w:rFonts w:hint="eastAsia" w:ascii="楷体_GB2312" w:eastAsia="楷体_GB2312" w:hAnsiTheme="minorEastAsia"/>
          <w:sz w:val="32"/>
        </w:rPr>
        <w:t>（一）绩效评价目的</w:t>
      </w:r>
      <w:bookmarkEnd w:id="0"/>
    </w:p>
    <w:p>
      <w:pPr>
        <w:spacing w:line="360" w:lineRule="auto"/>
        <w:ind w:firstLine="640" w:firstLineChars="200"/>
        <w:textAlignment w:val="baseline"/>
        <w:rPr>
          <w:rFonts w:ascii="仿宋_GB2312" w:eastAsia="仿宋_GB2312" w:cs="DengXian-Regular"/>
          <w:sz w:val="32"/>
          <w:szCs w:val="32"/>
        </w:rPr>
      </w:pPr>
      <w:bookmarkStart w:id="1" w:name="_Toc492652777"/>
      <w:bookmarkStart w:id="2" w:name="_Toc465149506"/>
      <w:r>
        <w:rPr>
          <w:rFonts w:hint="eastAsia" w:ascii="仿宋_GB2312" w:eastAsia="仿宋_GB2312" w:cs="DengXian-Regular"/>
          <w:sz w:val="32"/>
          <w:szCs w:val="32"/>
        </w:rPr>
        <w:t>通过对我部门2020年部门整体支出绩效评价，了解部门整体资金预算情况、实际收支情况及结转结余情况；绩效目标和指标的设置及完成情况；部门履职对社会发展所带来的直接或间接影响及服务对象对部门履职效果的满意程度。</w:t>
      </w:r>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部门整体支出绩效评价工作促使相关部门根据绩效评价过程中发现的问题，及时整改并总结经验，提高部门管理水平，牢固树立预算绩效理念，强化部门支出责任，提高预算执行效率和财政资金使用效益。</w:t>
      </w:r>
    </w:p>
    <w:p>
      <w:pPr>
        <w:pStyle w:val="2"/>
        <w:spacing w:before="0" w:after="0"/>
        <w:ind w:firstLine="643" w:firstLineChars="200"/>
        <w:rPr>
          <w:rFonts w:ascii="楷体_GB2312" w:eastAsia="楷体_GB2312" w:hAnsiTheme="minorEastAsia"/>
          <w:sz w:val="32"/>
        </w:rPr>
      </w:pPr>
      <w:bookmarkStart w:id="3" w:name="_Toc11607"/>
      <w:r>
        <w:rPr>
          <w:rFonts w:hint="eastAsia" w:ascii="楷体_GB2312" w:eastAsia="楷体_GB2312" w:hAnsiTheme="minorEastAsia"/>
          <w:sz w:val="32"/>
        </w:rPr>
        <w:t>（二）绩效评价依据</w:t>
      </w:r>
      <w:bookmarkEnd w:id="1"/>
      <w:bookmarkEnd w:id="2"/>
      <w:bookmarkEnd w:id="3"/>
    </w:p>
    <w:p>
      <w:pPr>
        <w:spacing w:line="360" w:lineRule="auto"/>
        <w:ind w:firstLine="640" w:firstLineChars="200"/>
        <w:textAlignment w:val="baseline"/>
        <w:rPr>
          <w:rFonts w:ascii="仿宋_GB2312" w:eastAsia="仿宋_GB2312" w:cs="DengXian-Regular"/>
          <w:sz w:val="32"/>
          <w:szCs w:val="32"/>
        </w:rPr>
      </w:pPr>
      <w:bookmarkStart w:id="4" w:name="_Toc465149507"/>
      <w:r>
        <w:rPr>
          <w:rFonts w:ascii="仿宋_GB2312" w:eastAsia="仿宋_GB2312" w:cs="DengXian-Regular"/>
          <w:sz w:val="32"/>
          <w:szCs w:val="32"/>
        </w:rPr>
        <w:t>《中华人民共和国预算法》；</w:t>
      </w:r>
      <w:r>
        <w:rPr>
          <w:rFonts w:hint="eastAsia" w:ascii="仿宋_GB2312" w:eastAsia="仿宋_GB2312" w:cs="DengXian-Regular"/>
          <w:sz w:val="32"/>
          <w:szCs w:val="32"/>
        </w:rPr>
        <w:t>中共中央国务院《关于全面实施预算绩效管理的意见》（中发〔2018〕34号）；</w:t>
      </w:r>
      <w:r>
        <w:rPr>
          <w:rFonts w:ascii="仿宋_GB2312" w:eastAsia="仿宋_GB2312" w:cs="DengXian-Regular"/>
          <w:sz w:val="32"/>
          <w:szCs w:val="32"/>
        </w:rPr>
        <w:t>《河北省财政支出绩效评价管理办法》（冀财预</w:t>
      </w:r>
      <w:r>
        <w:rPr>
          <w:rFonts w:hint="eastAsia" w:ascii="仿宋_GB2312" w:eastAsia="仿宋_GB2312" w:cs="DengXian-Regular"/>
          <w:sz w:val="32"/>
          <w:szCs w:val="32"/>
        </w:rPr>
        <w:t>〔2011〕68号）； 其他与部门绩效评价工作相关的文件。</w:t>
      </w:r>
      <w:bookmarkStart w:id="5" w:name="_Toc492652778"/>
    </w:p>
    <w:p>
      <w:pPr>
        <w:pStyle w:val="2"/>
        <w:spacing w:before="0" w:after="0"/>
        <w:ind w:firstLine="643" w:firstLineChars="200"/>
        <w:rPr>
          <w:rFonts w:ascii="楷体_GB2312" w:eastAsia="楷体_GB2312" w:hAnsiTheme="minorEastAsia"/>
          <w:sz w:val="32"/>
        </w:rPr>
      </w:pPr>
      <w:bookmarkStart w:id="6" w:name="_Toc7609"/>
      <w:r>
        <w:rPr>
          <w:rFonts w:hint="eastAsia" w:ascii="楷体_GB2312" w:eastAsia="楷体_GB2312" w:hAnsiTheme="minorEastAsia"/>
          <w:sz w:val="32"/>
        </w:rPr>
        <w:t>（三）绩效评价</w:t>
      </w:r>
      <w:bookmarkEnd w:id="5"/>
      <w:r>
        <w:rPr>
          <w:rFonts w:hint="eastAsia" w:ascii="楷体_GB2312" w:eastAsia="楷体_GB2312" w:hAnsiTheme="minorEastAsia"/>
          <w:sz w:val="32"/>
        </w:rPr>
        <w:t>内容</w:t>
      </w:r>
      <w:bookmarkEnd w:id="6"/>
    </w:p>
    <w:bookmarkEnd w:id="4"/>
    <w:p>
      <w:pPr>
        <w:spacing w:line="360" w:lineRule="auto"/>
        <w:ind w:firstLine="640" w:firstLineChars="200"/>
        <w:textAlignment w:val="baseline"/>
        <w:rPr>
          <w:rFonts w:ascii="仿宋_GB2312" w:eastAsia="仿宋_GB2312" w:cs="DengXian-Regular"/>
          <w:sz w:val="32"/>
          <w:szCs w:val="32"/>
        </w:rPr>
      </w:pPr>
      <w:bookmarkStart w:id="7" w:name="_Toc492652779"/>
      <w:bookmarkStart w:id="8" w:name="_Toc465149508"/>
      <w:r>
        <w:rPr>
          <w:rFonts w:hint="eastAsia" w:ascii="仿宋_GB2312" w:eastAsia="仿宋_GB2312" w:cs="DengXian-Regular"/>
          <w:sz w:val="32"/>
          <w:szCs w:val="32"/>
        </w:rPr>
        <w:t>我部门2021年部门整体支出绩效目标和指标的设置及完成情况；资金预算情况、实际收支情况及结转结余情况；部门履职对社会发展所带来的直接或间接影响及服务对象对部门履职效果的满意程度。</w:t>
      </w:r>
    </w:p>
    <w:p>
      <w:pPr>
        <w:pStyle w:val="2"/>
        <w:spacing w:before="0" w:after="0"/>
        <w:ind w:firstLine="643" w:firstLineChars="200"/>
        <w:rPr>
          <w:rFonts w:ascii="楷体_GB2312" w:eastAsia="楷体_GB2312" w:hAnsiTheme="minorEastAsia"/>
          <w:sz w:val="32"/>
        </w:rPr>
      </w:pPr>
      <w:bookmarkStart w:id="9" w:name="_Toc789"/>
      <w:r>
        <w:rPr>
          <w:rFonts w:hint="eastAsia" w:ascii="楷体_GB2312" w:eastAsia="楷体_GB2312" w:hAnsiTheme="minorEastAsia"/>
          <w:sz w:val="32"/>
        </w:rPr>
        <w:t>（四）绩效评价原则</w:t>
      </w:r>
      <w:bookmarkEnd w:id="9"/>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1.价值导向原则：财政支出绩效评价体系应能够反映财政支出的经济性、效益性、有效性原则，体现财政部门和项目主管部门的价值导向。</w:t>
      </w:r>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2.重要性原则：根据指标在整个指标体系中的地位和作用进行筛选，选择最具代表性、最能反映评价要求的指标。</w:t>
      </w:r>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3.综合性原则：将定性指标和定量指标相结合，定性分析是定量分析的基础，定量分析是定性分析的深化，两者相结合系统反映财政支出所产生的社会效益。</w:t>
      </w:r>
    </w:p>
    <w:p>
      <w:pPr>
        <w:spacing w:line="360" w:lineRule="auto"/>
        <w:ind w:firstLine="640" w:firstLineChars="200"/>
        <w:textAlignment w:val="baseline"/>
        <w:rPr>
          <w:rFonts w:ascii="仿宋_GB2312" w:eastAsia="仿宋_GB2312" w:cs="DengXian-Regular"/>
          <w:sz w:val="32"/>
          <w:szCs w:val="32"/>
        </w:rPr>
      </w:pPr>
      <w:r>
        <w:rPr>
          <w:rFonts w:hint="eastAsia" w:ascii="仿宋_GB2312" w:eastAsia="仿宋_GB2312" w:cs="DengXian-Regular"/>
          <w:sz w:val="32"/>
          <w:szCs w:val="32"/>
        </w:rPr>
        <w:t>4.经济性原则：指标的选取要考虑现实条件及可操作性，数据的获得应符合成本效益原则，在合理成本的基础上收集信息。</w:t>
      </w:r>
    </w:p>
    <w:bookmarkEnd w:id="7"/>
    <w:bookmarkEnd w:id="8"/>
    <w:p>
      <w:pPr>
        <w:spacing w:line="58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本次评价的预算项目共计20个，预算执行率94.99%，绩效目标总体完成情况98.75%。</w:t>
      </w:r>
    </w:p>
    <w:p>
      <w:pPr>
        <w:numPr>
          <w:ilvl w:val="0"/>
          <w:numId w:val="1"/>
        </w:numPr>
        <w:spacing w:line="550" w:lineRule="exact"/>
        <w:ind w:firstLine="640" w:firstLineChars="200"/>
        <w:rPr>
          <w:rFonts w:ascii="黑体" w:hAnsi="黑体" w:eastAsia="黑体" w:cs="仿宋"/>
          <w:bCs/>
          <w:sz w:val="32"/>
          <w:szCs w:val="32"/>
        </w:rPr>
      </w:pPr>
      <w:r>
        <w:rPr>
          <w:rFonts w:hint="eastAsia" w:ascii="黑体" w:hAnsi="黑体" w:eastAsia="黑体" w:cs="仿宋"/>
          <w:bCs/>
          <w:sz w:val="32"/>
          <w:szCs w:val="32"/>
        </w:rPr>
        <w:t>绩效目标设定质量情况</w:t>
      </w:r>
    </w:p>
    <w:p>
      <w:pPr>
        <w:spacing w:line="360" w:lineRule="auto"/>
        <w:ind w:firstLine="640" w:firstLineChars="200"/>
        <w:textAlignment w:val="baseline"/>
        <w:rPr>
          <w:rFonts w:ascii="仿宋_GB2312" w:eastAsia="仿宋_GB2312" w:cs="Times New Roman" w:hAnsiTheme="minorEastAsia"/>
          <w:sz w:val="32"/>
          <w:szCs w:val="32"/>
          <w:u w:color="000000"/>
        </w:rPr>
      </w:pPr>
      <w:r>
        <w:rPr>
          <w:rFonts w:hint="eastAsia" w:ascii="仿宋_GB2312" w:eastAsia="仿宋_GB2312" w:cs="DengXian-Regular"/>
          <w:sz w:val="32"/>
          <w:szCs w:val="32"/>
        </w:rPr>
        <w:t>我</w:t>
      </w:r>
      <w:r>
        <w:rPr>
          <w:rFonts w:hint="eastAsia" w:ascii="仿宋_GB2312" w:eastAsia="仿宋_GB2312" w:cs="DengXian-Regular"/>
          <w:sz w:val="32"/>
          <w:szCs w:val="32"/>
          <w:lang w:eastAsia="zh-CN"/>
        </w:rPr>
        <w:t>部门</w:t>
      </w:r>
      <w:r>
        <w:rPr>
          <w:rFonts w:hint="eastAsia" w:ascii="仿宋_GB2312" w:eastAsia="仿宋_GB2312" w:cs="DengXian-Regular"/>
          <w:sz w:val="32"/>
          <w:szCs w:val="32"/>
        </w:rPr>
        <w:t>整体支出绩效评价总得分为98.75分，综合绩效评价等级为“优”。各项得分情况如下</w:t>
      </w:r>
      <w:r>
        <w:rPr>
          <w:rFonts w:hint="eastAsia" w:ascii="仿宋_GB2312" w:eastAsia="仿宋_GB2312" w:cs="Times New Roman" w:hAnsiTheme="minorEastAsia"/>
          <w:sz w:val="32"/>
          <w:szCs w:val="32"/>
          <w:u w:color="000000"/>
        </w:rPr>
        <w:t>：</w:t>
      </w:r>
    </w:p>
    <w:p>
      <w:pPr>
        <w:pStyle w:val="2"/>
        <w:spacing w:before="0" w:after="0"/>
        <w:ind w:firstLine="643" w:firstLineChars="200"/>
        <w:rPr>
          <w:rFonts w:ascii="楷体_GB2312" w:eastAsia="楷体_GB2312" w:hAnsiTheme="minorEastAsia"/>
          <w:sz w:val="32"/>
        </w:rPr>
      </w:pPr>
      <w:bookmarkStart w:id="10" w:name="_Toc492652783"/>
      <w:bookmarkStart w:id="11" w:name="_Toc4390"/>
      <w:r>
        <w:rPr>
          <w:rFonts w:hint="eastAsia" w:ascii="楷体_GB2312" w:eastAsia="楷体_GB2312" w:hAnsiTheme="minorEastAsia"/>
          <w:sz w:val="32"/>
        </w:rPr>
        <w:t>（一）</w:t>
      </w:r>
      <w:bookmarkEnd w:id="10"/>
      <w:r>
        <w:rPr>
          <w:rFonts w:hint="eastAsia" w:ascii="楷体_GB2312" w:eastAsia="楷体_GB2312" w:hAnsiTheme="minorEastAsia"/>
          <w:sz w:val="32"/>
        </w:rPr>
        <w:t>产出指标（50分）</w:t>
      </w:r>
      <w:bookmarkEnd w:id="11"/>
    </w:p>
    <w:p>
      <w:pPr>
        <w:spacing w:line="360" w:lineRule="auto"/>
        <w:ind w:firstLine="640" w:firstLineChars="200"/>
        <w:textAlignment w:val="baseline"/>
        <w:rPr>
          <w:rFonts w:ascii="仿宋_GB2312" w:eastAsia="仿宋_GB2312" w:cs="Times New Roman" w:hAnsiTheme="minorEastAsia"/>
          <w:sz w:val="32"/>
          <w:szCs w:val="32"/>
          <w:u w:color="000000"/>
        </w:rPr>
      </w:pPr>
      <w:r>
        <w:rPr>
          <w:rFonts w:hint="eastAsia" w:ascii="仿宋_GB2312" w:eastAsia="仿宋_GB2312" w:cs="DengXian-Regular"/>
          <w:sz w:val="32"/>
          <w:szCs w:val="32"/>
        </w:rPr>
        <w:t>该一级指标包含数量指标、质量指标、时效指标、成本指标。该指标得分50分。</w:t>
      </w:r>
    </w:p>
    <w:p>
      <w:pPr>
        <w:pStyle w:val="2"/>
        <w:spacing w:before="0" w:after="0"/>
        <w:ind w:firstLine="643" w:firstLineChars="200"/>
        <w:rPr>
          <w:rFonts w:ascii="楷体" w:hAnsi="楷体" w:eastAsia="楷体"/>
          <w:sz w:val="32"/>
        </w:rPr>
      </w:pPr>
      <w:bookmarkStart w:id="12" w:name="_Toc19940"/>
      <w:r>
        <w:rPr>
          <w:rFonts w:hint="eastAsia" w:ascii="楷体" w:hAnsi="楷体" w:eastAsia="楷体"/>
          <w:sz w:val="32"/>
        </w:rPr>
        <w:t>（二）效益指标（30分）</w:t>
      </w:r>
      <w:bookmarkEnd w:id="12"/>
    </w:p>
    <w:p>
      <w:pPr>
        <w:spacing w:line="360" w:lineRule="auto"/>
        <w:ind w:firstLine="640" w:firstLineChars="200"/>
        <w:textAlignment w:val="baseline"/>
        <w:rPr>
          <w:rFonts w:ascii="仿宋_GB2312" w:eastAsia="仿宋_GB2312" w:cs="DengXian-Regular"/>
          <w:sz w:val="32"/>
          <w:szCs w:val="32"/>
        </w:rPr>
      </w:pPr>
      <w:bookmarkStart w:id="13" w:name="_Toc464638480"/>
      <w:r>
        <w:rPr>
          <w:rFonts w:hint="eastAsia" w:ascii="仿宋_GB2312" w:eastAsia="仿宋_GB2312" w:cs="DengXian-Regular"/>
          <w:sz w:val="32"/>
          <w:szCs w:val="32"/>
        </w:rPr>
        <w:t>该一级指标包含经济效益、社会效益、生态效益、可持续影响目标。该指标得分30分。</w:t>
      </w:r>
    </w:p>
    <w:bookmarkEnd w:id="13"/>
    <w:p>
      <w:pPr>
        <w:pStyle w:val="2"/>
        <w:spacing w:before="0" w:after="0"/>
        <w:ind w:firstLine="643" w:firstLineChars="200"/>
        <w:rPr>
          <w:rFonts w:ascii="楷体" w:hAnsi="楷体" w:eastAsia="楷体"/>
          <w:sz w:val="32"/>
        </w:rPr>
      </w:pPr>
      <w:bookmarkStart w:id="14" w:name="_Toc12330"/>
      <w:r>
        <w:rPr>
          <w:rFonts w:hint="eastAsia" w:ascii="楷体" w:hAnsi="楷体" w:eastAsia="楷体"/>
          <w:sz w:val="32"/>
        </w:rPr>
        <w:t>（三）满意度指标（10分）</w:t>
      </w:r>
      <w:bookmarkEnd w:id="14"/>
    </w:p>
    <w:p>
      <w:pPr>
        <w:spacing w:line="360" w:lineRule="auto"/>
        <w:ind w:left="638" w:leftChars="304"/>
        <w:rPr>
          <w:rFonts w:ascii="仿宋_GB2312" w:eastAsia="仿宋_GB2312" w:cs="DengXian-Regular"/>
          <w:sz w:val="32"/>
          <w:szCs w:val="32"/>
        </w:rPr>
      </w:pPr>
      <w:r>
        <w:rPr>
          <w:rFonts w:hint="eastAsia" w:ascii="仿宋_GB2312" w:eastAsia="仿宋_GB2312" w:cs="DengXian-Regular"/>
          <w:sz w:val="32"/>
          <w:szCs w:val="32"/>
        </w:rPr>
        <w:t>该项目建成后服务对象的满意度。该指标得分10分。</w:t>
      </w:r>
    </w:p>
    <w:p>
      <w:pPr>
        <w:spacing w:line="360" w:lineRule="auto"/>
        <w:ind w:left="638" w:leftChars="304"/>
        <w:rPr>
          <w:rFonts w:ascii="仿宋_GB2312" w:eastAsia="仿宋_GB2312" w:cs="Times New Roman" w:hAnsiTheme="minorEastAsia"/>
          <w:sz w:val="32"/>
          <w:szCs w:val="32"/>
          <w:u w:color="000000"/>
        </w:rPr>
      </w:pPr>
      <w:r>
        <w:rPr>
          <w:rFonts w:hint="eastAsia" w:ascii="楷体" w:hAnsi="楷体" w:eastAsia="楷体" w:cs="楷体"/>
          <w:b/>
          <w:bCs/>
          <w:sz w:val="32"/>
          <w:szCs w:val="32"/>
        </w:rPr>
        <w:t>（四）</w:t>
      </w:r>
      <w:r>
        <w:rPr>
          <w:rFonts w:hint="eastAsia" w:ascii="楷体" w:hAnsi="楷体" w:eastAsia="楷体" w:cs="楷体"/>
          <w:b/>
          <w:bCs/>
          <w:sz w:val="32"/>
          <w:szCs w:val="32"/>
          <w:u w:color="000000"/>
        </w:rPr>
        <w:t>预算执行率（10分）</w:t>
      </w:r>
    </w:p>
    <w:p>
      <w:pPr>
        <w:spacing w:line="360" w:lineRule="auto"/>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 xml:space="preserve">    2021年项目预算执行率为94.99%，得分8分。完成的原因：一是由于财政资金紧张，二是由于部分项目未完成支付手续，款项无法支付。</w:t>
      </w:r>
    </w:p>
    <w:p>
      <w:pPr>
        <w:spacing w:line="550" w:lineRule="exact"/>
        <w:ind w:firstLine="640" w:firstLineChars="200"/>
        <w:rPr>
          <w:rFonts w:ascii="黑体" w:hAnsi="黑体" w:eastAsia="黑体" w:cs="仿宋"/>
          <w:bCs/>
          <w:sz w:val="32"/>
          <w:szCs w:val="32"/>
        </w:rPr>
      </w:pPr>
      <w:r>
        <w:rPr>
          <w:rFonts w:hint="eastAsia" w:ascii="黑体" w:hAnsi="黑体" w:eastAsia="黑体" w:cs="仿宋"/>
          <w:bCs/>
          <w:sz w:val="32"/>
          <w:szCs w:val="32"/>
        </w:rPr>
        <w:t>四、整改措施及结果应用</w:t>
      </w:r>
    </w:p>
    <w:p>
      <w:pPr>
        <w:spacing w:line="360" w:lineRule="auto"/>
        <w:ind w:firstLine="640" w:firstLineChars="200"/>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通过对各指标得分及扣分原因的分析，</w:t>
      </w:r>
      <w:r>
        <w:rPr>
          <w:rFonts w:hint="eastAsia" w:ascii="仿宋_GB2312" w:eastAsia="仿宋_GB2312" w:cs="DengXian-Regular"/>
          <w:sz w:val="32"/>
          <w:szCs w:val="32"/>
        </w:rPr>
        <w:t>我局</w:t>
      </w:r>
      <w:r>
        <w:rPr>
          <w:rFonts w:hint="eastAsia" w:ascii="仿宋_GB2312" w:eastAsia="仿宋_GB2312" w:cs="Times New Roman" w:hAnsiTheme="minorEastAsia"/>
          <w:sz w:val="32"/>
          <w:szCs w:val="32"/>
          <w:u w:color="000000"/>
        </w:rPr>
        <w:t>2021年部门整体支出基本按相关要求执行预算、决算，完成了绩效目标，资金使用效益良好。通过评价，也发现一些不足之处，具体情况如下：</w:t>
      </w:r>
    </w:p>
    <w:p>
      <w:pPr>
        <w:spacing w:line="360" w:lineRule="auto"/>
        <w:ind w:firstLine="640" w:firstLineChars="200"/>
        <w:textAlignment w:val="baseline"/>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1.部分绩效指标方面，还有待于进一步精细化、科学化，以便于对</w:t>
      </w:r>
      <w:r>
        <w:rPr>
          <w:rFonts w:ascii="仿宋_GB2312" w:eastAsia="仿宋_GB2312" w:cs="Times New Roman" w:hAnsiTheme="minorEastAsia"/>
          <w:sz w:val="32"/>
          <w:szCs w:val="32"/>
          <w:u w:color="000000"/>
        </w:rPr>
        <w:t>预算项目</w:t>
      </w:r>
      <w:r>
        <w:rPr>
          <w:rFonts w:hint="eastAsia" w:ascii="仿宋_GB2312" w:eastAsia="仿宋_GB2312" w:cs="Times New Roman" w:hAnsiTheme="minorEastAsia"/>
          <w:sz w:val="32"/>
          <w:szCs w:val="32"/>
          <w:u w:color="000000"/>
        </w:rPr>
        <w:t>绩效进</w:t>
      </w:r>
      <w:r>
        <w:rPr>
          <w:rFonts w:ascii="仿宋_GB2312" w:eastAsia="仿宋_GB2312" w:cs="Times New Roman" w:hAnsiTheme="minorEastAsia"/>
          <w:sz w:val="32"/>
          <w:szCs w:val="32"/>
          <w:u w:color="000000"/>
        </w:rPr>
        <w:t>行</w:t>
      </w:r>
      <w:r>
        <w:rPr>
          <w:rFonts w:hint="eastAsia" w:ascii="仿宋_GB2312" w:eastAsia="仿宋_GB2312" w:cs="Times New Roman" w:hAnsiTheme="minorEastAsia"/>
          <w:sz w:val="32"/>
          <w:szCs w:val="32"/>
          <w:u w:color="000000"/>
        </w:rPr>
        <w:t>科学评价与考核。</w:t>
      </w:r>
    </w:p>
    <w:p>
      <w:pPr>
        <w:ind w:firstLine="640" w:firstLineChars="200"/>
        <w:rPr>
          <w:rFonts w:ascii="仿宋_GB2312" w:eastAsia="仿宋_GB2312" w:cs="Times New Roman" w:hAnsiTheme="minorEastAsia"/>
          <w:sz w:val="32"/>
          <w:szCs w:val="32"/>
          <w:u w:color="000000"/>
        </w:rPr>
      </w:pPr>
      <w:r>
        <w:rPr>
          <w:rFonts w:hint="eastAsia" w:ascii="仿宋_GB2312" w:eastAsia="仿宋_GB2312" w:cs="Times New Roman" w:hAnsiTheme="minorEastAsia"/>
          <w:sz w:val="32"/>
          <w:szCs w:val="32"/>
          <w:u w:color="000000"/>
        </w:rPr>
        <w:t>2.项目资金使用率方面：部分项目需要加强监督与管理，项目资金使用率有待进一步提高。</w:t>
      </w:r>
    </w:p>
    <w:p>
      <w:pPr>
        <w:ind w:firstLine="640"/>
        <w:rPr>
          <w:rFonts w:ascii="仿宋" w:hAnsi="仿宋" w:eastAsia="仿宋" w:cs="仿宋"/>
          <w:sz w:val="32"/>
          <w:szCs w:val="32"/>
        </w:rPr>
      </w:pPr>
      <w:r>
        <w:rPr>
          <w:rFonts w:hint="eastAsia" w:ascii="仿宋" w:hAnsi="仿宋" w:eastAsia="仿宋" w:cs="仿宋"/>
          <w:sz w:val="32"/>
          <w:szCs w:val="32"/>
        </w:rPr>
        <w:t>绩效评价结果的运用是判断评价工作能否取得成效的主要依据,也是确保这项工作持续、深入发展的基本前提。绩效评价也是加强支出管理、合理配置资源、优化财政支出结构、提高资金使用效益的重要手段。我单位会将此次绩效自评结果作为以后资金安排使用的重要依据,取长补短,让资金安排使用更加合理。</w:t>
      </w:r>
    </w:p>
    <w:p>
      <w:pPr>
        <w:ind w:firstLine="640"/>
        <w:rPr>
          <w:rFonts w:ascii="仿宋" w:hAnsi="仿宋" w:eastAsia="仿宋" w:cs="仿宋"/>
          <w:sz w:val="32"/>
          <w:szCs w:val="32"/>
        </w:rPr>
      </w:pPr>
    </w:p>
    <w:p>
      <w:pPr>
        <w:ind w:firstLine="640"/>
        <w:rPr>
          <w:rFonts w:ascii="仿宋" w:hAnsi="仿宋" w:eastAsia="仿宋" w:cs="仿宋"/>
          <w:sz w:val="32"/>
          <w:szCs w:val="32"/>
        </w:rPr>
      </w:pPr>
    </w:p>
    <w:p>
      <w:pPr>
        <w:ind w:firstLine="640"/>
        <w:rPr>
          <w:rFonts w:ascii="仿宋" w:hAnsi="仿宋" w:eastAsia="仿宋" w:cs="仿宋"/>
          <w:sz w:val="32"/>
          <w:szCs w:val="32"/>
        </w:rPr>
      </w:pPr>
    </w:p>
    <w:p>
      <w:pPr>
        <w:ind w:firstLine="4166" w:firstLineChars="1302"/>
        <w:rPr>
          <w:rFonts w:ascii="仿宋" w:hAnsi="仿宋" w:eastAsia="仿宋" w:cs="仿宋"/>
          <w:sz w:val="32"/>
          <w:szCs w:val="32"/>
        </w:rPr>
      </w:pPr>
      <w:r>
        <w:rPr>
          <w:rFonts w:hint="eastAsia" w:ascii="仿宋" w:hAnsi="仿宋" w:eastAsia="仿宋" w:cs="仿宋"/>
          <w:sz w:val="32"/>
          <w:szCs w:val="32"/>
        </w:rPr>
        <w:t>阜平县财政局</w:t>
      </w:r>
    </w:p>
    <w:p>
      <w:pPr>
        <w:ind w:firstLine="4166" w:firstLineChars="1302"/>
        <w:rPr>
          <w:rFonts w:ascii="仿宋" w:hAnsi="仿宋" w:eastAsia="仿宋" w:cs="仿宋"/>
          <w:sz w:val="32"/>
          <w:szCs w:val="32"/>
        </w:rPr>
      </w:pPr>
      <w:r>
        <w:rPr>
          <w:rFonts w:hint="eastAsia" w:ascii="仿宋" w:hAnsi="仿宋" w:eastAsia="仿宋" w:cs="仿宋"/>
          <w:sz w:val="32"/>
          <w:szCs w:val="32"/>
        </w:rPr>
        <w:t>2022年4月20日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engXian-Regular">
    <w:altName w:val="宋体"/>
    <w:panose1 w:val="00000000000000000000"/>
    <w:charset w:val="86"/>
    <w:family w:val="auto"/>
    <w:pitch w:val="default"/>
    <w:sig w:usb0="00000000" w:usb1="00000000" w:usb2="00000010"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71658750"/>
    </w:sdtPr>
    <w:sdtEndPr>
      <w:rPr>
        <w:lang w:val="zh-CN"/>
      </w:rPr>
    </w:sdtEndPr>
    <w:sdtContent>
      <w:p>
        <w:pPr>
          <w:pStyle w:val="4"/>
          <w:jc w:val="center"/>
        </w:pPr>
        <w:r>
          <w:fldChar w:fldCharType="begin"/>
        </w:r>
        <w:r>
          <w:instrText xml:space="preserve"> PAGE   \* MERGEFORMAT </w:instrText>
        </w:r>
        <w:r>
          <w:fldChar w:fldCharType="separate"/>
        </w:r>
        <w:r>
          <w:rPr>
            <w:lang w:val="zh-CN"/>
          </w:rPr>
          <w:t>4</w:t>
        </w:r>
        <w:r>
          <w:rPr>
            <w:lang w:val="zh-CN"/>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B2FEC0"/>
    <w:multiLevelType w:val="singleLevel"/>
    <w:tmpl w:val="9AB2FEC0"/>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27F4A19"/>
    <w:rsid w:val="000E6D1E"/>
    <w:rsid w:val="00500672"/>
    <w:rsid w:val="0057250A"/>
    <w:rsid w:val="006D6BCC"/>
    <w:rsid w:val="008A1BA9"/>
    <w:rsid w:val="009171DA"/>
    <w:rsid w:val="009A4999"/>
    <w:rsid w:val="00A15E15"/>
    <w:rsid w:val="00CD028E"/>
    <w:rsid w:val="00F04544"/>
    <w:rsid w:val="027F4A19"/>
    <w:rsid w:val="131C2CBF"/>
    <w:rsid w:val="3F715086"/>
    <w:rsid w:val="41916EBB"/>
    <w:rsid w:val="6D566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99"/>
    <w:pPr>
      <w:keepNext/>
      <w:keepLines/>
      <w:spacing w:before="260" w:after="260" w:line="360" w:lineRule="auto"/>
      <w:textAlignment w:val="baseline"/>
      <w:outlineLvl w:val="2"/>
    </w:pPr>
    <w:rPr>
      <w:rFonts w:ascii="Times New Roman" w:hAnsi="Times New Roman" w:eastAsia="仿宋_GB2312" w:cs="Times New Roman"/>
      <w:b/>
      <w:bCs/>
      <w:sz w:val="30"/>
      <w:szCs w:val="32"/>
      <w:u w:color="000000"/>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7"/>
    <w:uiPriority w:val="0"/>
    <w:rPr>
      <w:sz w:val="18"/>
      <w:szCs w:val="18"/>
    </w:rPr>
  </w:style>
  <w:style w:type="paragraph" w:styleId="4">
    <w:name w:val="footer"/>
    <w:basedOn w:val="1"/>
    <w:qFormat/>
    <w:uiPriority w:val="99"/>
    <w:pPr>
      <w:tabs>
        <w:tab w:val="center" w:pos="4153"/>
        <w:tab w:val="right" w:pos="8306"/>
      </w:tabs>
      <w:snapToGrid w:val="0"/>
      <w:jc w:val="left"/>
    </w:pPr>
    <w:rPr>
      <w:sz w:val="18"/>
      <w:szCs w:val="18"/>
    </w:rPr>
  </w:style>
  <w:style w:type="character" w:customStyle="1" w:styleId="7">
    <w:name w:val="批注框文本 Char"/>
    <w:basedOn w:val="6"/>
    <w:link w:val="3"/>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276</Words>
  <Characters>1579</Characters>
  <Lines>13</Lines>
  <Paragraphs>3</Paragraphs>
  <TotalTime>21</TotalTime>
  <ScaleCrop>false</ScaleCrop>
  <LinksUpToDate>false</LinksUpToDate>
  <CharactersWithSpaces>1852</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2022-04-21T01:18:00Z</dcterms:created>
  <dc:creator>东子</dc:creator>
  <cp:lastModifiedBy>Administrator</cp:lastModifiedBy>
  <dcterms:modified xsi:type="dcterms:W3CDTF">2025-03-14T06:53:17Z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FBC214FE07AC4141B0B9F2701FFF119D</vt:lpwstr>
  </property>
</Properties>
</file>