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78.05pt;margin-top:-231.65pt;height:959.25pt;width:595.2pt;z-index:251665408;mso-width-relative:page;mso-height-relative:page;" coordorigin="-190,285" coordsize="75590,1069212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40"/>
                        <w:szCs w:val="40"/>
                      </w:rPr>
                    </w:pPr>
                    <w:r>
                      <w:rPr>
                        <w:rFonts w:hint="eastAsia" w:ascii="仿宋_GB2312" w:hAnsi="仿宋" w:eastAsia="仿宋_GB2312"/>
                        <w:sz w:val="36"/>
                        <w:szCs w:val="36"/>
                      </w:rPr>
                      <w:t>2021年</w:t>
                    </w:r>
                    <w:r>
                      <w:rPr>
                        <w:rFonts w:hint="eastAsia" w:ascii="仿宋_GB2312" w:eastAsia="仿宋_GB2312" w:hAnsiTheme="minorEastAsia"/>
                        <w:sz w:val="36"/>
                        <w:szCs w:val="36"/>
                      </w:rPr>
                      <w:t>10</w:t>
                    </w:r>
                    <w:r>
                      <w:rPr>
                        <w:rFonts w:hint="eastAsia" w:ascii="仿宋_GB2312" w:hAnsi="仿宋" w:eastAsia="仿宋_GB2312"/>
                        <w:sz w:val="36"/>
                        <w:szCs w:val="36"/>
                      </w:rPr>
                      <w:t>月</w:t>
                    </w:r>
                  </w:p>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阜平县财政局</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二〇二一年十月</w:t>
      </w:r>
    </w:p>
    <w:p>
      <w:pPr>
        <w:snapToGrid w:val="0"/>
        <w:jc w:val="center"/>
        <w:rPr>
          <w:rFonts w:ascii="楷体_GB2312" w:hAnsi="楷体_GB2312" w:eastAsia="楷体_GB2312" w:cs="楷体_GB2312"/>
          <w:color w:val="000000" w:themeColor="text1"/>
          <w:kern w:val="0"/>
          <w:sz w:val="40"/>
          <w:szCs w:val="40"/>
        </w:rPr>
      </w:pPr>
    </w:p>
    <w:p>
      <w:pPr>
        <w:jc w:val="center"/>
        <w:rPr>
          <w:rFonts w:ascii="黑体" w:hAnsi="黑体" w:eastAsia="黑体" w:cs="黑体"/>
          <w:sz w:val="72"/>
          <w:szCs w:val="96"/>
        </w:rPr>
      </w:pPr>
      <w:r>
        <w:rPr>
          <w:rFonts w:hint="eastAsia" w:ascii="黑体" w:hAnsi="黑体" w:eastAsia="黑体" w:cs="黑体"/>
          <w:sz w:val="72"/>
          <w:szCs w:val="96"/>
        </w:rPr>
        <w:t>阜平县财政局</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二〇二一年十月</w:t>
      </w:r>
    </w:p>
    <w:p>
      <w:pPr>
        <w:rPr>
          <w:rFonts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o:title="image2"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（一）贯彻执行国家财税、税收的发展战略、方针、政策，组织财政收入，保证财政任务的完成，加强调控管理，统筹安排财政支出，支持生产建设和各项事业的发展，实现财政预算平衡。</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（三）承担财政国库管理的责任。指导和监督县本级国库业务，按规定开展国库现金管理；负责县级政府采购监督管理；承担财政投资评审管理。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（四）负责政府非税收入和政府性基金管理，按规定管理行政事业性收费；管理财政票据。</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（五）负责管理全县的国有资产产权登记及年检，国有资产评估的审核、备案，清产核资，国有资产的产权纠纷和流失查处工作。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（六）承担县直机关事业单位公务车辆编制职责。</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（七）负责办理和监督县级财政的经济社会发展支出、县投资项目的财政拨款；负责有关政策性补贴和专项储备资金财政管理。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（八）会同有关部门管理县级财政社会保障和就业及医疗卫生支出。</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（九）负责管理全县会计工作，监督和规范会计行为，指导和监督注册会计师和会计师事务所的业务，指导和管理社会审计。</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（十）监督检查财税法规、政策的执行情况，反映财政收支管理中的重大问题。贯彻监督执行《企业财务通则》和分行业的财务会计制度，负责地方金融企业财务监管工作。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（十一）正确处理上下级财政之间以及财政与企业事业单位，居民之间的分配关系。</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（十二）管理全县的国有资产产权登记及年检，国有资产评估的审核、备案，清产核资，国有资产的产权纠纷和流失查处工作。</w:t>
      </w:r>
    </w:p>
    <w:p>
      <w:pPr>
        <w:pStyle w:val="6"/>
        <w:widowControl/>
        <w:spacing w:before="0" w:beforeAutospacing="0" w:after="0" w:afterAutospacing="0"/>
        <w:ind w:firstLine="640" w:firstLineChars="200"/>
        <w:jc w:val="both"/>
        <w:rPr>
          <w:rFonts w:ascii="仿宋_GB2312" w:eastAsia="仿宋_GB2312" w:cs="仿宋_GB2312"/>
          <w:sz w:val="32"/>
          <w:szCs w:val="32"/>
        </w:rPr>
      </w:pPr>
      <w:r>
        <w:rPr>
          <w:rFonts w:hint="eastAsia" w:ascii="仿宋_GB2312" w:eastAsia="仿宋_GB2312" w:cs="仿宋_GB2312"/>
          <w:sz w:val="32"/>
          <w:szCs w:val="32"/>
        </w:rPr>
        <w:t>（十三）承办县政府交办的其他事项。</w:t>
      </w:r>
    </w:p>
    <w:p>
      <w:pPr>
        <w:ind w:firstLine="640" w:firstLineChars="200"/>
        <w:rPr>
          <w:rFonts w:ascii="黑体" w:hAnsi="Calibri" w:eastAsia="黑体" w:cs="黑体"/>
          <w:kern w:val="0"/>
          <w:sz w:val="32"/>
          <w:szCs w:val="32"/>
        </w:rPr>
      </w:pPr>
      <w:r>
        <w:rPr>
          <w:rFonts w:hint="eastAsia" w:ascii="仿宋_GB2312" w:eastAsia="仿宋_GB2312" w:cs="仿宋_GB2312"/>
          <w:kern w:val="0"/>
          <w:sz w:val="32"/>
          <w:szCs w:val="32"/>
        </w:rPr>
        <w:t>根据《阜平县机构编制委员会关于设置阜平县农业综合开发办公室通知》的规定，农开办主要职责：贯彻执行国家农业综合开发方针、政策；指定全县农业综合开发规划和实施计划；对全县农业综合开发工作进行综合协调和服务；督促检查农业综合开发项目及其计划执行情况；管理全县农业综合开发资金；管理和组织实施国家立项的农业综合开发土地治理项目、多种经营项目、科技项目以及其他农业综合开发项目；承办县政府和上级主管部门交办的其他事项。</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 1 个，具体情况如下：</w:t>
      </w:r>
    </w:p>
    <w:tbl>
      <w:tblPr>
        <w:tblStyle w:val="8"/>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ascii="仿宋_GB2312" w:hAnsi="Calibri" w:eastAsia="仿宋_GB2312" w:cs="Arial Black"/>
                <w:kern w:val="0"/>
                <w:sz w:val="28"/>
                <w:szCs w:val="28"/>
              </w:rPr>
            </w:pPr>
            <w:r>
              <w:rPr>
                <w:rFonts w:hint="eastAsia" w:ascii="仿宋_GB2312" w:hAnsi="Calibri" w:eastAsia="仿宋_GB2312" w:cs="ArialUnicodeMS"/>
                <w:kern w:val="0"/>
                <w:sz w:val="28"/>
                <w:szCs w:val="28"/>
              </w:rPr>
              <w:t>阜平县财政局</w:t>
            </w:r>
          </w:p>
        </w:tc>
        <w:tc>
          <w:tcPr>
            <w:tcW w:w="2404" w:type="dxa"/>
          </w:tcPr>
          <w:p>
            <w:pPr>
              <w:spacing w:line="560" w:lineRule="exact"/>
              <w:jc w:val="center"/>
              <w:rPr>
                <w:rFonts w:ascii="仿宋_GB2312" w:hAnsi="Calibri" w:eastAsia="仿宋_GB2312" w:cs="Arial Black"/>
                <w:kern w:val="0"/>
                <w:sz w:val="28"/>
                <w:szCs w:val="28"/>
              </w:rPr>
            </w:pPr>
            <w:r>
              <w:rPr>
                <w:rFonts w:hint="eastAsia" w:ascii="仿宋_GB2312" w:eastAsia="仿宋_GB2312" w:cs="仿宋_GB2312"/>
                <w:kern w:val="0"/>
                <w:sz w:val="32"/>
                <w:szCs w:val="32"/>
              </w:rPr>
              <w:t>行政</w:t>
            </w:r>
          </w:p>
        </w:tc>
        <w:tc>
          <w:tcPr>
            <w:tcW w:w="2622" w:type="dxa"/>
          </w:tcPr>
          <w:p>
            <w:pPr>
              <w:spacing w:line="560" w:lineRule="exact"/>
              <w:jc w:val="center"/>
              <w:rPr>
                <w:rFonts w:ascii="仿宋_GB2312" w:hAnsi="Calibri" w:eastAsia="仿宋_GB2312" w:cs="Arial Black"/>
                <w:kern w:val="0"/>
                <w:sz w:val="28"/>
                <w:szCs w:val="28"/>
              </w:rPr>
            </w:pPr>
            <w:r>
              <w:rPr>
                <w:rFonts w:hint="eastAsia" w:ascii="仿宋_GB2312" w:eastAsia="仿宋_GB2312" w:cs="仿宋_GB2312"/>
                <w:kern w:val="0"/>
                <w:sz w:val="32"/>
                <w:szCs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3360;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o:title="image2"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收入总计（含结转和结余）19141.35万元。与2019年度决算相比，收入减少3212.82万元，降低14.37%，主要原因是阜裕公司注册资金没有列支，二级单位农开办划转到农业局。本部门2020年度支出总计（含结转和结余）19141.35万元。与2019年度决算相比，支出减少3212.82万元，降低14.37%，主要原因是阜裕公司注册资金没有列支，二级单位农开办划转到农业局。</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本部门2020年度本年收入合计19141.35万元，其中：财政拨款收入19141.35万元，占100%；事业收入0万元，占0%；经营收入0万元，占0%；其他收入0万元，占0%。</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本部门2020年度本年支出合计19141.35万元，其中：基本支出563.24万元，占2.94%；项目支出18578.11万元，占97.06%；经营支出0万元，占0%。</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本部门2020年度财政拨款本年收入19141.35万元,比2019年度减少3212.82万元，降低14.37%，主要原因是阜裕公司注册资金没有列支，二级单位农开办划转到农业局；本年支出19141.35万元，</w:t>
      </w:r>
      <w:r>
        <w:rPr>
          <w:rFonts w:hint="eastAsia" w:ascii="仿宋_GB2312" w:hAnsi="Times New Roman" w:eastAsia="仿宋_GB2312" w:cs="Wingdings"/>
          <w:sz w:val="32"/>
          <w:szCs w:val="32"/>
          <w:lang w:val="en-US" w:eastAsia="zh-CN"/>
        </w:rPr>
        <w:t>减少</w:t>
      </w:r>
      <w:r>
        <w:rPr>
          <w:rFonts w:hint="eastAsia" w:ascii="仿宋_GB2312" w:hAnsi="Times New Roman" w:eastAsia="仿宋_GB2312" w:cs="Wingdings"/>
          <w:sz w:val="32"/>
          <w:szCs w:val="32"/>
        </w:rPr>
        <w:t>3212.82万元，降低14.37%，主要原因是阜裕公司注册资金没有列支，二级单位农开办划转到农业局。具体情况如下：</w:t>
      </w:r>
    </w:p>
    <w:p>
      <w:pPr>
        <w:numPr>
          <w:ilvl w:val="0"/>
          <w:numId w:val="1"/>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一般公共预算财政拨款本年收入7380.64万元，比上年增加1085.60万元，增长17.25%，主要是新录用12人，经费增加；本年支出7380.64万元，比上年增加1085.60万元，增长17.25%，主要是新录用12人，经费增加。</w:t>
      </w:r>
    </w:p>
    <w:p>
      <w:pPr>
        <w:numPr>
          <w:ilvl w:val="0"/>
          <w:numId w:val="1"/>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政府性基金预算财政拨款本年收入11760.71万元，比上年减少4298.42万元，降低26.77%，主要原因是阜裕公司注册资金没有列支，二级单位农开办划转到农业局；本年支出11760.71万元，比上年减少4298.42万元，降低26.77%，主要原因是阜裕公司注册资金没有列支，二级单位农开办划转到农业局。</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19141.35万元，完成年初预算的93.16%,比年初预算减少1404.45万元，决算数小于预算数主要原因是阜裕公司注册资金没有列支，二级单位农开办划转到农业局；本年支出19141.35万元，完成年初预算的93.16%,比年初预算减少1404.45万元，决算数小于预算数主要原因是主要是阜裕公司注册资金没有列支，二级单位农开办划转到农业局。具体情况如下：</w:t>
      </w:r>
    </w:p>
    <w:p>
      <w:pPr>
        <w:numPr>
          <w:ilvl w:val="0"/>
          <w:numId w:val="2"/>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完成年初预算71.34%，比年初预算减少2954.16万元，主要是阜裕公司注册资金没有列支，二级单位农开办划转到农业局；支出完成年初预算71.34%，比年初预算减少2954.16万元，主要是阜裕公司注册资金没有列支，二级单位农开办划转到农业局。</w:t>
      </w:r>
    </w:p>
    <w:p>
      <w:pPr>
        <w:numPr>
          <w:ilvl w:val="0"/>
          <w:numId w:val="2"/>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政府性基金预算财政拨款本年收入完成年初预算115.3%，比年初预算增加1560.71万元，主要是增加评审服务费和债券利息；支出完成年初预算115.3%，比年初预算增加1560.71万元，主要是增加评审服务费和债券利息。</w:t>
      </w:r>
    </w:p>
    <w:p>
      <w:pPr>
        <w:numPr>
          <w:ilvl w:val="0"/>
          <w:numId w:val="3"/>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年度财政拨款支出19141.35万元，主要用于以下方面一般公共服务（类）支出551.41万元，占2.88%，；社会保障和就业（类）支出 49.43万元，占0.26%；卫生健康（类）支出11.08万元，占0.06%；城乡社区（类）支出336.75万元，占1.76%；住房保障（类）支出21.22万元，占0.11%;粮油物资储备（类）支出18.21万元，占0.1%；债务付息（类）支出18153.19万元，占94.83%。</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年度财政拨款基本支出563.23万元，其中：人员经费 479.16万元，主要包括基本工资、津贴补贴、绩效工资、机关事业单位基本养老保险缴费、职工基本医疗保险缴费、住房公积金、其他社会保障缴费、其他工资福利支出、退休费、奖励金支出；公用经费 84.07万元，主要包括办公费、印刷费、邮电费、取暖费、差旅费、维修（护）费、会议费、公务接待费、专用材料费、劳务费、委托业务费、公务用车运行维护费、其他交通费用、其他商品和服务支出、办公设备购置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本部门2020年度“三公”经费财政拨款支出预算为8.20万元，支出决算为4.19万元，完成预算的51.1%,较年初预算减少4.01万元，降低48.9%，主要是</w:t>
      </w:r>
      <w:r>
        <w:rPr>
          <w:rFonts w:hint="eastAsia" w:ascii="仿宋_GB2312" w:hAnsi="Times New Roman" w:eastAsia="仿宋_GB2312" w:cs="DengXian-Regular"/>
          <w:sz w:val="32"/>
          <w:szCs w:val="32"/>
        </w:rPr>
        <w:t>认真落实中央</w:t>
      </w:r>
      <w:r>
        <w:rPr>
          <w:rFonts w:hint="eastAsia" w:ascii="仿宋_GB2312" w:hAnsi="Times New Roman" w:eastAsia="仿宋_GB2312" w:cs="DengXian-Regular"/>
          <w:sz w:val="32"/>
          <w:szCs w:val="32"/>
          <w:lang w:eastAsia="zh-CN"/>
        </w:rPr>
        <w:t>八项规定</w:t>
      </w:r>
      <w:r>
        <w:rPr>
          <w:rFonts w:hint="eastAsia" w:ascii="仿宋_GB2312" w:hAnsi="Times New Roman" w:eastAsia="仿宋_GB2312" w:cs="DengXian-Regular"/>
          <w:sz w:val="32"/>
          <w:szCs w:val="32"/>
        </w:rPr>
        <w:t>精神和厉行节约要求，</w:t>
      </w:r>
      <w:r>
        <w:rPr>
          <w:rFonts w:hint="eastAsia" w:ascii="仿宋_GB2312" w:eastAsia="仿宋_GB2312" w:cs="仿宋_GB2312"/>
          <w:sz w:val="32"/>
          <w:szCs w:val="32"/>
        </w:rPr>
        <w:t>管理制度不断完善，“三公”经费支出得到了有效控制，实现了只减不增的目标</w:t>
      </w:r>
      <w:r>
        <w:rPr>
          <w:rFonts w:hint="eastAsia" w:ascii="仿宋_GB2312" w:hAnsi="Times New Roman" w:eastAsia="仿宋_GB2312" w:cs="Wingdings"/>
          <w:sz w:val="32"/>
          <w:szCs w:val="32"/>
        </w:rPr>
        <w:t>；较2019年度减少2.51万元，降低37.51%，主要是</w:t>
      </w:r>
      <w:r>
        <w:rPr>
          <w:rFonts w:hint="eastAsia" w:ascii="仿宋_GB2312" w:hAnsi="Times New Roman" w:eastAsia="仿宋_GB2312" w:cs="DengXian-Regular"/>
          <w:sz w:val="32"/>
          <w:szCs w:val="32"/>
        </w:rPr>
        <w:t>因为疫情和二级单位农开办划转到农业局,经费支出减少</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1.因公出国（境）费0万元。</w:t>
      </w:r>
      <w:r>
        <w:rPr>
          <w:rFonts w:hint="eastAsia" w:ascii="仿宋_GB2312" w:hAnsi="仿宋_GB2312" w:eastAsia="仿宋_GB2312" w:cs="仿宋_GB2312"/>
          <w:sz w:val="32"/>
          <w:szCs w:val="32"/>
        </w:rPr>
        <w:t>本部门2020年因公出国（境）费支出0万元，完成预算</w:t>
      </w:r>
      <w:bookmarkStart w:id="0" w:name="_GoBack"/>
      <w:bookmarkEnd w:id="0"/>
      <w:r>
        <w:rPr>
          <w:rFonts w:hint="eastAsia" w:ascii="仿宋_GB2312" w:hAnsi="仿宋_GB2312" w:eastAsia="仿宋_GB2312" w:cs="仿宋_GB2312"/>
          <w:sz w:val="32"/>
          <w:szCs w:val="32"/>
        </w:rPr>
        <w:t>的0%。</w:t>
      </w:r>
      <w:r>
        <w:rPr>
          <w:rFonts w:hint="eastAsia" w:ascii="仿宋_GB2312" w:hAnsi="Times New Roman" w:eastAsia="仿宋_GB2312" w:cs="Wingdings"/>
          <w:sz w:val="32"/>
          <w:szCs w:val="32"/>
        </w:rPr>
        <w:t>因公出国（境）团组0个、共0人、参加其他单位组织的因公出国（境）团组0个、共0人/无本单位组织的出国（境）团组。因公出国（境）费支出较年初预算无变化；较上年无变化。</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2.公务用车购置及运行维护费4.04万元。</w:t>
      </w:r>
      <w:r>
        <w:rPr>
          <w:rFonts w:hint="eastAsia" w:ascii="仿宋_GB2312" w:hAnsi="仿宋_GB2312" w:eastAsia="仿宋_GB2312" w:cs="仿宋_GB2312"/>
          <w:sz w:val="32"/>
          <w:szCs w:val="32"/>
        </w:rPr>
        <w:t>本部门2020年公务用车购置及运行维护费支出4.04万元，完成预算的53.87%，</w:t>
      </w:r>
      <w:r>
        <w:rPr>
          <w:rFonts w:hint="eastAsia" w:ascii="仿宋_GB2312" w:hAnsi="Times New Roman" w:eastAsia="仿宋_GB2312" w:cs="Wingdings"/>
          <w:sz w:val="32"/>
          <w:szCs w:val="32"/>
        </w:rPr>
        <w:t>较年初预算减少3.46万元，降低46.13%,主要是</w:t>
      </w:r>
      <w:r>
        <w:rPr>
          <w:rFonts w:hint="eastAsia" w:ascii="仿宋_GB2312" w:eastAsia="仿宋_GB2312" w:cs="仿宋_GB2312"/>
          <w:sz w:val="32"/>
          <w:szCs w:val="32"/>
        </w:rPr>
        <w:t>我单位切实压缩公务用车费用支出，相应减少公务用车运行费用支出</w:t>
      </w:r>
      <w:r>
        <w:rPr>
          <w:rFonts w:hint="eastAsia" w:ascii="仿宋_GB2312" w:hAnsi="Times New Roman" w:eastAsia="仿宋_GB2312" w:cs="Wingdings"/>
          <w:sz w:val="32"/>
          <w:szCs w:val="32"/>
        </w:rPr>
        <w:t>；较上年减少2.48万元，降低37.99%,主要是</w:t>
      </w:r>
      <w:r>
        <w:rPr>
          <w:rFonts w:hint="eastAsia" w:ascii="仿宋_GB2312" w:eastAsia="仿宋_GB2312" w:cs="仿宋_GB2312"/>
          <w:sz w:val="32"/>
          <w:szCs w:val="32"/>
        </w:rPr>
        <w:t>因为疫情和二级单位农开办划转到农业局,经费支出减少</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公务用车购置费支出0万元：</w:t>
      </w:r>
      <w:r>
        <w:rPr>
          <w:rFonts w:hint="eastAsia" w:ascii="仿宋_GB2312" w:hAnsi="Times New Roman" w:eastAsia="仿宋_GB2312" w:cs="Wingdings"/>
          <w:sz w:val="32"/>
          <w:szCs w:val="32"/>
        </w:rPr>
        <w:t>本部门2020年度公务用车购置量0辆，发生“公务用车购置”经费支出0万元。公务用车购置费支出较年初预算无变化；较上年无变化。</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公务用车运行维护费支出4.04万元：</w:t>
      </w:r>
      <w:r>
        <w:rPr>
          <w:rFonts w:hint="eastAsia" w:ascii="仿宋_GB2312" w:hAnsi="Times New Roman" w:eastAsia="仿宋_GB2312" w:cs="Wingdings"/>
          <w:sz w:val="32"/>
          <w:szCs w:val="32"/>
        </w:rPr>
        <w:t>本部门2020年度单位公务用车保有量2辆,发生运行维护费支出4.04万元。公车运行维护费支出较年初预算减少3.46万元，降低46.13%,主要是</w:t>
      </w:r>
      <w:r>
        <w:rPr>
          <w:rFonts w:hint="eastAsia" w:ascii="仿宋_GB2312" w:eastAsia="仿宋_GB2312" w:cs="仿宋_GB2312"/>
          <w:sz w:val="32"/>
          <w:szCs w:val="32"/>
        </w:rPr>
        <w:t>我单位切实压缩公务用车费用支出，相应减少公务用车运行费用支出</w:t>
      </w:r>
      <w:r>
        <w:rPr>
          <w:rFonts w:hint="eastAsia" w:ascii="仿宋_GB2312" w:hAnsi="Times New Roman" w:eastAsia="仿宋_GB2312" w:cs="Wingdings"/>
          <w:sz w:val="32"/>
          <w:szCs w:val="32"/>
        </w:rPr>
        <w:t>；较上年减少2.48万元，降低37.99%,主要是</w:t>
      </w:r>
      <w:r>
        <w:rPr>
          <w:rFonts w:hint="eastAsia" w:ascii="仿宋_GB2312" w:eastAsia="仿宋_GB2312" w:cs="仿宋_GB2312"/>
          <w:sz w:val="32"/>
          <w:szCs w:val="32"/>
        </w:rPr>
        <w:t>因为疫情和二级单位农开办划转到农业局,经费支出减少</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3.公务接待费0.14万元。</w:t>
      </w:r>
      <w:r>
        <w:rPr>
          <w:rFonts w:hint="eastAsia" w:ascii="仿宋_GB2312" w:hAnsi="仿宋_GB2312" w:eastAsia="仿宋_GB2312" w:cs="仿宋_GB2312"/>
          <w:sz w:val="32"/>
          <w:szCs w:val="32"/>
        </w:rPr>
        <w:t>本部门2020年公务接待费支出0.14万元，完成预算的20%。发生</w:t>
      </w:r>
      <w:r>
        <w:rPr>
          <w:rFonts w:hint="eastAsia" w:ascii="仿宋_GB2312" w:hAnsi="Times New Roman" w:eastAsia="仿宋_GB2312" w:cs="Wingdings"/>
          <w:sz w:val="32"/>
          <w:szCs w:val="32"/>
        </w:rPr>
        <w:t>公务接待共1批次、12人次。公务接待费支出较预算减少0.56万元，降低80%,主要是</w:t>
      </w:r>
      <w:r>
        <w:rPr>
          <w:rFonts w:hint="eastAsia" w:ascii="仿宋" w:eastAsia="仿宋"/>
          <w:sz w:val="32"/>
          <w:szCs w:val="32"/>
        </w:rPr>
        <w:t>因为疫情和二级单位农开办划转到农业局，接待减少</w:t>
      </w:r>
      <w:r>
        <w:rPr>
          <w:rFonts w:hint="eastAsia" w:ascii="仿宋_GB2312" w:hAnsi="Times New Roman" w:eastAsia="仿宋_GB2312" w:cs="Wingdings"/>
          <w:sz w:val="32"/>
          <w:szCs w:val="32"/>
        </w:rPr>
        <w:t>；较上年度减少0.04万元，降低20%,主要是</w:t>
      </w:r>
      <w:r>
        <w:rPr>
          <w:rFonts w:hint="eastAsia" w:ascii="仿宋" w:eastAsia="仿宋"/>
          <w:sz w:val="32"/>
          <w:szCs w:val="32"/>
        </w:rPr>
        <w:t>因为疫情和二级单位农开办划转到农业局，接待减少</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spacing w:line="580" w:lineRule="exact"/>
        <w:ind w:firstLine="644"/>
        <w:jc w:val="left"/>
        <w:rPr>
          <w:rFonts w:ascii="仿宋_GB2312" w:eastAsia="仿宋_GB2312" w:cs="仿宋_GB2312"/>
          <w:sz w:val="32"/>
          <w:szCs w:val="32"/>
        </w:rPr>
      </w:pPr>
      <w:r>
        <w:rPr>
          <w:rFonts w:hint="eastAsia" w:ascii="仿宋_GB2312" w:eastAsia="仿宋_GB2312" w:cs="仿宋_GB2312"/>
          <w:sz w:val="32"/>
          <w:szCs w:val="32"/>
        </w:rPr>
        <w:t>按照上级部门的部署要求，结合我单位实际，制定并开展了预算绩效管理工作。</w:t>
      </w:r>
    </w:p>
    <w:p>
      <w:pPr>
        <w:spacing w:line="580" w:lineRule="exact"/>
        <w:ind w:firstLine="644"/>
        <w:jc w:val="left"/>
        <w:rPr>
          <w:rFonts w:ascii="仿宋_GB2312" w:eastAsia="仿宋_GB2312" w:cs="仿宋_GB2312"/>
          <w:sz w:val="32"/>
          <w:szCs w:val="32"/>
        </w:rPr>
      </w:pPr>
      <w:r>
        <w:rPr>
          <w:rFonts w:hint="eastAsia" w:ascii="仿宋_GB2312" w:eastAsia="仿宋_GB2312" w:cs="仿宋_GB2312"/>
          <w:b/>
          <w:color w:val="000000"/>
          <w:sz w:val="32"/>
          <w:szCs w:val="32"/>
        </w:rPr>
        <w:t>总体目标：</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spacing w:line="580" w:lineRule="exact"/>
        <w:jc w:val="left"/>
        <w:rPr>
          <w:rFonts w:ascii="仿宋_GB2312" w:eastAsia="仿宋_GB2312" w:cs="仿宋_GB2312"/>
          <w:b/>
          <w:color w:val="000000"/>
          <w:sz w:val="32"/>
          <w:szCs w:val="32"/>
        </w:rPr>
      </w:pPr>
      <w:r>
        <w:rPr>
          <w:rFonts w:ascii="仿宋_GB2312" w:eastAsia="仿宋_GB2312" w:cs="仿宋_GB2312"/>
          <w:b/>
          <w:color w:val="000000"/>
          <w:sz w:val="32"/>
          <w:szCs w:val="32"/>
        </w:rPr>
        <w:t xml:space="preserve">    </w:t>
      </w:r>
      <w:r>
        <w:rPr>
          <w:rFonts w:hint="eastAsia" w:ascii="仿宋_GB2312" w:eastAsia="仿宋_GB2312" w:cs="仿宋_GB2312"/>
          <w:b/>
          <w:color w:val="000000"/>
          <w:sz w:val="32"/>
          <w:szCs w:val="32"/>
        </w:rPr>
        <w:t>职责分类绩效目标：</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spacing w:line="580" w:lineRule="exact"/>
        <w:ind w:firstLine="570"/>
        <w:jc w:val="left"/>
        <w:rPr>
          <w:rFonts w:ascii="仿宋_GB2312" w:eastAsia="仿宋_GB2312" w:cs="仿宋_GB2312"/>
          <w:b/>
          <w:color w:val="000000"/>
          <w:sz w:val="32"/>
          <w:szCs w:val="32"/>
        </w:rPr>
      </w:pPr>
      <w:r>
        <w:rPr>
          <w:rFonts w:hint="eastAsia" w:ascii="仿宋_GB2312" w:eastAsia="仿宋_GB2312" w:cs="仿宋_GB2312"/>
          <w:b/>
          <w:color w:val="000000"/>
          <w:sz w:val="32"/>
          <w:szCs w:val="32"/>
        </w:rPr>
        <w:t>实现年度发展规划目标的保障措施</w:t>
      </w:r>
    </w:p>
    <w:p>
      <w:pPr>
        <w:spacing w:line="580" w:lineRule="exact"/>
        <w:ind w:firstLine="57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spacing w:line="580" w:lineRule="exact"/>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一是全面落实财税收入目标管理责任制。</w:t>
      </w:r>
    </w:p>
    <w:p>
      <w:pPr>
        <w:spacing w:line="580" w:lineRule="exact"/>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二是强化税收分析。</w:t>
      </w:r>
    </w:p>
    <w:p>
      <w:pPr>
        <w:spacing w:line="58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spacing w:line="58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一是切实加强预算管理，增强预算执行的严肃性。</w:t>
      </w:r>
    </w:p>
    <w:p>
      <w:pPr>
        <w:spacing w:line="58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二是继续从严控制非生产性支出。</w:t>
      </w:r>
    </w:p>
    <w:p>
      <w:pPr>
        <w:spacing w:line="580" w:lineRule="exact"/>
        <w:ind w:firstLine="570"/>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（二）部门决算中项目绩效自评结果。</w:t>
      </w:r>
    </w:p>
    <w:p>
      <w:pPr>
        <w:pStyle w:val="6"/>
        <w:widowControl/>
        <w:spacing w:before="0" w:beforeAutospacing="0" w:after="0" w:afterAutospacing="0" w:line="580" w:lineRule="exact"/>
        <w:ind w:firstLine="640" w:firstLineChars="200"/>
        <w:rPr>
          <w:rFonts w:ascii="楷体_GB2312" w:hAnsi="楷体_GB2312" w:eastAsia="楷体_GB2312" w:cs="楷体_GB2312"/>
          <w:b/>
          <w:bCs/>
          <w:sz w:val="32"/>
          <w:szCs w:val="32"/>
        </w:rPr>
      </w:pPr>
      <w:r>
        <w:rPr>
          <w:rFonts w:hint="eastAsia" w:ascii="仿宋_GB2312" w:eastAsia="仿宋_GB2312" w:cs="仿宋_GB2312"/>
          <w:sz w:val="32"/>
          <w:szCs w:val="32"/>
        </w:rPr>
        <w:t>绩效工作取得了很好的成果，较好的实现了预算项目绩效目标，绩效评价综合得分95.5分，绩效综合等级为优。</w:t>
      </w:r>
    </w:p>
    <w:p>
      <w:pPr>
        <w:adjustRightInd w:val="0"/>
        <w:snapToGrid w:val="0"/>
        <w:spacing w:line="600" w:lineRule="exact"/>
        <w:ind w:firstLine="643" w:firstLineChars="200"/>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（三）财政评价项目绩效评价结果</w:t>
      </w:r>
      <w:r>
        <w:rPr>
          <w:rFonts w:hint="eastAsia" w:ascii="仿宋_GB2312" w:hAnsi="仿宋_GB2312" w:eastAsia="仿宋_GB2312" w:cs="仿宋_GB2312"/>
          <w:b/>
          <w:bCs/>
          <w:sz w:val="32"/>
          <w:szCs w:val="32"/>
        </w:rPr>
        <w:t>。</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Times New Roman" w:eastAsia="仿宋_GB2312" w:cs="DengXian-Regular"/>
          <w:sz w:val="32"/>
          <w:szCs w:val="32"/>
        </w:rPr>
        <w:t>我单位无财政评价项目</w:t>
      </w:r>
      <w:r>
        <w:rPr>
          <w:rFonts w:hint="eastAsia" w:ascii="仿宋_GB2312" w:hAnsi="仿宋_GB2312" w:eastAsia="仿宋_GB2312" w:cs="仿宋_GB2312"/>
          <w:b/>
          <w:bCs/>
          <w:sz w:val="32"/>
          <w:szCs w:val="32"/>
        </w:rPr>
        <w:t>。</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本部门2020年度机关运行经费支出84.07万元，比年初预算减少2.31万元，降低2.67%。主要原因是</w:t>
      </w:r>
      <w:r>
        <w:rPr>
          <w:rFonts w:hint="eastAsia" w:ascii="仿宋_GB2312" w:hAnsi="Times New Roman" w:eastAsia="仿宋_GB2312" w:cs="DengXian-Regular"/>
          <w:sz w:val="32"/>
          <w:szCs w:val="32"/>
        </w:rPr>
        <w:t>单位</w:t>
      </w:r>
      <w:r>
        <w:rPr>
          <w:rFonts w:hint="eastAsia" w:ascii="仿宋_GB2312" w:hAnsi="Times New Roman" w:eastAsia="仿宋_GB2312" w:cs="DengXian-Regular"/>
          <w:sz w:val="32"/>
          <w:szCs w:val="32"/>
          <w:lang w:eastAsia="zh-CN"/>
        </w:rPr>
        <w:t>厉行节约</w:t>
      </w:r>
      <w:r>
        <w:rPr>
          <w:rFonts w:hint="eastAsia" w:ascii="仿宋_GB2312" w:hAnsi="Times New Roman" w:eastAsia="仿宋_GB2312" w:cs="DengXian-Regular"/>
          <w:sz w:val="32"/>
          <w:szCs w:val="32"/>
        </w:rPr>
        <w:t>，压缩了部分支出</w:t>
      </w:r>
      <w:r>
        <w:rPr>
          <w:rFonts w:hint="eastAsia" w:ascii="仿宋_GB2312" w:hAnsi="仿宋_GB2312" w:eastAsia="仿宋_GB2312" w:cs="仿宋_GB2312"/>
          <w:sz w:val="32"/>
          <w:szCs w:val="32"/>
        </w:rPr>
        <w:t>。比2019年度增加8.91万元，增长11.85%。主要原因是</w:t>
      </w:r>
      <w:r>
        <w:rPr>
          <w:rFonts w:hint="eastAsia" w:ascii="仿宋_GB2312" w:hAnsi="Times New Roman" w:eastAsia="仿宋_GB2312" w:cs="DengXian-Regular"/>
          <w:sz w:val="32"/>
          <w:szCs w:val="32"/>
        </w:rPr>
        <w:t>工作量增加，业务增加，所以费用增加。</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本部门2020年度政府采购支出总额35.68万元，从采购类型来看，</w:t>
      </w:r>
      <w:r>
        <w:rPr>
          <w:rFonts w:hint="eastAsia" w:ascii="仿宋_GB2312" w:hAnsi="仿宋_GB2312" w:eastAsia="仿宋_GB2312" w:cs="仿宋_GB2312"/>
          <w:color w:val="000000"/>
          <w:kern w:val="0"/>
          <w:sz w:val="32"/>
          <w:szCs w:val="32"/>
        </w:rPr>
        <w:t>政府采购货物支出0万元、政府采购工程支出0万元、政府采购服务支出35.68万元。授予中小企业合同金额0万元，占政府采购支出总额的0%，其中授予小微企业合同金额0万元，占政府采购支出总额的0%。</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2辆，比上年无变化。其中，副部（省）级及以上领导用车0辆，主要领导干部用车0辆，机要通信用车0辆，应急保障用车0辆，执法执勤用车0辆，特种专业技术用车0辆，离退休干部用车0辆，其他用车2辆，其他用车主要是公务用车；</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单位价值50万元以上通用设备0台（套），比上年无变化，单位价值100万元以上专用设备0台（套），比上年无变化。</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rPr>
        <w:t>20年度国有资本经营预算财政拨款支出决算表无收支及结转结余情况，故09表以空表列示。</w:t>
      </w:r>
      <w:r>
        <w:rPr>
          <w:rFonts w:hint="eastAsia" w:ascii="仿宋_GB2312" w:hAnsi="仿宋_GB2312" w:eastAsia="仿宋_GB2312" w:cs="仿宋_GB2312"/>
          <w:sz w:val="32"/>
          <w:szCs w:val="32"/>
        </w:rPr>
        <w:t>。</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o:title="image2" focussize="0,0" r:id="rId14"/>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643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o:title="image3" focussize="0,0" r:id="rId14"/>
            <v:stroke weight="1pt" color="#A6A6A6" joinstyle="miter"/>
            <v:imagedata o:title=""/>
            <o:lock v:ext="edit"/>
            <v:textbox>
              <w:txbxContent>
                <w:p>
                  <w:pPr>
                    <w:widowControl/>
                    <w:jc w:val="center"/>
                    <w:rPr>
                      <w:rFonts w:ascii="黑体" w:hAnsi="黑体" w:eastAsia="黑体" w:cs="黑体"/>
                      <w:sz w:val="90"/>
                      <w:szCs w:val="90"/>
                    </w:rPr>
                  </w:pPr>
                  <w:r>
                    <w:rPr>
                      <w:rFonts w:hint="eastAsia" w:ascii="黑体" w:hAnsi="黑体" w:eastAsia="黑体" w:cs="黑体"/>
                      <w:sz w:val="90"/>
                      <w:szCs w:val="90"/>
                    </w:rPr>
                    <w:t xml:space="preserve">第四部分 </w:t>
                  </w:r>
                </w:p>
                <w:p>
                  <w:pPr>
                    <w:widowControl/>
                    <w:jc w:val="center"/>
                  </w:pPr>
                  <w:r>
                    <w:rPr>
                      <w:rFonts w:hint="eastAsia" w:ascii="黑体" w:hAnsi="黑体" w:eastAsia="黑体" w:cs="黑体"/>
                      <w:sz w:val="90"/>
                      <w:szCs w:val="90"/>
                    </w:rPr>
                    <w:t>2020年度部门决算报表</w:t>
                  </w:r>
                </w:p>
                <w:p>
                  <w:pPr>
                    <w:widowControl/>
                    <w:jc w:val="center"/>
                  </w:pPr>
                </w:p>
                <w:p/>
              </w:txbxContent>
            </v:textbox>
          </v:shape>
        </w:pict>
      </w:r>
    </w:p>
    <w:p>
      <w:r>
        <w:drawing>
          <wp:inline distT="0" distB="0" distL="114300" distR="114300">
            <wp:extent cx="5748655" cy="7883525"/>
            <wp:effectExtent l="0" t="0" r="444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stretch>
                      <a:fillRect/>
                    </a:stretch>
                  </pic:blipFill>
                  <pic:spPr>
                    <a:xfrm>
                      <a:off x="0" y="0"/>
                      <a:ext cx="5748655" cy="7883525"/>
                    </a:xfrm>
                    <a:prstGeom prst="rect">
                      <a:avLst/>
                    </a:prstGeom>
                    <a:noFill/>
                    <a:ln>
                      <a:noFill/>
                    </a:ln>
                  </pic:spPr>
                </pic:pic>
              </a:graphicData>
            </a:graphic>
          </wp:inline>
        </w:drawing>
      </w:r>
      <w:r>
        <w:br w:type="page"/>
      </w:r>
    </w:p>
    <w:p>
      <w:pPr>
        <w:rPr>
          <w:rFonts w:ascii="黑体" w:hAnsi="宋体" w:eastAsia="黑体" w:cs="黑体"/>
          <w:color w:val="000000"/>
          <w:kern w:val="0"/>
          <w:sz w:val="28"/>
          <w:szCs w:val="28"/>
        </w:rPr>
        <w:sectPr>
          <w:pgSz w:w="11906" w:h="16838"/>
          <w:pgMar w:top="2098" w:right="1531" w:bottom="1984" w:left="1531" w:header="851" w:footer="992" w:gutter="0"/>
          <w:cols w:space="425" w:num="1"/>
          <w:docGrid w:type="lines" w:linePitch="312" w:charSpace="0"/>
        </w:sectPr>
      </w:pPr>
      <w:r>
        <w:drawing>
          <wp:inline distT="0" distB="0" distL="114300" distR="114300">
            <wp:extent cx="5727700" cy="7882890"/>
            <wp:effectExtent l="0" t="0" r="635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cstate="print"/>
                    <a:stretch>
                      <a:fillRect/>
                    </a:stretch>
                  </pic:blipFill>
                  <pic:spPr>
                    <a:xfrm>
                      <a:off x="0" y="0"/>
                      <a:ext cx="5727700" cy="7882890"/>
                    </a:xfrm>
                    <a:prstGeom prst="rect">
                      <a:avLst/>
                    </a:prstGeom>
                    <a:noFill/>
                    <a:ln>
                      <a:noFill/>
                    </a:ln>
                  </pic:spPr>
                </pic:pic>
              </a:graphicData>
            </a:graphic>
          </wp:inline>
        </w:drawing>
      </w:r>
      <w:r>
        <w:br w:type="page"/>
      </w:r>
    </w:p>
    <w:p>
      <w:pPr>
        <w:widowControl/>
        <w:jc w:val="left"/>
        <w:textAlignment w:val="center"/>
        <w:sectPr>
          <w:pgSz w:w="11906" w:h="16838"/>
          <w:pgMar w:top="2098" w:right="1531" w:bottom="1984" w:left="1531" w:header="851" w:footer="992" w:gutter="0"/>
          <w:cols w:space="425" w:num="1"/>
          <w:docGrid w:type="lines" w:linePitch="312" w:charSpace="0"/>
        </w:sectPr>
      </w:pPr>
      <w:r>
        <w:drawing>
          <wp:inline distT="0" distB="0" distL="114300" distR="114300">
            <wp:extent cx="5927090" cy="7619365"/>
            <wp:effectExtent l="0" t="0" r="1651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927090" cy="7619365"/>
                    </a:xfrm>
                    <a:prstGeom prst="rect">
                      <a:avLst/>
                    </a:prstGeom>
                    <a:noFill/>
                    <a:ln>
                      <a:noFill/>
                    </a:ln>
                  </pic:spPr>
                </pic:pic>
              </a:graphicData>
            </a:graphic>
          </wp:inline>
        </w:drawing>
      </w:r>
    </w:p>
    <w:p>
      <w:r>
        <w:drawing>
          <wp:inline distT="0" distB="0" distL="114300" distR="114300">
            <wp:extent cx="5610225" cy="7698740"/>
            <wp:effectExtent l="0" t="0" r="9525"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cstate="print"/>
                    <a:stretch>
                      <a:fillRect/>
                    </a:stretch>
                  </pic:blipFill>
                  <pic:spPr>
                    <a:xfrm>
                      <a:off x="0" y="0"/>
                      <a:ext cx="5610225" cy="7698740"/>
                    </a:xfrm>
                    <a:prstGeom prst="rect">
                      <a:avLst/>
                    </a:prstGeom>
                    <a:noFill/>
                    <a:ln>
                      <a:noFill/>
                    </a:ln>
                  </pic:spPr>
                </pic:pic>
              </a:graphicData>
            </a:graphic>
          </wp:inline>
        </w:drawing>
      </w:r>
      <w:r>
        <w:tab/>
      </w:r>
    </w:p>
    <w:p>
      <w:r>
        <w:drawing>
          <wp:inline distT="0" distB="0" distL="114300" distR="114300">
            <wp:extent cx="5609590" cy="7738745"/>
            <wp:effectExtent l="0" t="0" r="10160" b="146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cstate="print"/>
                    <a:stretch>
                      <a:fillRect/>
                    </a:stretch>
                  </pic:blipFill>
                  <pic:spPr>
                    <a:xfrm>
                      <a:off x="0" y="0"/>
                      <a:ext cx="5609590" cy="7738745"/>
                    </a:xfrm>
                    <a:prstGeom prst="rect">
                      <a:avLst/>
                    </a:prstGeom>
                    <a:noFill/>
                    <a:ln>
                      <a:noFill/>
                    </a:ln>
                  </pic:spPr>
                </pic:pic>
              </a:graphicData>
            </a:graphic>
          </wp:inline>
        </w:drawing>
      </w:r>
      <w:r>
        <w:drawing>
          <wp:inline distT="0" distB="0" distL="114300" distR="114300">
            <wp:extent cx="6228715" cy="7304405"/>
            <wp:effectExtent l="0" t="0" r="635"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cstate="print"/>
                    <a:stretch>
                      <a:fillRect/>
                    </a:stretch>
                  </pic:blipFill>
                  <pic:spPr>
                    <a:xfrm>
                      <a:off x="0" y="0"/>
                      <a:ext cx="6228715" cy="7304405"/>
                    </a:xfrm>
                    <a:prstGeom prst="rect">
                      <a:avLst/>
                    </a:prstGeom>
                    <a:noFill/>
                    <a:ln>
                      <a:noFill/>
                    </a:ln>
                  </pic:spPr>
                </pic:pic>
              </a:graphicData>
            </a:graphic>
          </wp:inline>
        </w:drawing>
      </w:r>
      <w:r>
        <w:tab/>
      </w:r>
    </w:p>
    <w:p/>
    <w:p/>
    <w:p>
      <w:r>
        <w:br w:type="page"/>
      </w:r>
    </w:p>
    <w:p>
      <w:r>
        <w:drawing>
          <wp:inline distT="0" distB="0" distL="114300" distR="114300">
            <wp:extent cx="5614035" cy="2595880"/>
            <wp:effectExtent l="0" t="0" r="5715"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1" cstate="print"/>
                    <a:stretch>
                      <a:fillRect/>
                    </a:stretch>
                  </pic:blipFill>
                  <pic:spPr>
                    <a:xfrm>
                      <a:off x="0" y="0"/>
                      <a:ext cx="5614035" cy="2595880"/>
                    </a:xfrm>
                    <a:prstGeom prst="rect">
                      <a:avLst/>
                    </a:prstGeom>
                    <a:noFill/>
                    <a:ln>
                      <a:noFill/>
                    </a:ln>
                  </pic:spPr>
                </pic:pic>
              </a:graphicData>
            </a:graphic>
          </wp:inline>
        </w:drawing>
      </w:r>
    </w:p>
    <w:p/>
    <w:p/>
    <w:p/>
    <w:p/>
    <w:p/>
    <w:p/>
    <w:p/>
    <w:p/>
    <w:p/>
    <w:p/>
    <w:p/>
    <w:p/>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r>
        <w:drawing>
          <wp:inline distT="0" distB="0" distL="114300" distR="114300">
            <wp:extent cx="6323965" cy="4647565"/>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2" cstate="print"/>
                    <a:stretch>
                      <a:fillRect/>
                    </a:stretch>
                  </pic:blipFill>
                  <pic:spPr>
                    <a:xfrm>
                      <a:off x="0" y="0"/>
                      <a:ext cx="6323965" cy="4647565"/>
                    </a:xfrm>
                    <a:prstGeom prst="rect">
                      <a:avLst/>
                    </a:prstGeom>
                    <a:noFill/>
                    <a:ln>
                      <a:noFill/>
                    </a:ln>
                  </pic:spPr>
                </pic:pic>
              </a:graphicData>
            </a:graphic>
          </wp:inline>
        </w:drawing>
      </w: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r>
        <w:drawing>
          <wp:anchor distT="0" distB="0" distL="114300" distR="114300" simplePos="0" relativeHeight="251659264" behindDoc="1" locked="0" layoutInCell="1" allowOverlap="1">
            <wp:simplePos x="0" y="0"/>
            <wp:positionH relativeFrom="column">
              <wp:posOffset>228600</wp:posOffset>
            </wp:positionH>
            <wp:positionV relativeFrom="paragraph">
              <wp:posOffset>292735</wp:posOffset>
            </wp:positionV>
            <wp:extent cx="5612130" cy="3690620"/>
            <wp:effectExtent l="0" t="0" r="7620" b="43180"/>
            <wp:wrapTight wrapText="bothSides">
              <wp:wrapPolygon>
                <wp:start x="0" y="0"/>
                <wp:lineTo x="0" y="21518"/>
                <wp:lineTo x="21556" y="21518"/>
                <wp:lineTo x="21556" y="0"/>
                <wp:lineTo x="0" y="0"/>
              </wp:wrapPolygon>
            </wp:wrapTigh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3" cstate="print"/>
                    <a:stretch>
                      <a:fillRect/>
                    </a:stretch>
                  </pic:blipFill>
                  <pic:spPr>
                    <a:xfrm>
                      <a:off x="0" y="0"/>
                      <a:ext cx="5612130" cy="3690620"/>
                    </a:xfrm>
                    <a:prstGeom prst="rect">
                      <a:avLst/>
                    </a:prstGeom>
                    <a:noFill/>
                    <a:ln>
                      <a:noFill/>
                    </a:ln>
                  </pic:spPr>
                </pic:pic>
              </a:graphicData>
            </a:graphic>
          </wp:anchor>
        </w:drawing>
      </w: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4384;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ArialUnicodeMS">
    <w:altName w:val="Malgun Gothic"/>
    <w:panose1 w:val="00000000000000000000"/>
    <w:charset w:val="81"/>
    <w:family w:val="auto"/>
    <w:pitch w:val="default"/>
    <w:sig w:usb0="00000000" w:usb1="00000000" w:usb2="00000010" w:usb3="00000000" w:csb0="00080000" w:csb1="0000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9950409"/>
    <w:multiLevelType w:val="singleLevel"/>
    <w:tmpl w:val="59950409"/>
    <w:lvl w:ilvl="0" w:tentative="0">
      <w:start w:val="1"/>
      <w:numFmt w:val="decimal"/>
      <w:suff w:val="space"/>
      <w:lvlText w:val="%1."/>
      <w:lvlJc w:val="left"/>
    </w:lvl>
  </w:abstractNum>
  <w:abstractNum w:abstractNumId="2">
    <w:nsid w:val="78C1413D"/>
    <w:multiLevelType w:val="singleLevel"/>
    <w:tmpl w:val="78C1413D"/>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4C45458"/>
    <w:rsid w:val="00061A05"/>
    <w:rsid w:val="000977ED"/>
    <w:rsid w:val="0018668E"/>
    <w:rsid w:val="001B73D2"/>
    <w:rsid w:val="001C34D6"/>
    <w:rsid w:val="001E62BF"/>
    <w:rsid w:val="00293E7B"/>
    <w:rsid w:val="002D1F4F"/>
    <w:rsid w:val="00366D90"/>
    <w:rsid w:val="003D678E"/>
    <w:rsid w:val="00475F92"/>
    <w:rsid w:val="006256C7"/>
    <w:rsid w:val="00646633"/>
    <w:rsid w:val="008007E9"/>
    <w:rsid w:val="00801F66"/>
    <w:rsid w:val="008358C1"/>
    <w:rsid w:val="008B4A61"/>
    <w:rsid w:val="0092241E"/>
    <w:rsid w:val="009334BF"/>
    <w:rsid w:val="00A2515E"/>
    <w:rsid w:val="00C4447E"/>
    <w:rsid w:val="00DA1369"/>
    <w:rsid w:val="00EE75CF"/>
    <w:rsid w:val="00F463CE"/>
    <w:rsid w:val="00FB14AD"/>
    <w:rsid w:val="0143684E"/>
    <w:rsid w:val="02164B9D"/>
    <w:rsid w:val="03105BD2"/>
    <w:rsid w:val="03413461"/>
    <w:rsid w:val="058B71E0"/>
    <w:rsid w:val="09796EB6"/>
    <w:rsid w:val="0B176DAA"/>
    <w:rsid w:val="0DFF1AD8"/>
    <w:rsid w:val="0EA325C9"/>
    <w:rsid w:val="0EB74960"/>
    <w:rsid w:val="16136E1D"/>
    <w:rsid w:val="172B1D6F"/>
    <w:rsid w:val="17CF2531"/>
    <w:rsid w:val="1C157763"/>
    <w:rsid w:val="1D6E134A"/>
    <w:rsid w:val="1DCC731B"/>
    <w:rsid w:val="26DF638F"/>
    <w:rsid w:val="2C566AB8"/>
    <w:rsid w:val="2F07462D"/>
    <w:rsid w:val="2FB96948"/>
    <w:rsid w:val="341934F3"/>
    <w:rsid w:val="34C45458"/>
    <w:rsid w:val="35C83C42"/>
    <w:rsid w:val="38751F29"/>
    <w:rsid w:val="394266D4"/>
    <w:rsid w:val="3BD30F8D"/>
    <w:rsid w:val="3C34573A"/>
    <w:rsid w:val="3DA21C7E"/>
    <w:rsid w:val="3E6E50A5"/>
    <w:rsid w:val="405424C9"/>
    <w:rsid w:val="4B1E0500"/>
    <w:rsid w:val="4BA65FFC"/>
    <w:rsid w:val="4BF52FB6"/>
    <w:rsid w:val="539C3DEF"/>
    <w:rsid w:val="54C15EFA"/>
    <w:rsid w:val="57DA0C90"/>
    <w:rsid w:val="5BB60E95"/>
    <w:rsid w:val="5D0C63C4"/>
    <w:rsid w:val="5D676F86"/>
    <w:rsid w:val="5DAA3367"/>
    <w:rsid w:val="5F8D55AA"/>
    <w:rsid w:val="680A2A42"/>
    <w:rsid w:val="6B946DE1"/>
    <w:rsid w:val="6C946D71"/>
    <w:rsid w:val="6D1B59F3"/>
    <w:rsid w:val="6FA37171"/>
    <w:rsid w:val="7132602F"/>
    <w:rsid w:val="73D824BD"/>
    <w:rsid w:val="77BE590F"/>
    <w:rsid w:val="7DE85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ascii="Calibri" w:hAnsi="Calibri" w:eastAsia="宋体" w:cs="黑体"/>
      <w:kern w:val="0"/>
      <w:sz w:val="24"/>
    </w:rPr>
  </w:style>
  <w:style w:type="table" w:styleId="8">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批注框文本 Char"/>
    <w:basedOn w:val="9"/>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965</Words>
  <Characters>5502</Characters>
  <Lines>45</Lines>
  <Paragraphs>12</Paragraphs>
  <TotalTime>19</TotalTime>
  <ScaleCrop>false</ScaleCrop>
  <LinksUpToDate>false</LinksUpToDate>
  <CharactersWithSpaces>6455</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长安</cp:lastModifiedBy>
  <cp:lastPrinted>2022-08-30T01:02:00Z</cp:lastPrinted>
  <dcterms:modified xsi:type="dcterms:W3CDTF">2024-06-03T09:19:49Z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65FA352BAB5146309CB066C800874C19</vt:lpwstr>
  </property>
</Properties>
</file>