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Pr>
      <w:r>
        <w:pict>
          <v:group id="组合 6" o:spid="_x0000_s1026" o:spt="203" style="position:absolute;left:0pt;margin-left:-78.05pt;margin-top:-231.65pt;height:959.25pt;width:595.2pt;z-index:251663360;mso-width-relative:page;mso-height-relative:page;" coordorigin="-190,285" coordsize="75590,1069212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0"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ascii="仿宋_GB2312" w:hAnsi="仿宋" w:eastAsia="仿宋_GB2312"/>
                        <w:sz w:val="44"/>
                        <w:szCs w:val="44"/>
                      </w:rPr>
                    </w:pPr>
                    <w:r>
                      <w:rPr>
                        <w:rFonts w:hint="eastAsia" w:ascii="仿宋_GB2312" w:hAnsi="仿宋" w:eastAsia="仿宋_GB2312"/>
                        <w:sz w:val="36"/>
                        <w:szCs w:val="36"/>
                      </w:rPr>
                      <w:t>2021年</w:t>
                    </w:r>
                    <w:r>
                      <w:rPr>
                        <w:rFonts w:hint="eastAsia" w:ascii="仿宋_GB2312" w:eastAsia="仿宋_GB2312" w:hAnsiTheme="minorEastAsia"/>
                        <w:sz w:val="36"/>
                        <w:szCs w:val="36"/>
                      </w:rPr>
                      <w:t>10</w:t>
                    </w:r>
                    <w:r>
                      <w:rPr>
                        <w:rFonts w:hint="eastAsia" w:ascii="仿宋_GB2312" w:hAnsi="仿宋" w:eastAsia="仿宋_GB2312"/>
                        <w:sz w:val="36"/>
                        <w:szCs w:val="36"/>
                      </w:rPr>
                      <w:t>月</w:t>
                    </w:r>
                  </w:p>
                  <w:p/>
                </w:txbxContent>
              </v:textbox>
            </v:shape>
          </v:group>
        </w:pict>
      </w:r>
      <w:bookmarkStart w:id="0" w:name="_GoBack"/>
      <w:bookmarkEnd w:id="0"/>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4"/>
          <w:szCs w:val="44"/>
        </w:rPr>
      </w:pPr>
      <w:r>
        <w:rPr>
          <w:rFonts w:hint="eastAsia" w:ascii="楷体_GB2312" w:hAnsi="楷体_GB2312" w:eastAsia="楷体_GB2312" w:cs="楷体_GB2312"/>
          <w:color w:val="000000" w:themeColor="text1"/>
          <w:kern w:val="0"/>
          <w:sz w:val="44"/>
          <w:szCs w:val="44"/>
        </w:rPr>
        <w:t>阜平县行政审批局</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二〇二一年十月</w:t>
      </w:r>
    </w:p>
    <w:p>
      <w:pPr>
        <w:snapToGrid w:val="0"/>
        <w:jc w:val="center"/>
        <w:rPr>
          <w:rFonts w:ascii="楷体_GB2312" w:hAnsi="楷体_GB2312" w:eastAsia="楷体_GB2312" w:cs="楷体_GB2312"/>
          <w:color w:val="000000" w:themeColor="text1"/>
          <w:kern w:val="0"/>
          <w:sz w:val="40"/>
          <w:szCs w:val="40"/>
        </w:rPr>
      </w:pPr>
    </w:p>
    <w:p>
      <w:pPr>
        <w:tabs>
          <w:tab w:val="left" w:pos="2728"/>
        </w:tabs>
        <w:jc w:val="center"/>
        <w:rPr>
          <w:rFonts w:ascii="黑体" w:hAnsi="Times New Roman" w:eastAsia="黑体" w:cs="Times New Roman"/>
          <w:sz w:val="48"/>
          <w:szCs w:val="48"/>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4" w:type="first"/>
          <w:footerReference r:id="rId6" w:type="first"/>
          <w:headerReference r:id="rId3" w:type="default"/>
          <w:footerReference r:id="rId5"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focussize="0,0"/>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360" w:lineRule="auto"/>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办公室：负责文秘、会务、机要、宣传、接待、提案、保密等行政事务工作；负责机关所属事业单位及进驻职能部门工作人员的教育培训和绩效考核；负局机关和所属事业单位财务和国有资产管理。负责优化审批流程、提升审批效能工作；负责信息化建设、网络建设、三级便民服务网络；牵头负责现场勘查、技术论证和社会听证等工作、负责行政许可收费管理。</w:t>
      </w:r>
    </w:p>
    <w:p>
      <w:pPr>
        <w:spacing w:line="360" w:lineRule="auto"/>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（二）经济审批股：负责法律法规规定的发改、粮食、工信、财政、商务、农业、畜牧、林业、环保、安监、旅游、市场等方面的行政许可事项办理。</w:t>
      </w:r>
    </w:p>
    <w:p>
      <w:pPr>
        <w:spacing w:line="360" w:lineRule="auto"/>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（三）建设审批股：负责法律法规规定的国土、住建、城市管理、交通、水利、人防、科技、地震、等方面的行政许可事项办理。</w:t>
      </w:r>
    </w:p>
    <w:p>
      <w:pPr>
        <w:spacing w:line="360" w:lineRule="auto"/>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（四）社会审批股：负责法律法规规定的教育、体育、卫生和计生、民政、人社、文广新等方面的行政许可事项办理。</w:t>
      </w:r>
    </w:p>
    <w:p>
      <w:pPr>
        <w:spacing w:line="360" w:lineRule="auto"/>
        <w:ind w:firstLine="640" w:firstLineChars="200"/>
        <w:jc w:val="left"/>
        <w:rPr>
          <w:rFonts w:ascii="仿宋" w:hAnsi="仿宋" w:eastAsia="仿宋" w:cs="仿宋"/>
          <w:sz w:val="32"/>
          <w:szCs w:val="32"/>
        </w:rPr>
      </w:pPr>
      <w:r>
        <w:rPr>
          <w:rFonts w:hint="eastAsia" w:ascii="仿宋_GB2312" w:hAnsi="Times New Roman" w:eastAsia="仿宋_GB2312" w:cs="DengXian-Regular"/>
          <w:sz w:val="32"/>
          <w:szCs w:val="32"/>
        </w:rPr>
        <w:t>（五）法制监察股：负责行政许可政策法规的宣传、推动和实施工作；负责依法行政工作；承担行政复议、行政应诉等工作；负责许可程序、工作制度确认和合法性审核。负责局机关和进驻职能部门的监督检查；负责许可、监管信息共享和信用管理工作。</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20</w:t>
      </w:r>
      <w:r>
        <w:rPr>
          <w:rFonts w:hint="eastAsia" w:ascii="仿宋_GB2312" w:hAnsi="Calibri" w:eastAsia="仿宋_GB2312" w:cs="ArialUnicodeMS"/>
          <w:kern w:val="0"/>
          <w:sz w:val="32"/>
          <w:szCs w:val="32"/>
          <w:lang w:val="en-US" w:eastAsia="zh-CN"/>
        </w:rPr>
        <w:t>20</w:t>
      </w:r>
      <w:r>
        <w:rPr>
          <w:rFonts w:hint="eastAsia" w:ascii="仿宋_GB2312" w:hAnsi="Calibri" w:eastAsia="仿宋_GB2312" w:cs="ArialUnicodeMS"/>
          <w:kern w:val="0"/>
          <w:sz w:val="32"/>
          <w:szCs w:val="32"/>
        </w:rPr>
        <w:t>年度本部门决算汇编范围的独立核算单位（以下简称“单位”）共</w:t>
      </w:r>
      <w:r>
        <w:rPr>
          <w:rFonts w:ascii="仿宋_GB2312" w:hAnsi="Calibri" w:eastAsia="仿宋_GB2312" w:cs="ArialUnicodeMS"/>
          <w:kern w:val="0"/>
          <w:sz w:val="32"/>
          <w:szCs w:val="32"/>
        </w:rPr>
        <w:t xml:space="preserve"> </w:t>
      </w:r>
      <w:r>
        <w:rPr>
          <w:rFonts w:hint="eastAsia" w:ascii="仿宋_GB2312" w:hAnsi="Calibri" w:eastAsia="仿宋_GB2312" w:cs="ArialUnicodeMS"/>
          <w:kern w:val="0"/>
          <w:sz w:val="32"/>
          <w:szCs w:val="32"/>
        </w:rPr>
        <w:t>1 个，具体情况如</w:t>
      </w:r>
      <w:r>
        <w:rPr>
          <w:rFonts w:hint="eastAsia" w:ascii="仿宋_GB2312" w:hAnsi="Calibri" w:eastAsia="仿宋_GB2312" w:cs="Arial Black"/>
          <w:kern w:val="0"/>
          <w:sz w:val="32"/>
          <w:szCs w:val="32"/>
        </w:rPr>
        <w:t>下：</w:t>
      </w:r>
    </w:p>
    <w:tbl>
      <w:tblPr>
        <w:tblStyle w:val="8"/>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ascii="仿宋_GB2312" w:hAnsi="Calibri" w:eastAsia="仿宋_GB2312" w:cs="Arial Black"/>
                <w:kern w:val="0"/>
                <w:sz w:val="28"/>
                <w:szCs w:val="28"/>
              </w:rPr>
            </w:pPr>
            <w:r>
              <w:rPr>
                <w:rFonts w:hint="eastAsia" w:ascii="仿宋_GB2312" w:hAnsi="Calibri" w:eastAsia="仿宋_GB2312" w:cs="Arial Black"/>
                <w:kern w:val="0"/>
                <w:sz w:val="28"/>
                <w:szCs w:val="28"/>
              </w:rPr>
              <w:t>阜平县行政审批局</w:t>
            </w:r>
          </w:p>
        </w:tc>
        <w:tc>
          <w:tcPr>
            <w:tcW w:w="2404"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行政单位</w:t>
            </w:r>
          </w:p>
        </w:tc>
        <w:tc>
          <w:tcPr>
            <w:tcW w:w="2622"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7"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2336;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focussize="0,0"/>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收入总计（含结转和结余）458.21万元。与2019年度决算相比，收入减少15.21万元，降低3.21%，主要原因是历行节约，压减了各项支出。本部门2020年度支出总计（含结转和结余）458.21万元。与2019年度决算相比，支出减少15.21万元，降低3.21%，主要原因是历行节约，压减了各项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本部门2020年度本年收入合计458.21万元，其中：财政拨款收入458.21万元，占100%；事业收入0万元，占0%；经营收入0万元，占0%；其他收入0万元，占0%。</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rPr>
        <w:t>本部门2020年度本年支出合计458.21万元，其中：基本支出195.81万元，占42.73%；项目支出262.40万元，占57.27%；经营支出0万元，占0%。</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458.21万元,比2019年度减少15.21万元，降低3.21%，主要是历行节约，压减了各项支出；本年支出458.21万元，减少15.21万元，降低3.21%，主要是历行节约，压减了各项支出。</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一般公共预算财政拨款收入458.21万元，完成年初预算的91.43%,比年初预算减少42.97万元，决算数小于预算数主要原因是为了厉行节约，压减了各项支出；本年支出458.21万元，完成年初预算的91.43%,比年初预算减少42.97万元，决算数小于预算数主要原因是主要是为了厉行节约，压减了各项支出。</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楷体_GB2312" w:hAnsi="Times New Roman" w:eastAsia="楷体_GB2312" w:cs="Mongolian Baiti"/>
          <w:b/>
          <w:bCs/>
          <w:sz w:val="32"/>
          <w:szCs w:val="32"/>
        </w:rPr>
      </w:pPr>
      <w:r>
        <w:rPr>
          <w:rFonts w:hint="eastAsia" w:ascii="仿宋_GB2312" w:hAnsi="Times New Roman" w:eastAsia="仿宋_GB2312" w:cs="Wingdings"/>
          <w:sz w:val="32"/>
          <w:szCs w:val="32"/>
        </w:rPr>
        <w:t>2020 年度财政拨款支出458.21万元，主要用于以下方面：一般公共服务（类）支出424.81万元，占92.71%；社会保障和就业（类）支出 16.26万元，3.55%；卫生健康支出5.82万元，占1.27%；住房保障（类）支出11.32万元，占 2.47%。</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年度财政拨款基本支出195.81万元，其中：人员经费 142.93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52.88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20.00万元，支出决算为19.19万元，完成预算的95.95%,较年初预算减少0.81万元，降低4.05%，主要是历行节约，压减了各项支出；较2019年度增加15.19万元，增长379.70%，主要是本年度新购置一辆公务用车，所以费用增加。</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1.因公出国（境）费0万元。</w:t>
      </w:r>
      <w:r>
        <w:rPr>
          <w:rFonts w:hint="eastAsia" w:ascii="仿宋_GB2312" w:hAnsi="仿宋_GB2312" w:eastAsia="仿宋_GB2312" w:cs="仿宋_GB2312"/>
          <w:sz w:val="32"/>
          <w:szCs w:val="32"/>
        </w:rPr>
        <w:t>本部门2020年因公出国（境）费支出0万元，完成预算的0%。</w:t>
      </w:r>
      <w:r>
        <w:rPr>
          <w:rFonts w:hint="eastAsia" w:ascii="仿宋_GB2312" w:hAnsi="Times New Roman" w:eastAsia="仿宋_GB2312" w:cs="Wingdings"/>
          <w:sz w:val="32"/>
          <w:szCs w:val="32"/>
        </w:rPr>
        <w:t>因公出国（境）团组0个、共0人、参加其他单位组织的因公出国（境）团组0个、共0人/无本单位组织的出国（境）团组。因公出国（境）费支出较年初预算增加0万元，增长0%,无增减变化；较上年增加0万元，增长0%,无增减变化。</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2.公务用车购置及运行维护费19.19万元。</w:t>
      </w:r>
      <w:r>
        <w:rPr>
          <w:rFonts w:hint="eastAsia" w:ascii="仿宋_GB2312" w:hAnsi="仿宋_GB2312" w:eastAsia="仿宋_GB2312" w:cs="仿宋_GB2312"/>
          <w:sz w:val="32"/>
          <w:szCs w:val="32"/>
        </w:rPr>
        <w:t>本部门2020年公务用车购置及运行维护费支出19.19万元，完成预算的95.95%，</w:t>
      </w:r>
      <w:r>
        <w:rPr>
          <w:rFonts w:hint="eastAsia" w:ascii="仿宋_GB2312" w:hAnsi="Times New Roman" w:eastAsia="仿宋_GB2312" w:cs="Wingdings"/>
          <w:sz w:val="32"/>
          <w:szCs w:val="32"/>
        </w:rPr>
        <w:t>较年初预算减少0.81万元，降低4.05%,主要是本年度新购置一辆公务用车，所以费用增加。较上年增加15.19万元，增长379.70%,主要是本年度新购置一辆公务用车，所以费用增加。</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公务用车购置费支出12万元：</w:t>
      </w:r>
      <w:r>
        <w:rPr>
          <w:rFonts w:hint="eastAsia" w:ascii="仿宋_GB2312" w:hAnsi="Times New Roman" w:eastAsia="仿宋_GB2312" w:cs="Wingdings"/>
          <w:sz w:val="32"/>
          <w:szCs w:val="32"/>
        </w:rPr>
        <w:t>本部门2020年度公务用车购置量1辆，发生“公务用车购置”经费支出12万元。公务用车购置费支出较年初预算增加0万元，增长0%,无增减变化；较上年增加12万元，增长100%,主要是本年度新购置一辆公务用车，上年无公车购置情况，所以费用增加。</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公务用车运行维护费支出7.19万元：</w:t>
      </w:r>
      <w:r>
        <w:rPr>
          <w:rFonts w:hint="eastAsia" w:ascii="仿宋_GB2312" w:hAnsi="Times New Roman" w:eastAsia="仿宋_GB2312" w:cs="Wingdings"/>
          <w:sz w:val="32"/>
          <w:szCs w:val="32"/>
        </w:rPr>
        <w:t>本部门2020年度单位公务用车保有量2辆,发生运行维护费支出7.19万元。公车运行维护费支出较年初预算减少0.81万元，降低10.13%,主要是历行节约，压减了费用支出；较上年增加3.19万元，增长79.69%，主要是本年度增加公务用车一辆，所以费用增加。</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3.公务接待费0万元。</w:t>
      </w:r>
      <w:r>
        <w:rPr>
          <w:rFonts w:hint="eastAsia" w:ascii="仿宋_GB2312" w:hAnsi="仿宋_GB2312" w:eastAsia="仿宋_GB2312" w:cs="仿宋_GB2312"/>
          <w:sz w:val="32"/>
          <w:szCs w:val="32"/>
        </w:rPr>
        <w:t>本部门2020年公务接待费支出0万元，完成预算的100%。发生</w:t>
      </w:r>
      <w:r>
        <w:rPr>
          <w:rFonts w:hint="eastAsia" w:ascii="仿宋_GB2312" w:hAnsi="Times New Roman" w:eastAsia="仿宋_GB2312" w:cs="Wingdings"/>
          <w:sz w:val="32"/>
          <w:szCs w:val="32"/>
        </w:rPr>
        <w:t>公务接待0批次、0人次。公务接待费支出较预算增加0万元，增长0%,无增减变化；较上年度增加0万元，增长0%,无增减变化。</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15个，二级项目0个，共涉及资金262.40万元，占一般公共预算项目支出总额的100%；政府性基金预算一级项目0个，二级项目0个,共涉及资金0万元，占政府性基金预算项目支出总额的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织对“行政审批服务业务运行经费”等15个一级项目开展了部门评价，涉及一般公共预算支出262.40万元，政府性基金预算支出0万元。其中，对“0”个项目分别委托“0”个第三方机构(或部内评审机构)开展绩效评价。</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本部门在今年部门决算公开中反映行政审批服务业务运行经费项目及工商专线租赁费项目等15个项目绩效自评结果。</w:t>
      </w:r>
    </w:p>
    <w:p>
      <w:pPr>
        <w:numPr>
          <w:ilvl w:val="0"/>
          <w:numId w:val="2"/>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行政审批服务业务运行经费项目自评综述：根据年初设定的绩效目标，行政审批服务业务运行经费项目绩效自评得分为95分。全年预算数为80.50万元，执行数为39.57万元，完成预算的49.16%。项目绩效目标完成情况：一是为了深化行政审批制度改革，创新行政审批管理体制，加快政府转变职能，从源头上预防和遏制腐败的发生，践行党全心全意为人民服务的宗旨。二是加快政府转变职能，出于便民为民，践行党全心全意为人民服务的宗旨，做好各项行政审批工作。发现的主要问题及原因：一是审批事项办结时限超时；二是缺乏一次性告知。下一步改进措施：一是加快办理；二是认真负责，严格按照财务制度标准支付业务经费。</w:t>
      </w:r>
    </w:p>
    <w:p>
      <w:pPr>
        <w:adjustRightInd w:val="0"/>
        <w:snapToGrid w:val="0"/>
        <w:spacing w:line="58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2）行政审批服务业务运行经费项目绩效自评综述：我单位2020年度扎实开展了绩效管理工作，通过努力，我单位的绩效管理工作稳步推进。第一，我单位加强领导，确保绩效管理工作顺利开展，领导重视提供了组织保障。第二，建章建制，提供了制度保障。我单位根据文件精神，结合我县实际，细化指标，完善标准，明确了绩效目标，使绩效管理工作稳步进行。第三，规范流程，注重实际。规范了绩效管理工作的基本程序，严格按管理办法实施，确保了绩效管理工作全面落实。切实加强与财政部门的协调与配合，建立与部门预算相结合的结果应用机制，采取项目预期绩效目标申报制度，强化评价结果在部门预算编制和执行中的应用，实现绩效评价与部门预算的有机结合，促进财政资金的合理分配与有效使用。</w:t>
      </w:r>
    </w:p>
    <w:p>
      <w:pPr>
        <w:adjustRightInd w:val="0"/>
        <w:snapToGrid w:val="0"/>
        <w:spacing w:line="600" w:lineRule="exact"/>
        <w:ind w:firstLine="643" w:firstLineChars="200"/>
        <w:rPr>
          <w:rFonts w:hint="eastAsia" w:ascii="仿宋_GB2312" w:hAnsi="仿宋_GB2312" w:eastAsia="楷体_GB2312" w:cs="仿宋_GB2312"/>
          <w:b/>
          <w:bCs/>
          <w:sz w:val="32"/>
          <w:szCs w:val="32"/>
          <w:lang w:eastAsia="zh-CN"/>
        </w:rPr>
      </w:pPr>
      <w:r>
        <w:rPr>
          <w:rFonts w:hint="eastAsia" w:ascii="楷体_GB2312" w:hAnsi="楷体_GB2312" w:eastAsia="楷体_GB2312" w:cs="楷体_GB2312"/>
          <w:b/>
          <w:bCs/>
          <w:sz w:val="32"/>
          <w:szCs w:val="32"/>
        </w:rPr>
        <w:t>（三）财政评价项目绩效评价结果：</w:t>
      </w:r>
      <w:r>
        <w:rPr>
          <w:rFonts w:hint="eastAsia" w:ascii="楷体_GB2312" w:hAnsi="楷体_GB2312" w:eastAsia="楷体_GB2312" w:cs="楷体_GB2312"/>
          <w:b/>
          <w:bCs/>
          <w:sz w:val="32"/>
          <w:szCs w:val="32"/>
          <w:lang w:eastAsia="zh-CN"/>
        </w:rPr>
        <w:t>无。</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52.88万元，比年初预算减少4.23万元，降低7.41%。主要原因是为了厉行节约，压减了各项支出。比2019年度增加15.59万元，增长41.81%。主要原因是本年度业务量及人员都有所增加，所以费用增加。</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本部门2020年度政府采购支出总额0万元，从采购类型来看，</w:t>
      </w:r>
      <w:r>
        <w:rPr>
          <w:rFonts w:hint="eastAsia" w:ascii="仿宋_GB2312" w:hAnsi="仿宋_GB2312" w:eastAsia="仿宋_GB2312" w:cs="仿宋_GB2312"/>
          <w:color w:val="000000"/>
          <w:kern w:val="0"/>
          <w:sz w:val="32"/>
          <w:szCs w:val="32"/>
        </w:rPr>
        <w:t>政府采购货物支出0万元、政府采购工程支出0万元、政府采购服务支出0万元。授予中小企业合同金额0万元，占政府采购支出总额的0%，其中授予小微企业合同金额0万元，占政府采购支出总额的 0%。</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截至2020年12月31日，本部门共有车辆2辆，比上年增加1辆，主要是</w:t>
      </w:r>
      <w:r>
        <w:rPr>
          <w:rFonts w:hint="eastAsia" w:ascii="仿宋_GB2312" w:hAnsi="Times New Roman" w:eastAsia="仿宋_GB2312" w:cs="Wingdings"/>
          <w:sz w:val="32"/>
          <w:szCs w:val="32"/>
        </w:rPr>
        <w:t>本年度新购置一辆公务用车，所以费用增加。</w:t>
      </w:r>
      <w:r>
        <w:rPr>
          <w:rFonts w:hint="eastAsia" w:ascii="仿宋_GB2312" w:hAnsi="仿宋_GB2312" w:eastAsia="仿宋_GB2312" w:cs="仿宋_GB2312"/>
          <w:sz w:val="32"/>
          <w:szCs w:val="32"/>
        </w:rPr>
        <w:t>其中，副部（省）级及以上领导用车0辆，主要领导干部用车0辆，机要通信用车0辆，应急保障用车0辆，执法执勤用车0辆，特种专业技术用车0辆，离退休干部用车0辆，其他用车2辆，其他用车主要是业务用车；</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单位价值50万元以上通用设备0台（套），比上年增加0套，无增减变化 ，单位价值100万元以上专用设备0台（套），比上年增加,0套，无增减变化。</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本部门2020年度未发生政府性基金预算、国有资金经营预算收支及结转结余情况，故</w:t>
      </w:r>
      <w:r>
        <w:rPr>
          <w:rFonts w:hint="eastAsia" w:ascii="仿宋_GB2312" w:hAnsi="Times New Roman" w:eastAsia="仿宋_GB2312" w:cs="DengXian-Regular"/>
          <w:sz w:val="32"/>
          <w:szCs w:val="32"/>
        </w:rPr>
        <w:t>政府性基金预算财政拨款收入支出决算表、国有资本经营预算财政拨款支出决算表以</w:t>
      </w:r>
      <w:r>
        <w:rPr>
          <w:rFonts w:hint="eastAsia" w:ascii="仿宋_GB2312" w:hAnsi="仿宋_GB2312" w:eastAsia="仿宋_GB2312" w:cs="仿宋_GB2312"/>
          <w:sz w:val="32"/>
          <w:szCs w:val="32"/>
        </w:rPr>
        <w:t>空表列示。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focussize="0,0"/>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pPr>
    </w:p>
    <w:p>
      <w:pPr>
        <w:widowControl/>
        <w:spacing w:after="160" w:line="580" w:lineRule="exact"/>
        <w:rPr>
          <w:rFonts w:ascii="Times New Roman" w:hAnsi="Times New Roman" w:eastAsia="黑体" w:cs="Times New Roman"/>
          <w:sz w:val="32"/>
          <w:szCs w:val="32"/>
        </w:rPr>
      </w:pPr>
    </w:p>
    <w:p>
      <w:pPr>
        <w:widowControl/>
        <w:spacing w:after="160" w:line="580" w:lineRule="exact"/>
        <w:rPr>
          <w:rFonts w:ascii="Times New Roman" w:hAnsi="Times New Roman" w:eastAsia="黑体" w:cs="Times New Roman"/>
          <w:sz w:val="32"/>
          <w:szCs w:val="32"/>
        </w:rPr>
        <w:sectPr>
          <w:headerReference r:id="rId8"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focussize="0,0"/>
            <v:stroke weight="1pt" color="#A6A6A6" joinstyle="miter"/>
            <v:imagedata o:title=""/>
            <o:lock v:ext="edit"/>
            <v:textbox>
              <w:txbxContent>
                <w:p>
                  <w:pPr>
                    <w:widowControl/>
                    <w:jc w:val="center"/>
                    <w:rPr>
                      <w:rFonts w:ascii="黑体" w:hAnsi="黑体" w:eastAsia="黑体" w:cs="黑体"/>
                      <w:sz w:val="90"/>
                      <w:szCs w:val="90"/>
                    </w:rPr>
                  </w:pPr>
                  <w:r>
                    <w:rPr>
                      <w:rFonts w:hint="eastAsia" w:ascii="黑体" w:hAnsi="黑体" w:eastAsia="黑体" w:cs="黑体"/>
                      <w:sz w:val="90"/>
                      <w:szCs w:val="90"/>
                    </w:rPr>
                    <w:t xml:space="preserve">第四部分 </w:t>
                  </w:r>
                </w:p>
                <w:p>
                  <w:pPr>
                    <w:widowControl/>
                    <w:jc w:val="center"/>
                  </w:pPr>
                  <w:r>
                    <w:rPr>
                      <w:rFonts w:hint="eastAsia" w:ascii="黑体" w:hAnsi="黑体" w:eastAsia="黑体" w:cs="黑体"/>
                      <w:sz w:val="90"/>
                      <w:szCs w:val="90"/>
                    </w:rPr>
                    <w:t>2020年度部门决算报表</w:t>
                  </w:r>
                </w:p>
                <w:p>
                  <w:pPr>
                    <w:widowControl/>
                    <w:jc w:val="center"/>
                  </w:pPr>
                </w:p>
                <w:p/>
              </w:txbxContent>
            </v:textbox>
          </v:shape>
        </w:pict>
      </w:r>
    </w:p>
    <w:p>
      <w:pPr>
        <w:rPr>
          <w:rFonts w:hint="eastAsia" w:ascii="黑体" w:hAnsi="黑体" w:eastAsia="黑体" w:cs="黑体"/>
          <w:sz w:val="56"/>
          <w:szCs w:val="72"/>
        </w:rPr>
      </w:pPr>
      <w:r>
        <w:rPr>
          <w:szCs w:val="72"/>
        </w:rPr>
        <w:drawing>
          <wp:inline distT="0" distB="0" distL="0" distR="0">
            <wp:extent cx="5615940" cy="4551045"/>
            <wp:effectExtent l="1905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cstate="print"/>
                    <a:srcRect/>
                    <a:stretch>
                      <a:fillRect/>
                    </a:stretch>
                  </pic:blipFill>
                  <pic:spPr>
                    <a:xfrm>
                      <a:off x="0" y="0"/>
                      <a:ext cx="5615940" cy="4551364"/>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2310130"/>
            <wp:effectExtent l="19050" t="0" r="381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cstate="print"/>
                    <a:srcRect/>
                    <a:stretch>
                      <a:fillRect/>
                    </a:stretch>
                  </pic:blipFill>
                  <pic:spPr>
                    <a:xfrm>
                      <a:off x="0" y="0"/>
                      <a:ext cx="5615940" cy="2310750"/>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2574925"/>
            <wp:effectExtent l="19050" t="0" r="381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cstate="print"/>
                    <a:srcRect/>
                    <a:stretch>
                      <a:fillRect/>
                    </a:stretch>
                  </pic:blipFill>
                  <pic:spPr>
                    <a:xfrm>
                      <a:off x="0" y="0"/>
                      <a:ext cx="5615940" cy="2575088"/>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4164965"/>
            <wp:effectExtent l="19050" t="0" r="381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4" cstate="print"/>
                    <a:srcRect/>
                    <a:stretch>
                      <a:fillRect/>
                    </a:stretch>
                  </pic:blipFill>
                  <pic:spPr>
                    <a:xfrm>
                      <a:off x="0" y="0"/>
                      <a:ext cx="5615940" cy="4165029"/>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3308985"/>
            <wp:effectExtent l="19050" t="0" r="381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cstate="print"/>
                    <a:srcRect/>
                    <a:stretch>
                      <a:fillRect/>
                    </a:stretch>
                  </pic:blipFill>
                  <pic:spPr>
                    <a:xfrm>
                      <a:off x="0" y="0"/>
                      <a:ext cx="5615940" cy="3309007"/>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3202940"/>
            <wp:effectExtent l="19050" t="0" r="381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6" cstate="print"/>
                    <a:srcRect/>
                    <a:stretch>
                      <a:fillRect/>
                    </a:stretch>
                  </pic:blipFill>
                  <pic:spPr>
                    <a:xfrm>
                      <a:off x="0" y="0"/>
                      <a:ext cx="5615940" cy="3203233"/>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1158875"/>
            <wp:effectExtent l="19050" t="0" r="381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7" cstate="print"/>
                    <a:srcRect/>
                    <a:stretch>
                      <a:fillRect/>
                    </a:stretch>
                  </pic:blipFill>
                  <pic:spPr>
                    <a:xfrm>
                      <a:off x="0" y="0"/>
                      <a:ext cx="5615940" cy="1159003"/>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r>
        <w:rPr>
          <w:szCs w:val="72"/>
        </w:rPr>
        <w:drawing>
          <wp:inline distT="0" distB="0" distL="0" distR="0">
            <wp:extent cx="5615940" cy="1800860"/>
            <wp:effectExtent l="19050" t="0" r="381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8" cstate="print"/>
                    <a:srcRect/>
                    <a:stretch>
                      <a:fillRect/>
                    </a:stretch>
                  </pic:blipFill>
                  <pic:spPr>
                    <a:xfrm>
                      <a:off x="0" y="0"/>
                      <a:ext cx="5615940" cy="1800916"/>
                    </a:xfrm>
                    <a:prstGeom prst="rect">
                      <a:avLst/>
                    </a:prstGeom>
                    <a:noFill/>
                    <a:ln w="9525">
                      <a:noFill/>
                      <a:miter lim="800000"/>
                      <a:headEnd/>
                      <a:tailEnd/>
                    </a:ln>
                  </pic:spPr>
                </pic:pic>
              </a:graphicData>
            </a:graphic>
          </wp:inline>
        </w:drawing>
      </w: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hint="eastAsia" w:ascii="黑体" w:hAnsi="黑体" w:eastAsia="黑体" w:cs="黑体"/>
          <w:sz w:val="56"/>
          <w:szCs w:val="72"/>
        </w:rPr>
      </w:pPr>
    </w:p>
    <w:p>
      <w:pPr>
        <w:rPr>
          <w:rFonts w:ascii="黑体" w:hAnsi="黑体" w:eastAsia="黑体" w:cs="黑体"/>
          <w:sz w:val="56"/>
          <w:szCs w:val="72"/>
        </w:rPr>
      </w:pPr>
      <w:r>
        <w:rPr>
          <w:szCs w:val="72"/>
        </w:rPr>
        <w:drawing>
          <wp:inline distT="0" distB="0" distL="0" distR="0">
            <wp:extent cx="5615940" cy="2710815"/>
            <wp:effectExtent l="19050" t="0" r="381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9" cstate="print"/>
                    <a:srcRect/>
                    <a:stretch>
                      <a:fillRect/>
                    </a:stretch>
                  </pic:blipFill>
                  <pic:spPr>
                    <a:xfrm>
                      <a:off x="0" y="0"/>
                      <a:ext cx="5615940" cy="2710852"/>
                    </a:xfrm>
                    <a:prstGeom prst="rect">
                      <a:avLst/>
                    </a:prstGeom>
                    <a:noFill/>
                    <a:ln w="9525">
                      <a:noFill/>
                      <a:miter lim="800000"/>
                      <a:headEnd/>
                      <a:tailEnd/>
                    </a:ln>
                  </pic:spPr>
                </pic:pic>
              </a:graphicData>
            </a:graphic>
          </wp:inline>
        </w:drawing>
      </w: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sectPr>
          <w:pgSz w:w="11906" w:h="16838"/>
          <w:pgMar w:top="1984" w:right="1531" w:bottom="2098" w:left="1531" w:header="851" w:footer="992" w:gutter="0"/>
          <w:cols w:space="425"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DengXian-Regular">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decimal"/>
      <w:suff w:val="nothing"/>
      <w:lvlText w:val="（%1）"/>
      <w:lvlJc w:val="left"/>
    </w:lvl>
  </w:abstractNum>
  <w:abstractNum w:abstractNumId="1">
    <w:nsid w:val="45DB9A87"/>
    <w:multiLevelType w:val="singleLevel"/>
    <w:tmpl w:val="45DB9A8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ExNzFkYTFjMmQzNjExYmMzNzA4YjdlMTM5MjdjNWYifQ=="/>
  </w:docVars>
  <w:rsids>
    <w:rsidRoot w:val="34C45458"/>
    <w:rsid w:val="00061A05"/>
    <w:rsid w:val="0018668E"/>
    <w:rsid w:val="001B73D2"/>
    <w:rsid w:val="001C34D6"/>
    <w:rsid w:val="001E62BF"/>
    <w:rsid w:val="00293E7B"/>
    <w:rsid w:val="002D1F4F"/>
    <w:rsid w:val="00366D90"/>
    <w:rsid w:val="003D678E"/>
    <w:rsid w:val="00475F92"/>
    <w:rsid w:val="006256C7"/>
    <w:rsid w:val="00646633"/>
    <w:rsid w:val="00713D27"/>
    <w:rsid w:val="007A52F2"/>
    <w:rsid w:val="008007E9"/>
    <w:rsid w:val="00801F66"/>
    <w:rsid w:val="008358C1"/>
    <w:rsid w:val="0092241E"/>
    <w:rsid w:val="009334BF"/>
    <w:rsid w:val="00974490"/>
    <w:rsid w:val="00C4447E"/>
    <w:rsid w:val="00EE75CF"/>
    <w:rsid w:val="00FB14AD"/>
    <w:rsid w:val="03105BD2"/>
    <w:rsid w:val="03850960"/>
    <w:rsid w:val="04266D3A"/>
    <w:rsid w:val="058B71E0"/>
    <w:rsid w:val="09796EB6"/>
    <w:rsid w:val="0B9E7FA6"/>
    <w:rsid w:val="0EA325C9"/>
    <w:rsid w:val="0EB74960"/>
    <w:rsid w:val="172B1D6F"/>
    <w:rsid w:val="17640E8D"/>
    <w:rsid w:val="19AD72C9"/>
    <w:rsid w:val="1C157763"/>
    <w:rsid w:val="1D6E134A"/>
    <w:rsid w:val="1DCC731B"/>
    <w:rsid w:val="1FE51220"/>
    <w:rsid w:val="20951C7C"/>
    <w:rsid w:val="23F34152"/>
    <w:rsid w:val="2D3221B7"/>
    <w:rsid w:val="2F07462D"/>
    <w:rsid w:val="2FB96948"/>
    <w:rsid w:val="341934F3"/>
    <w:rsid w:val="34C45458"/>
    <w:rsid w:val="35C83C42"/>
    <w:rsid w:val="38751F29"/>
    <w:rsid w:val="3BD30F8D"/>
    <w:rsid w:val="3C34573A"/>
    <w:rsid w:val="3DA21C7E"/>
    <w:rsid w:val="44027683"/>
    <w:rsid w:val="444B1B15"/>
    <w:rsid w:val="46C13D50"/>
    <w:rsid w:val="47117F72"/>
    <w:rsid w:val="5D0C63C4"/>
    <w:rsid w:val="5DAA3367"/>
    <w:rsid w:val="624F3A35"/>
    <w:rsid w:val="63C63AEA"/>
    <w:rsid w:val="684A0584"/>
    <w:rsid w:val="6D1B59F3"/>
    <w:rsid w:val="73D824BD"/>
    <w:rsid w:val="75F23413"/>
    <w:rsid w:val="77BE590F"/>
    <w:rsid w:val="7B4C71DD"/>
    <w:rsid w:val="7B5F2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8">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批注框文本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5241</Words>
  <Characters>5678</Characters>
  <Lines>6</Lines>
  <Paragraphs>12</Paragraphs>
  <TotalTime>56</TotalTime>
  <ScaleCrop>false</ScaleCrop>
  <LinksUpToDate>false</LinksUpToDate>
  <CharactersWithSpaces>5708</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cp:lastPrinted>2022-05-25T06:35:00Z</cp:lastPrinted>
  <dcterms:modified xsi:type="dcterms:W3CDTF">2022-08-30T01:04:32Z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65FA352BAB5146309CB066C800874C19</vt:lpwstr>
  </property>
</Properties>
</file>