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4417" w:firstLineChars="1000"/>
        <w:outlineLvl w:val="0"/>
        <w:rPr>
          <w:rFonts w:ascii="黑体" w:hAnsi="黑体" w:eastAsia="黑体" w:cs="黑体"/>
          <w:b/>
          <w:color w:val="000000"/>
          <w:kern w:val="0"/>
          <w:sz w:val="44"/>
        </w:rPr>
      </w:pPr>
      <w:r>
        <w:rPr>
          <w:rFonts w:ascii="黑体" w:hAnsi="黑体" w:eastAsia="黑体" w:cs="黑体"/>
          <w:b/>
          <w:color w:val="000000"/>
          <w:kern w:val="0"/>
          <w:sz w:val="44"/>
          <w:lang w:eastAsia="uk-UA"/>
        </w:rPr>
        <w:t>202</w:t>
      </w:r>
      <w:r>
        <w:rPr>
          <w:rFonts w:hint="eastAsia" w:ascii="黑体" w:hAnsi="黑体" w:eastAsia="黑体" w:cs="黑体"/>
          <w:b/>
          <w:color w:val="000000"/>
          <w:kern w:val="0"/>
          <w:sz w:val="44"/>
          <w:lang w:val="en-US" w:eastAsia="zh-CN"/>
        </w:rPr>
        <w:t>4</w:t>
      </w:r>
      <w:r>
        <w:rPr>
          <w:rFonts w:ascii="黑体" w:hAnsi="黑体" w:eastAsia="黑体" w:cs="黑体"/>
          <w:b/>
          <w:color w:val="000000"/>
          <w:kern w:val="0"/>
          <w:sz w:val="44"/>
          <w:lang w:eastAsia="uk-UA"/>
        </w:rPr>
        <w:t>年</w:t>
      </w:r>
      <w:r>
        <w:rPr>
          <w:rFonts w:hint="eastAsia" w:ascii="黑体" w:hAnsi="黑体" w:eastAsia="黑体" w:cs="黑体"/>
          <w:b/>
          <w:color w:val="000000"/>
          <w:kern w:val="0"/>
          <w:sz w:val="44"/>
          <w:lang w:eastAsia="zh-CN"/>
        </w:rPr>
        <w:t>单位</w:t>
      </w:r>
      <w:r>
        <w:rPr>
          <w:rFonts w:ascii="黑体" w:hAnsi="黑体" w:eastAsia="黑体" w:cs="黑体"/>
          <w:b/>
          <w:color w:val="000000"/>
          <w:kern w:val="0"/>
          <w:sz w:val="44"/>
          <w:lang w:eastAsia="uk-UA"/>
        </w:rPr>
        <w:t>预算</w:t>
      </w:r>
      <w:r>
        <w:rPr>
          <w:rFonts w:hint="eastAsia" w:ascii="黑体" w:hAnsi="黑体" w:eastAsia="黑体" w:cs="黑体"/>
          <w:b/>
          <w:color w:val="000000"/>
          <w:kern w:val="0"/>
          <w:sz w:val="44"/>
        </w:rPr>
        <w:t>信息公开目录</w:t>
      </w:r>
    </w:p>
    <w:p>
      <w:pPr>
        <w:pStyle w:val="4"/>
        <w:widowControl/>
        <w:tabs>
          <w:tab w:val="right" w:leader="dot" w:pos="14562"/>
        </w:tabs>
        <w:jc w:val="left"/>
        <w:rPr>
          <w:rFonts w:hint="eastAsia" w:ascii="Times New Roman" w:hAnsi="Times New Roman" w:eastAsia="方正仿宋_GBK" w:cs="Times New Roman"/>
          <w:kern w:val="0"/>
          <w:lang w:eastAsia="zh-CN"/>
        </w:rPr>
      </w:pPr>
      <w:r>
        <w:rPr>
          <w:rFonts w:hint="eastAsia" w:ascii="Times New Roman" w:hAnsi="Times New Roman" w:cs="Times New Roman"/>
          <w:kern w:val="0"/>
          <w:lang w:eastAsia="zh-CN"/>
        </w:rPr>
        <w:t>阜平县统计局本级收支预算</w:t>
      </w:r>
      <w:r>
        <w:rPr>
          <w:rFonts w:hint="eastAsia" w:ascii="Times New Roman" w:hAnsi="Times New Roman" w:cs="Times New Roman"/>
          <w:kern w:val="0"/>
        </w:rPr>
        <w:t>.......................................................................................................................................................</w:t>
      </w:r>
      <w:r>
        <w:rPr>
          <w:rFonts w:hint="eastAsia" w:ascii="Times New Roman" w:hAnsi="Times New Roman" w:eastAsia="方正仿宋_GBK" w:cs="Times New Roman"/>
          <w:color w:val="000000"/>
          <w:kern w:val="0"/>
          <w:sz w:val="28"/>
        </w:rPr>
        <w:t>.</w:t>
      </w:r>
      <w:r>
        <w:rPr>
          <w:rFonts w:hint="eastAsia" w:ascii="Times New Roman" w:hAnsi="Times New Roman" w:cs="Times New Roman"/>
          <w:kern w:val="0"/>
        </w:rPr>
        <w:t>.</w:t>
      </w:r>
      <w:r>
        <w:rPr>
          <w:rFonts w:hint="eastAsia" w:ascii="Times New Roman" w:hAnsi="Times New Roman" w:cs="Times New Roman"/>
          <w:kern w:val="0"/>
          <w:lang w:val="en-US" w:eastAsia="zh-CN"/>
        </w:rPr>
        <w:t>2</w:t>
      </w:r>
    </w:p>
    <w:p>
      <w:pPr>
        <w:pStyle w:val="4"/>
        <w:widowControl/>
        <w:tabs>
          <w:tab w:val="right" w:leader="dot" w:pos="14562"/>
        </w:tabs>
        <w:jc w:val="left"/>
        <w:rPr>
          <w:rFonts w:ascii="Times New Roman" w:hAnsi="Times New Roman" w:cs="Times New Roman"/>
          <w:kern w:val="0"/>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left"/>
        <w:rPr>
          <w:rFonts w:ascii="Times New Roman" w:hAnsi="Times New Roman" w:eastAsia="Times New Roman" w:cs="Times New Roman"/>
          <w:kern w:val="0"/>
          <w:sz w:val="24"/>
          <w:lang w:eastAsia="uk-UA"/>
        </w:rPr>
      </w:pPr>
    </w:p>
    <w:p>
      <w:pPr>
        <w:widowControl/>
        <w:jc w:val="center"/>
        <w:outlineLvl w:val="1"/>
        <w:rPr>
          <w:rFonts w:ascii="方正小标宋_GBK" w:hAnsi="方正小标宋_GBK" w:eastAsia="方正小标宋_GBK" w:cs="方正小标宋_GBK"/>
          <w:color w:val="000000"/>
          <w:kern w:val="0"/>
          <w:sz w:val="36"/>
          <w:lang w:eastAsia="uk-UA"/>
        </w:rPr>
      </w:pPr>
      <w:bookmarkStart w:id="0" w:name="_Toc_2_2_0000000001"/>
      <w:r>
        <w:rPr>
          <w:rFonts w:ascii="方正小标宋_GBK" w:hAnsi="方正小标宋_GBK" w:eastAsia="方正小标宋_GBK" w:cs="方正小标宋_GBK"/>
          <w:color w:val="000000"/>
          <w:kern w:val="0"/>
          <w:sz w:val="36"/>
          <w:lang w:eastAsia="uk-UA"/>
        </w:rPr>
        <w:t>部门预算收支总表</w:t>
      </w:r>
    </w:p>
    <w:bookmarkEnd w:id="0"/>
    <w:tbl>
      <w:tblPr>
        <w:tblStyle w:val="6"/>
        <w:tblW w:w="15167" w:type="dxa"/>
        <w:tblInd w:w="91" w:type="dxa"/>
        <w:tblLayout w:type="fixed"/>
        <w:tblCellMar>
          <w:top w:w="0" w:type="dxa"/>
          <w:left w:w="108" w:type="dxa"/>
          <w:bottom w:w="0" w:type="dxa"/>
          <w:right w:w="108" w:type="dxa"/>
        </w:tblCellMar>
      </w:tblPr>
      <w:tblGrid>
        <w:gridCol w:w="793"/>
        <w:gridCol w:w="3720"/>
        <w:gridCol w:w="2268"/>
        <w:gridCol w:w="5318"/>
        <w:gridCol w:w="3068"/>
      </w:tblGrid>
      <w:tr>
        <w:tblPrEx>
          <w:tblCellMar>
            <w:top w:w="0" w:type="dxa"/>
            <w:left w:w="108" w:type="dxa"/>
            <w:bottom w:w="0" w:type="dxa"/>
            <w:right w:w="108" w:type="dxa"/>
          </w:tblCellMar>
        </w:tblPrEx>
        <w:trPr>
          <w:trHeight w:val="363" w:hRule="atLeast"/>
          <w:tblHeader/>
        </w:trPr>
        <w:tc>
          <w:tcPr>
            <w:tcW w:w="15167" w:type="dxa"/>
            <w:gridSpan w:val="5"/>
            <w:tcBorders>
              <w:top w:val="nil"/>
              <w:left w:val="nil"/>
              <w:bottom w:val="single" w:color="auto" w:sz="4" w:space="0"/>
              <w:right w:val="nil"/>
            </w:tcBorders>
            <w:shd w:val="clear" w:color="auto" w:fill="auto"/>
            <w:noWrap/>
            <w:vAlign w:val="center"/>
          </w:tcPr>
          <w:p>
            <w:pPr>
              <w:rPr>
                <w:rFonts w:hint="eastAsia" w:ascii="方正书宋_GBK" w:hAnsi="方正书宋_GBK" w:eastAsia="方正书宋_GBK" w:cs="方正书宋_GBK"/>
                <w:b/>
                <w:kern w:val="0"/>
              </w:rPr>
            </w:pPr>
            <w:r>
              <w:rPr>
                <w:rFonts w:hint="eastAsia" w:ascii="Times New Roman" w:hAnsi="Times New Roman" w:eastAsia="宋体" w:cs="Times New Roman"/>
                <w:kern w:val="0"/>
                <w:sz w:val="24"/>
              </w:rPr>
              <w:t xml:space="preserve">410阜平县统计局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CellMar>
            <w:top w:w="0" w:type="dxa"/>
            <w:left w:w="108" w:type="dxa"/>
            <w:bottom w:w="0" w:type="dxa"/>
            <w:right w:w="108" w:type="dxa"/>
          </w:tblCellMar>
        </w:tblPrEx>
        <w:trPr>
          <w:trHeight w:val="363" w:hRule="atLeast"/>
          <w:tblHeader/>
        </w:trPr>
        <w:tc>
          <w:tcPr>
            <w:tcW w:w="79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98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收入</w:t>
            </w:r>
          </w:p>
        </w:tc>
        <w:tc>
          <w:tcPr>
            <w:tcW w:w="838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kern w:val="0"/>
              </w:rPr>
              <w:t>支出</w:t>
            </w:r>
          </w:p>
        </w:tc>
      </w:tr>
      <w:tr>
        <w:tblPrEx>
          <w:tblCellMar>
            <w:top w:w="0" w:type="dxa"/>
            <w:left w:w="108" w:type="dxa"/>
            <w:bottom w:w="0" w:type="dxa"/>
            <w:right w:w="108" w:type="dxa"/>
          </w:tblCellMar>
        </w:tblPrEx>
        <w:trPr>
          <w:trHeight w:val="363" w:hRule="atLeast"/>
          <w:tblHeader/>
        </w:trPr>
        <w:tc>
          <w:tcPr>
            <w:tcW w:w="79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方正书宋_GBK" w:hAnsi="方正书宋_GBK" w:eastAsia="方正书宋_GBK" w:cs="方正书宋_GBK"/>
                <w:b/>
                <w:kern w:val="0"/>
                <w:lang w:eastAsia="uk-UA"/>
              </w:rPr>
            </w:pP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CellMar>
            <w:top w:w="0" w:type="dxa"/>
            <w:left w:w="108" w:type="dxa"/>
            <w:bottom w:w="0" w:type="dxa"/>
            <w:right w:w="108" w:type="dxa"/>
          </w:tblCellMar>
        </w:tblPrEx>
        <w:trPr>
          <w:trHeight w:val="363" w:hRule="atLeast"/>
          <w:tblHeader/>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一、一般公共预算拨款收入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299.52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一、一般公共服务支出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247.22</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二、政府性基金预算拨款收入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二、外交支出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三、国有资本经营预算拨款收入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三、国防支出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四、财政专户管理资金收入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四、公共安全支出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五、事业收入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五、教育支出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六、事业单位经营收入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六、科学技术支出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七、上级补助收入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七、文化旅游体育与传媒支出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r>
              <w:rPr>
                <w:rFonts w:hint="eastAsia"/>
                <w:lang w:val="en-US" w:eastAsia="zh-CN"/>
              </w:rPr>
              <w:t>八、附属单位上缴收入</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八、社会保障和就业支出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28.80</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九、社会保险基金支出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十、卫生健康支出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r>
              <w:rPr>
                <w:rFonts w:hint="eastAsia"/>
                <w:lang w:val="en-US" w:eastAsia="zh-CN"/>
              </w:rPr>
              <w:t>11.10</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十一、节能环保支出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default"/>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十二、城乡社区支出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十三、农林水支出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9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十四、交通运输支出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十五、资源勘探工业信息等支出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十六、商业服务业等支出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9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tcPr>
          <w:p>
            <w:pPr>
              <w:pStyle w:val="13"/>
            </w:pPr>
            <w:r>
              <w:rPr>
                <w:lang w:eastAsia="zh-CN"/>
              </w:rPr>
              <w:t>17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十七、金融支出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pPr>
            <w:r>
              <w:rPr>
                <w:lang w:eastAsia="zh-CN"/>
              </w:rPr>
              <w:t>19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ascii="宋体" w:hAnsi="宋体" w:eastAsia="宋体" w:cs="宋体"/>
                <w:color w:val="000000"/>
                <w:sz w:val="22"/>
                <w:szCs w:val="22"/>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r>
              <w:rPr>
                <w:rFonts w:hint="eastAsia"/>
                <w:lang w:val="en-US" w:eastAsia="zh-CN"/>
              </w:rPr>
              <w:t>十九、自然资源海洋气象等支出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2"/>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二十、住房保障支出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12.40</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二十一、粮油物资储备支出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二十二、国有资本经营预算支出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二十三、灾害防治及应急管理支出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二十四、预备费</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lang w:eastAsia="zh-CN"/>
              </w:rPr>
              <w:t>25</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二十五、其他支出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26</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二十六、转移性支出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27</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二十七、债务还本支出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28</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二十八、债务付息支出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29</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二十九、债务发行费用支出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30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三十、抗疫特别国债安排的支出</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31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三十一、人行科目</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100</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r>
              <w:rPr>
                <w:rFonts w:hint="eastAsia"/>
                <w:lang w:val="en-US" w:eastAsia="zh-CN"/>
              </w:rPr>
              <w:t>本年收入合计</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299.52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本年支出合计</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299.52</w:t>
            </w: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lang w:eastAsia="zh-CN"/>
              </w:rPr>
            </w:pPr>
            <w:r>
              <w:rPr>
                <w:rFonts w:hint="default"/>
                <w:lang w:val="en-US" w:eastAsia="zh-CN"/>
              </w:rPr>
              <w:t>101</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r>
              <w:rPr>
                <w:rFonts w:hint="eastAsia"/>
                <w:lang w:val="en-US" w:eastAsia="zh-CN"/>
              </w:rPr>
              <w:t>上年结转结余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年终结转结余</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102</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其中财政拨款结转结余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103</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 xml:space="preserve">    非财政拨款结转结余</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lang w:eastAsia="zh-CN"/>
              </w:rPr>
            </w:pP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p>
        </w:tc>
      </w:tr>
      <w:tr>
        <w:tblPrEx>
          <w:tblCellMar>
            <w:top w:w="0" w:type="dxa"/>
            <w:left w:w="108" w:type="dxa"/>
            <w:bottom w:w="0" w:type="dxa"/>
            <w:right w:w="108" w:type="dxa"/>
          </w:tblCellMar>
        </w:tblPrEx>
        <w:trPr>
          <w:trHeight w:val="330" w:hRule="atLeast"/>
        </w:trPr>
        <w:tc>
          <w:tcPr>
            <w:tcW w:w="793" w:type="dxa"/>
            <w:tcBorders>
              <w:top w:val="single" w:color="auto" w:sz="4" w:space="0"/>
              <w:left w:val="single" w:color="auto" w:sz="4" w:space="0"/>
              <w:bottom w:val="single" w:color="auto" w:sz="4" w:space="0"/>
              <w:right w:val="single" w:color="auto" w:sz="4" w:space="0"/>
            </w:tcBorders>
            <w:shd w:val="clear" w:color="auto" w:fill="auto"/>
            <w:noWrap/>
            <w:vAlign w:val="top"/>
          </w:tcPr>
          <w:p>
            <w:pPr>
              <w:pStyle w:val="13"/>
              <w:rPr>
                <w:rFonts w:hint="default"/>
                <w:lang w:val="en-US" w:eastAsia="zh-CN"/>
              </w:rPr>
            </w:pPr>
            <w:r>
              <w:rPr>
                <w:rFonts w:hint="default"/>
                <w:lang w:val="en-US" w:eastAsia="zh-CN"/>
              </w:rPr>
              <w:t>104</w:t>
            </w:r>
          </w:p>
        </w:tc>
        <w:tc>
          <w:tcPr>
            <w:tcW w:w="3720"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收入总计</w:t>
            </w:r>
          </w:p>
        </w:tc>
        <w:tc>
          <w:tcPr>
            <w:tcW w:w="22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299.52</w:t>
            </w:r>
          </w:p>
        </w:tc>
        <w:tc>
          <w:tcPr>
            <w:tcW w:w="531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eastAsia"/>
                <w:lang w:val="en-US" w:eastAsia="zh-CN"/>
              </w:rPr>
            </w:pPr>
            <w:r>
              <w:rPr>
                <w:rFonts w:hint="eastAsia"/>
                <w:lang w:val="en-US" w:eastAsia="zh-CN"/>
              </w:rPr>
              <w:t>支出总计</w:t>
            </w:r>
          </w:p>
        </w:tc>
        <w:tc>
          <w:tcPr>
            <w:tcW w:w="3068" w:type="dxa"/>
            <w:tcBorders>
              <w:top w:val="single" w:color="auto" w:sz="4" w:space="0"/>
              <w:left w:val="single" w:color="auto" w:sz="4" w:space="0"/>
              <w:bottom w:val="single" w:color="auto" w:sz="4" w:space="0"/>
              <w:right w:val="single" w:color="auto" w:sz="4" w:space="0"/>
            </w:tcBorders>
            <w:shd w:val="clear" w:color="auto" w:fill="auto"/>
            <w:noWrap/>
            <w:vAlign w:val="center"/>
          </w:tcPr>
          <w:p>
            <w:pPr>
              <w:pStyle w:val="13"/>
              <w:jc w:val="left"/>
              <w:rPr>
                <w:rFonts w:hint="default"/>
                <w:lang w:val="en-US" w:eastAsia="zh-CN"/>
              </w:rPr>
            </w:pPr>
            <w:r>
              <w:rPr>
                <w:rFonts w:hint="eastAsia"/>
                <w:lang w:val="en-US" w:eastAsia="zh-CN"/>
              </w:rPr>
              <w:t>299.52</w:t>
            </w:r>
          </w:p>
        </w:tc>
      </w:tr>
    </w:tbl>
    <w:p>
      <w:pPr>
        <w:widowControl/>
        <w:jc w:val="left"/>
        <w:outlineLvl w:val="1"/>
        <w:rPr>
          <w:rFonts w:ascii="方正小标宋_GBK" w:hAnsi="方正小标宋_GBK" w:eastAsia="方正小标宋_GBK" w:cs="方正小标宋_GBK"/>
          <w:color w:val="000000"/>
          <w:kern w:val="0"/>
          <w:sz w:val="36"/>
          <w:lang w:eastAsia="uk-UA"/>
        </w:rPr>
      </w:pPr>
      <w:bookmarkStart w:id="1" w:name="_Toc_2_2_0000000002"/>
    </w:p>
    <w:p>
      <w:pPr>
        <w:widowControl/>
        <w:jc w:val="center"/>
        <w:outlineLvl w:val="1"/>
        <w:rPr>
          <w:rFonts w:ascii="方正小标宋_GBK" w:hAnsi="方正小标宋_GBK" w:eastAsia="方正小标宋_GBK" w:cs="方正小标宋_GBK"/>
          <w:color w:val="000000"/>
          <w:kern w:val="0"/>
          <w:sz w:val="36"/>
          <w:lang w:eastAsia="uk-UA"/>
        </w:rPr>
      </w:pPr>
    </w:p>
    <w:p>
      <w:pPr>
        <w:widowControl/>
        <w:jc w:val="center"/>
        <w:outlineLvl w:val="1"/>
        <w:rPr>
          <w:rFonts w:ascii="方正小标宋_GBK" w:hAnsi="方正小标宋_GBK" w:eastAsia="方正小标宋_GBK" w:cs="方正小标宋_GBK"/>
          <w:color w:val="000000"/>
          <w:kern w:val="0"/>
          <w:sz w:val="36"/>
          <w:lang w:eastAsia="uk-UA"/>
        </w:rPr>
      </w:pPr>
    </w:p>
    <w:p>
      <w:pPr>
        <w:widowControl/>
        <w:jc w:val="center"/>
        <w:outlineLvl w:val="1"/>
        <w:rPr>
          <w:rFonts w:ascii="方正小标宋_GBK" w:hAnsi="方正小标宋_GBK" w:eastAsia="方正小标宋_GBK" w:cs="方正小标宋_GBK"/>
          <w:color w:val="000000"/>
          <w:kern w:val="0"/>
          <w:sz w:val="36"/>
          <w:lang w:eastAsia="uk-UA"/>
        </w:rPr>
      </w:pPr>
    </w:p>
    <w:p>
      <w:pPr>
        <w:widowControl/>
        <w:ind w:firstLine="5040" w:firstLineChars="1400"/>
        <w:jc w:val="both"/>
        <w:outlineLvl w:val="1"/>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kern w:val="0"/>
          <w:sz w:val="36"/>
          <w:lang w:eastAsia="uk-UA"/>
        </w:rPr>
        <w:t>部门预算收入总表</w:t>
      </w:r>
      <w:bookmarkEnd w:id="1"/>
    </w:p>
    <w:tbl>
      <w:tblPr>
        <w:tblStyle w:val="6"/>
        <w:tblW w:w="14917" w:type="dxa"/>
        <w:tblInd w:w="91" w:type="dxa"/>
        <w:tblLayout w:type="fixed"/>
        <w:tblCellMar>
          <w:top w:w="0" w:type="dxa"/>
          <w:left w:w="108" w:type="dxa"/>
          <w:bottom w:w="0" w:type="dxa"/>
          <w:right w:w="108" w:type="dxa"/>
        </w:tblCellMar>
      </w:tblPr>
      <w:tblGrid>
        <w:gridCol w:w="716"/>
        <w:gridCol w:w="1227"/>
        <w:gridCol w:w="3362"/>
        <w:gridCol w:w="928"/>
        <w:gridCol w:w="982"/>
        <w:gridCol w:w="986"/>
        <w:gridCol w:w="1010"/>
        <w:gridCol w:w="857"/>
        <w:gridCol w:w="871"/>
        <w:gridCol w:w="1136"/>
        <w:gridCol w:w="1136"/>
        <w:gridCol w:w="863"/>
        <w:gridCol w:w="843"/>
      </w:tblGrid>
      <w:tr>
        <w:tblPrEx>
          <w:tblCellMar>
            <w:top w:w="0" w:type="dxa"/>
            <w:left w:w="108" w:type="dxa"/>
            <w:bottom w:w="0" w:type="dxa"/>
            <w:right w:w="108" w:type="dxa"/>
          </w:tblCellMar>
        </w:tblPrEx>
        <w:trPr>
          <w:trHeight w:val="307" w:hRule="atLeast"/>
          <w:tblHeader/>
        </w:trPr>
        <w:tc>
          <w:tcPr>
            <w:tcW w:w="14917" w:type="dxa"/>
            <w:gridSpan w:val="13"/>
            <w:tcBorders>
              <w:top w:val="nil"/>
              <w:left w:val="nil"/>
              <w:bottom w:val="single" w:color="000000" w:sz="4" w:space="0"/>
              <w:right w:val="nil"/>
            </w:tcBorders>
            <w:shd w:val="clear" w:color="auto" w:fill="auto"/>
            <w:vAlign w:val="center"/>
          </w:tcPr>
          <w:p>
            <w:pPr>
              <w:rPr>
                <w:rFonts w:hint="eastAsia" w:ascii="宋体" w:hAnsi="宋体" w:eastAsia="宋体" w:cs="宋体"/>
                <w:b/>
                <w:bCs/>
                <w:color w:val="000000"/>
                <w:kern w:val="0"/>
                <w:szCs w:val="21"/>
                <w:lang w:bidi="ar"/>
              </w:rPr>
            </w:pPr>
            <w:r>
              <w:rPr>
                <w:rFonts w:hint="eastAsia" w:ascii="方正小标宋_GBK" w:hAnsi="方正小标宋_GBK" w:eastAsia="方正小标宋_GBK" w:cs="方正小标宋_GBK"/>
                <w:kern w:val="0"/>
                <w:sz w:val="24"/>
              </w:rPr>
              <w:t xml:space="preserve">410阜平县统计局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w:t>
            </w:r>
            <w:r>
              <w:rPr>
                <w:rFonts w:hint="eastAsia" w:ascii="方正小标宋_GBK" w:hAnsi="方正小标宋_GBK" w:eastAsia="方正小标宋_GBK" w:cs="方正小标宋_GBK"/>
                <w:kern w:val="0"/>
                <w:sz w:val="24"/>
              </w:rPr>
              <w:t>元</w:t>
            </w:r>
          </w:p>
        </w:tc>
      </w:tr>
      <w:tr>
        <w:tblPrEx>
          <w:tblCellMar>
            <w:top w:w="0" w:type="dxa"/>
            <w:left w:w="108" w:type="dxa"/>
            <w:bottom w:w="0" w:type="dxa"/>
            <w:right w:w="108" w:type="dxa"/>
          </w:tblCellMar>
        </w:tblPrEx>
        <w:trPr>
          <w:trHeight w:val="307" w:hRule="atLeast"/>
          <w:tblHeader/>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4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功能分类科目</w:t>
            </w:r>
          </w:p>
        </w:tc>
        <w:tc>
          <w:tcPr>
            <w:tcW w:w="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合计</w:t>
            </w:r>
          </w:p>
        </w:tc>
        <w:tc>
          <w:tcPr>
            <w:tcW w:w="784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本年收入</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上年结转</w:t>
            </w:r>
          </w:p>
        </w:tc>
      </w:tr>
      <w:tr>
        <w:tblPrEx>
          <w:tblCellMar>
            <w:top w:w="0" w:type="dxa"/>
            <w:left w:w="108" w:type="dxa"/>
            <w:bottom w:w="0" w:type="dxa"/>
            <w:right w:w="108" w:type="dxa"/>
          </w:tblCellMar>
        </w:tblPrEx>
        <w:trPr>
          <w:trHeight w:val="414" w:hRule="atLeast"/>
          <w:tblHeader/>
        </w:trPr>
        <w:tc>
          <w:tcPr>
            <w:tcW w:w="7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科目编码</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科目名称</w:t>
            </w:r>
          </w:p>
        </w:tc>
        <w:tc>
          <w:tcPr>
            <w:tcW w:w="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小计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财政拨款收入</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财政专户收入</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事业收入</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经营收入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上级补助收入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附属单位上缴收入</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其他收入</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b/>
                <w:bCs/>
                <w:color w:val="000000"/>
                <w:szCs w:val="21"/>
              </w:rPr>
            </w:pPr>
          </w:p>
        </w:tc>
      </w:tr>
      <w:tr>
        <w:tblPrEx>
          <w:tblCellMar>
            <w:top w:w="0" w:type="dxa"/>
            <w:left w:w="108" w:type="dxa"/>
            <w:bottom w:w="0" w:type="dxa"/>
            <w:right w:w="108" w:type="dxa"/>
          </w:tblCellMar>
        </w:tblPrEx>
        <w:trPr>
          <w:trHeight w:val="200" w:hRule="atLeast"/>
          <w:tblHeader/>
        </w:trPr>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栏次</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w:t>
            </w:r>
          </w:p>
        </w:tc>
        <w:tc>
          <w:tcPr>
            <w:tcW w:w="33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2</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6</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8</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9</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11</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12</w:t>
            </w: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合计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29</w:t>
            </w:r>
            <w:r>
              <w:rPr>
                <w:rFonts w:hint="eastAsia"/>
                <w:lang w:val="en-US" w:eastAsia="zh-CN"/>
              </w:rPr>
              <w:t>9.52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29</w:t>
            </w:r>
            <w:r>
              <w:rPr>
                <w:rFonts w:hint="eastAsia"/>
                <w:lang w:val="en-US" w:eastAsia="zh-CN"/>
              </w:rPr>
              <w:t>9.52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29</w:t>
            </w:r>
            <w:r>
              <w:rPr>
                <w:rFonts w:hint="eastAsia"/>
                <w:lang w:val="en-US" w:eastAsia="zh-CN"/>
              </w:rPr>
              <w:t>9.52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一般公共服务支出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w:t>
            </w:r>
            <w:r>
              <w:rPr>
                <w:rFonts w:hint="eastAsia"/>
                <w:lang w:val="en-US" w:eastAsia="zh-CN"/>
              </w:rPr>
              <w:t>47.22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47.22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47.22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统计信息事务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default"/>
                <w:lang w:val="en-US" w:eastAsia="zh-CN"/>
              </w:rPr>
              <w:t>2</w:t>
            </w:r>
            <w:r>
              <w:rPr>
                <w:rFonts w:hint="eastAsia"/>
                <w:lang w:val="en-US" w:eastAsia="zh-CN"/>
              </w:rPr>
              <w:t>47.22</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47.22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47.22</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行政运行</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142.48</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142.48</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142.48</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一般行政管理事务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21.00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21.00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21.00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专项统计业务</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37.34</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37.32</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37.34</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2010507</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专项普查活动</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40.4</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40.4</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40.4</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2010508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统计抽样调查</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6.00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社会保障和就业支出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2</w:t>
            </w:r>
            <w:r>
              <w:rPr>
                <w:rFonts w:hint="eastAsia"/>
                <w:lang w:val="en-US" w:eastAsia="zh-CN"/>
              </w:rPr>
              <w:t>8.80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lang w:val="en-US"/>
              </w:rPr>
            </w:pPr>
            <w:r>
              <w:rPr>
                <w:rFonts w:hint="default"/>
                <w:lang w:val="en-US" w:eastAsia="zh-CN"/>
              </w:rPr>
              <w:t>2</w:t>
            </w:r>
            <w:r>
              <w:rPr>
                <w:rFonts w:hint="eastAsia"/>
                <w:lang w:val="en-US" w:eastAsia="zh-CN"/>
              </w:rPr>
              <w:t>8.80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lang w:val="en-US"/>
              </w:rPr>
            </w:pPr>
            <w:r>
              <w:rPr>
                <w:rFonts w:hint="default"/>
                <w:lang w:val="en-US" w:eastAsia="zh-CN"/>
              </w:rPr>
              <w:t>2</w:t>
            </w:r>
            <w:r>
              <w:rPr>
                <w:rFonts w:hint="eastAsia"/>
                <w:lang w:val="en-US" w:eastAsia="zh-CN"/>
              </w:rPr>
              <w:t>8.80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行政事业单位养老支出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w:t>
            </w:r>
            <w:r>
              <w:rPr>
                <w:rFonts w:hint="eastAsia"/>
                <w:lang w:val="en-US" w:eastAsia="zh-CN"/>
              </w:rPr>
              <w:t>8.80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pPr>
            <w:r>
              <w:rPr>
                <w:rFonts w:hint="default"/>
                <w:lang w:val="en-US" w:eastAsia="zh-CN"/>
              </w:rPr>
              <w:t>2</w:t>
            </w:r>
            <w:r>
              <w:rPr>
                <w:rFonts w:hint="eastAsia"/>
                <w:lang w:val="en-US" w:eastAsia="zh-CN"/>
              </w:rPr>
              <w:t>8.80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pPr>
            <w:r>
              <w:rPr>
                <w:rFonts w:hint="default"/>
                <w:lang w:val="en-US" w:eastAsia="zh-CN"/>
              </w:rPr>
              <w:t>2</w:t>
            </w:r>
            <w:r>
              <w:rPr>
                <w:rFonts w:hint="eastAsia"/>
                <w:lang w:val="en-US" w:eastAsia="zh-CN"/>
              </w:rPr>
              <w:t>8.80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1</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行政单位离退休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11.45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11.45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11.45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2</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2080505</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机关事业单位基本养老保险缴费支出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17.35</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17.35</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17.35</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3</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卫生健康支出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11.10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11.10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eastAsia"/>
                <w:lang w:val="en-US" w:eastAsia="zh-CN"/>
              </w:rPr>
              <w:t>11.10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4</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21011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行政事业单位医疗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11.10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65"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5</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2101101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行政单位医疗</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eastAsia="方正书宋_GBK"/>
                <w:lang w:val="en-US" w:eastAsia="zh-CN"/>
              </w:rPr>
            </w:pPr>
            <w:r>
              <w:rPr>
                <w:rFonts w:hint="eastAsia"/>
                <w:lang w:val="en-US" w:eastAsia="zh-CN"/>
              </w:rPr>
              <w:t>8.00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8.00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eastAsia" w:cs="方正书宋_GBK"/>
                <w:sz w:val="21"/>
                <w:szCs w:val="24"/>
                <w:lang w:val="en-US" w:eastAsia="zh-CN" w:bidi="ar-SA"/>
              </w:rPr>
              <w:t>8.00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30"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rPr>
                <w:lang w:eastAsia="zh-CN"/>
              </w:rPr>
            </w:pPr>
            <w:r>
              <w:rPr>
                <w:rFonts w:hint="eastAsia"/>
                <w:lang w:val="en-US" w:eastAsia="zh-CN"/>
              </w:rPr>
              <w:t>16</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2101103</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公务员医疗补助</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3.</w:t>
            </w:r>
            <w:r>
              <w:rPr>
                <w:rFonts w:hint="eastAsia"/>
                <w:lang w:val="en-US" w:eastAsia="zh-CN"/>
              </w:rPr>
              <w:t>10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uk-UA" w:bidi="ar-SA"/>
              </w:rPr>
            </w:pPr>
            <w:r>
              <w:rPr>
                <w:rFonts w:hint="default"/>
                <w:lang w:val="en-US" w:eastAsia="zh-CN"/>
              </w:rPr>
              <w:t>3.</w:t>
            </w:r>
            <w:r>
              <w:rPr>
                <w:rFonts w:hint="eastAsia"/>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uk-UA" w:bidi="ar-SA"/>
              </w:rPr>
            </w:pPr>
            <w:r>
              <w:rPr>
                <w:rFonts w:hint="default"/>
                <w:lang w:val="en-US" w:eastAsia="zh-CN"/>
              </w:rPr>
              <w:t>3.</w:t>
            </w:r>
            <w:r>
              <w:rPr>
                <w:rFonts w:hint="eastAsia"/>
                <w:lang w:val="en-US" w:eastAsia="zh-CN"/>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7</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221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eastAsia"/>
                <w:lang w:val="en-US" w:eastAsia="zh-CN"/>
              </w:rPr>
              <w:t>住房保障支出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lang w:val="en-US"/>
              </w:rPr>
            </w:pPr>
            <w:r>
              <w:rPr>
                <w:rFonts w:hint="default"/>
                <w:lang w:val="en-US" w:eastAsia="zh-CN"/>
              </w:rPr>
              <w:t>1</w:t>
            </w:r>
            <w:r>
              <w:rPr>
                <w:rFonts w:hint="eastAsia"/>
                <w:lang w:val="en-US" w:eastAsia="zh-CN"/>
              </w:rPr>
              <w:t>2.40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w:t>
            </w:r>
            <w:r>
              <w:rPr>
                <w:rFonts w:hint="eastAsia"/>
                <w:lang w:val="en-US" w:eastAsia="zh-CN"/>
              </w:rPr>
              <w:t>2.40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pPr>
            <w:r>
              <w:rPr>
                <w:rFonts w:hint="default"/>
                <w:lang w:val="en-US" w:eastAsia="zh-CN"/>
              </w:rPr>
              <w:t>1</w:t>
            </w:r>
            <w:r>
              <w:rPr>
                <w:rFonts w:hint="eastAsia"/>
                <w:lang w:val="en-US" w:eastAsia="zh-CN"/>
              </w:rPr>
              <w:t>2.40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eastAsia"/>
                <w:lang w:val="en-US" w:eastAsia="zh-CN"/>
              </w:rPr>
              <w:t>18</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22102</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住房改革支出</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r>
        <w:tblPrEx>
          <w:tblCellMar>
            <w:top w:w="0" w:type="dxa"/>
            <w:left w:w="108" w:type="dxa"/>
            <w:bottom w:w="0" w:type="dxa"/>
            <w:right w:w="108" w:type="dxa"/>
          </w:tblCellMar>
        </w:tblPrEx>
        <w:trPr>
          <w:trHeight w:val="372" w:hRule="exact"/>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jc w:val="left"/>
            </w:pPr>
            <w:r>
              <w:rPr>
                <w:rFonts w:hint="default"/>
                <w:lang w:val="en-US" w:eastAsia="zh-CN"/>
              </w:rPr>
              <w:t>1</w:t>
            </w:r>
            <w:r>
              <w:rPr>
                <w:rFonts w:hint="eastAsia"/>
                <w:lang w:val="en-US" w:eastAsia="zh-CN"/>
              </w:rPr>
              <w:t>9</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2210201</w:t>
            </w:r>
          </w:p>
        </w:tc>
        <w:tc>
          <w:tcPr>
            <w:tcW w:w="3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eastAsia"/>
                <w:lang w:eastAsia="zh-CN"/>
              </w:rPr>
            </w:pPr>
            <w:r>
              <w:rPr>
                <w:rFonts w:hint="eastAsia"/>
                <w:lang w:val="en-US" w:eastAsia="zh-CN"/>
              </w:rPr>
              <w:t>住房公积金</w:t>
            </w:r>
          </w:p>
        </w:tc>
        <w:tc>
          <w:tcPr>
            <w:tcW w:w="92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98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12"/>
              <w:jc w:val="left"/>
              <w:rPr>
                <w:rFonts w:hint="default" w:ascii="方正书宋_GBK" w:hAnsi="方正书宋_GBK" w:eastAsia="方正书宋_GBK" w:cs="方正书宋_GBK"/>
                <w:sz w:val="21"/>
                <w:szCs w:val="24"/>
                <w:lang w:val="en-US" w:eastAsia="zh-CN" w:bidi="ar-SA"/>
              </w:rPr>
            </w:pPr>
            <w:r>
              <w:rPr>
                <w:rFonts w:hint="default"/>
                <w:lang w:val="en-US" w:eastAsia="zh-CN"/>
              </w:rPr>
              <w:t>1</w:t>
            </w:r>
            <w:r>
              <w:rPr>
                <w:rFonts w:hint="eastAsia"/>
                <w:lang w:val="en-US" w:eastAsia="zh-CN"/>
              </w:rPr>
              <w:t>2.40</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c>
          <w:tcPr>
            <w:tcW w:w="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12"/>
            </w:pPr>
          </w:p>
        </w:tc>
      </w:tr>
    </w:tbl>
    <w:p>
      <w:pPr>
        <w:widowControl/>
        <w:ind w:firstLine="5760" w:firstLineChars="1600"/>
        <w:jc w:val="both"/>
        <w:outlineLvl w:val="1"/>
        <w:rPr>
          <w:rFonts w:ascii="Times New Roman" w:hAnsi="Times New Roman" w:eastAsia="Times New Roman" w:cs="Times New Roman"/>
          <w:kern w:val="0"/>
          <w:sz w:val="24"/>
          <w:lang w:eastAsia="uk-UA"/>
        </w:rPr>
      </w:pPr>
      <w:bookmarkStart w:id="2" w:name="_Toc_2_2_0000000003"/>
      <w:r>
        <w:rPr>
          <w:rFonts w:ascii="方正小标宋_GBK" w:hAnsi="方正小标宋_GBK" w:eastAsia="方正小标宋_GBK" w:cs="方正小标宋_GBK"/>
          <w:color w:val="000000"/>
          <w:kern w:val="0"/>
          <w:sz w:val="36"/>
          <w:lang w:eastAsia="uk-UA"/>
        </w:rPr>
        <w:t>部门预算支出总表</w:t>
      </w:r>
      <w:bookmarkEnd w:id="2"/>
    </w:p>
    <w:tbl>
      <w:tblPr>
        <w:tblStyle w:val="6"/>
        <w:tblW w:w="5000" w:type="pct"/>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autofit"/>
        <w:tblCellMar>
          <w:top w:w="0" w:type="dxa"/>
          <w:left w:w="108" w:type="dxa"/>
          <w:bottom w:w="0" w:type="dxa"/>
          <w:right w:w="108" w:type="dxa"/>
        </w:tblCellMar>
      </w:tblPr>
      <w:tblGrid>
        <w:gridCol w:w="658"/>
        <w:gridCol w:w="1156"/>
        <w:gridCol w:w="4066"/>
        <w:gridCol w:w="1111"/>
        <w:gridCol w:w="1571"/>
        <w:gridCol w:w="1267"/>
        <w:gridCol w:w="1592"/>
        <w:gridCol w:w="1706"/>
        <w:gridCol w:w="1889"/>
      </w:tblGrid>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5000" w:type="pct"/>
            <w:gridSpan w:val="9"/>
            <w:tcBorders>
              <w:top w:val="nil"/>
              <w:left w:val="nil"/>
              <w:bottom w:val="single" w:color="000000" w:sz="4" w:space="0"/>
              <w:right w:val="nil"/>
            </w:tcBorders>
            <w:noWrap w:val="0"/>
            <w:vAlign w:val="center"/>
          </w:tcPr>
          <w:p>
            <w:pPr>
              <w:rPr>
                <w:rFonts w:hint="eastAsia" w:ascii="方正书宋_GBK" w:hAnsi="方正书宋_GBK" w:eastAsia="方正书宋_GBK" w:cs="方正书宋_GBK"/>
                <w:b/>
              </w:rPr>
            </w:pPr>
            <w:r>
              <w:rPr>
                <w:rFonts w:hint="eastAsia" w:ascii="Times New Roman" w:hAnsi="Times New Roman" w:eastAsia="Times New Roman" w:cs="Times New Roman"/>
                <w:kern w:val="0"/>
                <w:sz w:val="24"/>
                <w:lang w:eastAsia="uk-UA"/>
              </w:rPr>
              <w:t>410阜平县统计局</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预算年度：202</w:t>
            </w:r>
            <w:r>
              <w:rPr>
                <w:rFonts w:hint="eastAsia" w:ascii="Times New Roman" w:hAnsi="Times New Roman" w:eastAsia="宋体" w:cs="Times New Roman"/>
                <w:kern w:val="0"/>
                <w:sz w:val="24"/>
                <w:lang w:val="en-US" w:eastAsia="zh-CN"/>
              </w:rPr>
              <w:t>4</w:t>
            </w:r>
            <w:r>
              <w:rPr>
                <w:rFonts w:hint="eastAsia" w:ascii="Times New Roman" w:hAnsi="Times New Roman" w:eastAsia="Times New Roman" w:cs="Times New Roman"/>
                <w:kern w:val="0"/>
                <w:sz w:val="24"/>
                <w:lang w:eastAsia="uk-UA"/>
              </w:rPr>
              <w:tab/>
            </w:r>
            <w:r>
              <w:rPr>
                <w:rFonts w:hint="eastAsia" w:ascii="Times New Roman" w:hAnsi="Times New Roman" w:eastAsia="宋体" w:cs="Times New Roman"/>
                <w:kern w:val="0"/>
                <w:sz w:val="24"/>
              </w:rPr>
              <w:t xml:space="preserve">            </w:t>
            </w:r>
            <w:r>
              <w:rPr>
                <w:rFonts w:hint="eastAsia" w:ascii="Times New Roman" w:hAnsi="Times New Roman" w:eastAsia="宋体" w:cs="Times New Roman"/>
                <w:kern w:val="0"/>
                <w:sz w:val="24"/>
                <w:lang w:val="en-US" w:eastAsia="zh-CN"/>
              </w:rPr>
              <w:t xml:space="preserve">  </w:t>
            </w:r>
            <w:r>
              <w:rPr>
                <w:rFonts w:hint="eastAsia" w:ascii="Times New Roman" w:hAnsi="Times New Roman" w:eastAsia="宋体" w:cs="Times New Roman"/>
                <w:kern w:val="0"/>
                <w:sz w:val="24"/>
              </w:rPr>
              <w:t xml:space="preserve">                         </w:t>
            </w:r>
            <w:r>
              <w:rPr>
                <w:rFonts w:hint="eastAsia" w:ascii="Times New Roman" w:hAnsi="Times New Roman" w:eastAsia="Times New Roman" w:cs="Times New Roman"/>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21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事业单位</w:t>
            </w:r>
          </w:p>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经营支出</w:t>
            </w: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上缴上级支出</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对附属单位补助支出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1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37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6</w:t>
            </w: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7</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一般公共服务支出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w:t>
            </w:r>
            <w:r>
              <w:rPr>
                <w:rFonts w:hint="eastAsia"/>
                <w:lang w:val="en-US" w:eastAsia="zh-CN"/>
              </w:rPr>
              <w:t>47.22</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142.48</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104.74</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2</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统计信息事务</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w:t>
            </w:r>
            <w:r>
              <w:rPr>
                <w:rFonts w:hint="eastAsia"/>
                <w:lang w:val="en-US" w:eastAsia="zh-CN"/>
              </w:rPr>
              <w:t>47.22</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142.48</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104.74</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3</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行政运行</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142.48</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142.48</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4</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2010502</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一般行政管理事务</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21.00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21.00</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5</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2010505</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专项统计业务</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37.34</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37.34</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6</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2010507</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专项普查活动</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40.4</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40.4</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7</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2010508</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统计抽样调查</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6.00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6.00</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8</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社会保障和就业支出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w:t>
            </w:r>
            <w:r>
              <w:rPr>
                <w:rFonts w:hint="eastAsia"/>
                <w:lang w:val="en-US" w:eastAsia="zh-CN"/>
              </w:rPr>
              <w:t>8.80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lang w:val="en-US" w:eastAsia="zh-CN"/>
              </w:rPr>
            </w:pPr>
            <w:r>
              <w:rPr>
                <w:rFonts w:hint="default"/>
                <w:lang w:val="en-US" w:eastAsia="zh-CN"/>
              </w:rPr>
              <w:t>2</w:t>
            </w:r>
            <w:r>
              <w:rPr>
                <w:rFonts w:hint="eastAsia"/>
                <w:lang w:val="en-US" w:eastAsia="zh-CN"/>
              </w:rPr>
              <w:t>8.80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tabs>
                <w:tab w:val="center" w:pos="525"/>
              </w:tabs>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9</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行政事业单位养老支出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w:t>
            </w:r>
            <w:r>
              <w:rPr>
                <w:rFonts w:hint="eastAsia"/>
                <w:lang w:val="en-US" w:eastAsia="zh-CN"/>
              </w:rPr>
              <w:t>8.80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lang w:val="en-US" w:eastAsia="zh-CN"/>
              </w:rPr>
            </w:pPr>
            <w:r>
              <w:rPr>
                <w:rFonts w:hint="default"/>
                <w:lang w:val="en-US" w:eastAsia="zh-CN"/>
              </w:rPr>
              <w:t>2</w:t>
            </w:r>
            <w:r>
              <w:rPr>
                <w:rFonts w:hint="eastAsia"/>
                <w:lang w:val="en-US" w:eastAsia="zh-CN"/>
              </w:rPr>
              <w:t>8.80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10</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行政单位离退休</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11.45</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11.45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11</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2080505</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机关事业单位基本养老保险缴费支出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17.35</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17.35</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12</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卫生健康支出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11.10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11.10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13</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行政事业单位医疗</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11.10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11.10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14</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行政单位医疗</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8.00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cs="方正书宋_GBK"/>
                <w:sz w:val="21"/>
                <w:szCs w:val="24"/>
                <w:lang w:val="en-US" w:eastAsia="zh-CN" w:bidi="ar-SA"/>
              </w:rPr>
              <w:t>8.00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15</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2101103</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公务员医疗补助</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3.</w:t>
            </w:r>
            <w:r>
              <w:rPr>
                <w:rFonts w:hint="eastAsia"/>
                <w:lang w:val="en-US" w:eastAsia="zh-CN"/>
              </w:rPr>
              <w:t>10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3.</w:t>
            </w:r>
            <w:r>
              <w:rPr>
                <w:rFonts w:hint="eastAsia"/>
                <w:lang w:val="en-US" w:eastAsia="zh-CN"/>
              </w:rPr>
              <w:t>10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16</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住房保障支出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17</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22102</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住房改革支出</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18</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2210201</w:t>
            </w: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住房公积金</w:t>
            </w:r>
          </w:p>
        </w:tc>
        <w:tc>
          <w:tcPr>
            <w:tcW w:w="370"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523"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1</w:t>
            </w:r>
            <w:r>
              <w:rPr>
                <w:rFonts w:hint="eastAsia"/>
                <w:lang w:val="en-US" w:eastAsia="zh-CN"/>
              </w:rPr>
              <w:t>2.40</w:t>
            </w:r>
          </w:p>
        </w:tc>
        <w:tc>
          <w:tcPr>
            <w:tcW w:w="422"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19" w:type="pct"/>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eastAsia"/>
                <w:lang w:val="en-US" w:eastAsia="zh-CN"/>
              </w:rPr>
            </w:pPr>
            <w:r>
              <w:rPr>
                <w:rFonts w:hint="default"/>
                <w:lang w:val="en-US" w:eastAsia="zh-CN"/>
              </w:rPr>
              <w:t>19</w:t>
            </w:r>
          </w:p>
        </w:tc>
        <w:tc>
          <w:tcPr>
            <w:tcW w:w="385"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p>
        </w:tc>
        <w:tc>
          <w:tcPr>
            <w:tcW w:w="1354" w:type="pct"/>
            <w:tcBorders>
              <w:top w:val="single" w:color="000000" w:sz="4" w:space="0"/>
              <w:left w:val="single" w:color="000000" w:sz="4" w:space="0"/>
              <w:bottom w:val="single" w:color="000000" w:sz="4" w:space="0"/>
              <w:right w:val="single" w:color="000000" w:sz="4" w:space="0"/>
            </w:tcBorders>
            <w:noWrap w:val="0"/>
            <w:vAlign w:val="center"/>
          </w:tcPr>
          <w:p>
            <w:pPr>
              <w:pStyle w:val="12"/>
              <w:jc w:val="left"/>
              <w:rPr>
                <w:rFonts w:hint="eastAsia"/>
                <w:lang w:val="en-US" w:eastAsia="zh-CN"/>
              </w:rPr>
            </w:pPr>
            <w:r>
              <w:rPr>
                <w:rFonts w:hint="eastAsia"/>
                <w:lang w:val="en-US" w:eastAsia="zh-CN"/>
              </w:rPr>
              <w:t>合计</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default"/>
                <w:lang w:val="en-US" w:eastAsia="zh-CN"/>
              </w:rPr>
              <w:t>29</w:t>
            </w:r>
            <w:r>
              <w:rPr>
                <w:rFonts w:hint="eastAsia"/>
                <w:lang w:val="en-US" w:eastAsia="zh-CN"/>
              </w:rPr>
              <w:t>9.52</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194.78</w:t>
            </w:r>
          </w:p>
        </w:tc>
        <w:tc>
          <w:tcPr>
            <w:tcW w:w="1267"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r>
              <w:rPr>
                <w:rFonts w:hint="eastAsia"/>
                <w:lang w:val="en-US" w:eastAsia="zh-CN"/>
              </w:rPr>
              <w:t>104.74</w:t>
            </w:r>
          </w:p>
        </w:tc>
        <w:tc>
          <w:tcPr>
            <w:tcW w:w="530"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568"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c>
          <w:tcPr>
            <w:tcW w:w="625" w:type="pct"/>
            <w:tcBorders>
              <w:top w:val="single" w:color="000000" w:sz="4" w:space="0"/>
              <w:left w:val="single" w:color="000000" w:sz="4" w:space="0"/>
              <w:bottom w:val="single" w:color="000000" w:sz="4" w:space="0"/>
              <w:right w:val="single" w:color="000000" w:sz="4" w:space="0"/>
            </w:tcBorders>
            <w:noWrap w:val="0"/>
            <w:vAlign w:val="top"/>
          </w:tcPr>
          <w:p>
            <w:pPr>
              <w:jc w:val="right"/>
              <w:rPr>
                <w:rFonts w:cs="Calibri"/>
                <w:color w:val="000000"/>
                <w:sz w:val="22"/>
                <w:szCs w:val="22"/>
              </w:rPr>
            </w:pPr>
          </w:p>
        </w:tc>
      </w:tr>
    </w:tbl>
    <w:p>
      <w:pPr>
        <w:rPr>
          <w:rFonts w:ascii="方正小标宋_GBK" w:hAnsi="方正小标宋_GBK" w:eastAsia="方正小标宋_GBK" w:cs="方正小标宋_GBK"/>
          <w:color w:val="000000"/>
          <w:sz w:val="36"/>
        </w:rPr>
      </w:pPr>
      <w:bookmarkStart w:id="3" w:name="_Toc_2_2_0000000004"/>
    </w:p>
    <w:p>
      <w:pPr>
        <w:ind w:firstLine="4320" w:firstLineChars="1200"/>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sz w:val="36"/>
        </w:rPr>
        <w:t>部门预算财政拨款收支总表</w:t>
      </w:r>
      <w:bookmarkEnd w:id="3"/>
    </w:p>
    <w:tbl>
      <w:tblPr>
        <w:tblStyle w:val="6"/>
        <w:tblW w:w="13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3816"/>
        <w:gridCol w:w="1634"/>
        <w:gridCol w:w="4636"/>
        <w:gridCol w:w="2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3548" w:type="dxa"/>
            <w:gridSpan w:val="5"/>
            <w:tcBorders>
              <w:top w:val="nil"/>
              <w:left w:val="nil"/>
              <w:right w:val="nil"/>
            </w:tcBorders>
            <w:shd w:val="clear" w:color="auto" w:fill="auto"/>
            <w:noWrap/>
            <w:vAlign w:val="center"/>
          </w:tcPr>
          <w:p>
            <w:pPr>
              <w:jc w:val="center"/>
              <w:rPr>
                <w:rFonts w:ascii="Times New Roman" w:hAnsi="Times New Roman" w:eastAsia="Times New Roman" w:cs="Times New Roman"/>
                <w:kern w:val="0"/>
                <w:sz w:val="24"/>
                <w:lang w:eastAsia="uk-UA"/>
              </w:rPr>
            </w:pPr>
            <w:r>
              <w:rPr>
                <w:rFonts w:hint="eastAsia" w:ascii="方正小标宋_GBK" w:hAnsi="方正小标宋_GBK" w:eastAsia="方正小标宋_GBK" w:cs="方正小标宋_GBK"/>
                <w:kern w:val="0"/>
                <w:sz w:val="24"/>
              </w:rPr>
              <w:t xml:space="preserve">410阜平县统计局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p>
            <w:pPr>
              <w:widowControl/>
              <w:jc w:val="center"/>
              <w:textAlignment w:val="center"/>
              <w:rPr>
                <w:rFonts w:hint="eastAsia" w:ascii="方正书宋_GBK" w:hAnsi="方正书宋_GBK" w:eastAsia="方正书宋_GBK" w:cs="方正书宋_GBK"/>
                <w:b/>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198" w:type="dxa"/>
            <w:vMerge w:val="restart"/>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450"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收入</w:t>
            </w:r>
          </w:p>
        </w:tc>
        <w:tc>
          <w:tcPr>
            <w:tcW w:w="6900" w:type="dxa"/>
            <w:gridSpan w:val="2"/>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198" w:type="dxa"/>
            <w:vMerge w:val="continue"/>
            <w:shd w:val="clear" w:color="auto" w:fill="auto"/>
            <w:noWrap/>
            <w:vAlign w:val="center"/>
          </w:tcPr>
          <w:p>
            <w:pPr>
              <w:jc w:val="center"/>
              <w:rPr>
                <w:rFonts w:ascii="方正书宋_GBK" w:hAnsi="方正书宋_GBK" w:eastAsia="方正书宋_GBK" w:cs="方正书宋_GBK"/>
                <w:b/>
                <w:kern w:val="0"/>
                <w:lang w:eastAsia="uk-UA"/>
              </w:rPr>
            </w:pP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w:t>
            </w:r>
          </w:p>
        </w:tc>
        <w:tc>
          <w:tcPr>
            <w:tcW w:w="226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tblHeader/>
          <w:jc w:val="center"/>
        </w:trPr>
        <w:tc>
          <w:tcPr>
            <w:tcW w:w="1198"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81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163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4636"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264" w:type="dxa"/>
            <w:shd w:val="clear" w:color="auto" w:fill="auto"/>
            <w:noWrap/>
            <w:vAlign w:val="center"/>
          </w:tcPr>
          <w:p>
            <w:pPr>
              <w:widowControl/>
              <w:jc w:val="center"/>
              <w:textAlignment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一、本年收入</w:t>
            </w:r>
          </w:p>
        </w:tc>
        <w:tc>
          <w:tcPr>
            <w:tcW w:w="1634" w:type="dxa"/>
            <w:shd w:val="clear" w:color="auto" w:fill="auto"/>
            <w:noWrap/>
            <w:vAlign w:val="top"/>
          </w:tcPr>
          <w:p>
            <w:pPr>
              <w:pStyle w:val="12"/>
              <w:ind w:leftChars="400"/>
              <w:jc w:val="left"/>
              <w:rPr>
                <w:rFonts w:hint="default" w:ascii="方正书宋_GBK" w:hAnsi="方正书宋_GBK" w:eastAsia="方正书宋_GBK" w:cs="方正书宋_GBK"/>
                <w:sz w:val="21"/>
                <w:szCs w:val="24"/>
                <w:lang w:val="en-US" w:eastAsia="zh-CN" w:bidi="ar-SA"/>
              </w:rPr>
            </w:pPr>
            <w:r>
              <w:rPr>
                <w:rFonts w:hint="default"/>
                <w:lang w:val="en-US" w:eastAsia="zh-CN"/>
              </w:rPr>
              <w:t>29</w:t>
            </w:r>
            <w:r>
              <w:rPr>
                <w:rFonts w:hint="eastAsia"/>
                <w:lang w:val="en-US" w:eastAsia="zh-CN"/>
              </w:rPr>
              <w:t>9.52</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一、本年支出</w:t>
            </w:r>
          </w:p>
        </w:tc>
        <w:tc>
          <w:tcPr>
            <w:tcW w:w="2264" w:type="dxa"/>
            <w:shd w:val="clear" w:color="auto" w:fill="auto"/>
            <w:noWrap/>
            <w:vAlign w:val="top"/>
          </w:tcPr>
          <w:p>
            <w:pPr>
              <w:pStyle w:val="12"/>
              <w:ind w:leftChars="700"/>
              <w:jc w:val="left"/>
              <w:rPr>
                <w:rFonts w:hint="default" w:ascii="方正书宋_GBK" w:hAnsi="方正书宋_GBK" w:eastAsia="方正书宋_GBK" w:cs="方正书宋_GBK"/>
                <w:sz w:val="21"/>
                <w:szCs w:val="24"/>
                <w:lang w:val="en-US" w:eastAsia="zh-CN" w:bidi="ar-SA"/>
              </w:rPr>
            </w:pPr>
            <w:r>
              <w:rPr>
                <w:rFonts w:hint="default"/>
                <w:lang w:val="en-US" w:eastAsia="zh-CN"/>
              </w:rPr>
              <w:t>29</w:t>
            </w:r>
            <w:r>
              <w:rPr>
                <w:rFonts w:hint="eastAsia"/>
                <w:lang w:val="en-US" w:eastAsia="zh-CN"/>
              </w:rPr>
              <w:t>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2</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vAlign w:val="top"/>
          </w:tcPr>
          <w:p>
            <w:pPr>
              <w:pStyle w:val="12"/>
              <w:ind w:leftChars="400"/>
              <w:jc w:val="left"/>
              <w:rPr>
                <w:rFonts w:hint="default" w:ascii="方正书宋_GBK" w:hAnsi="方正书宋_GBK" w:eastAsia="方正书宋_GBK" w:cs="方正书宋_GBK"/>
                <w:sz w:val="21"/>
                <w:szCs w:val="24"/>
                <w:lang w:val="en-US" w:eastAsia="zh-CN" w:bidi="ar-SA"/>
              </w:rPr>
            </w:pPr>
            <w:r>
              <w:rPr>
                <w:rFonts w:hint="default"/>
                <w:lang w:val="en-US" w:eastAsia="zh-CN"/>
              </w:rPr>
              <w:t>29</w:t>
            </w:r>
            <w:r>
              <w:rPr>
                <w:rFonts w:hint="eastAsia"/>
                <w:lang w:val="en-US" w:eastAsia="zh-CN"/>
              </w:rPr>
              <w:t>9.52</w:t>
            </w: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（一）一般公共服务支出</w:t>
            </w:r>
          </w:p>
        </w:tc>
        <w:tc>
          <w:tcPr>
            <w:tcW w:w="2264"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247.22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3</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（二）外交支出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4</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widowControl/>
              <w:jc w:val="right"/>
              <w:textAlignment w:val="top"/>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（三）国防支出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5</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二、上年结转</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（四）公共安全支出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6</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（一）一般公共预算拨款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（五）教育支出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7</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（二）政府性基金预算拨款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（六）科学技术支出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8</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（三）国有资本经营预算拨款</w:t>
            </w: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（七）文化旅游体育与传媒支出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（八）社会保障和就业支出</w:t>
            </w:r>
          </w:p>
        </w:tc>
        <w:tc>
          <w:tcPr>
            <w:tcW w:w="2264"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（九）社会保险基金支出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（十）卫生健康支出</w:t>
            </w:r>
          </w:p>
        </w:tc>
        <w:tc>
          <w:tcPr>
            <w:tcW w:w="2264" w:type="dxa"/>
            <w:shd w:val="clear" w:color="auto" w:fill="auto"/>
            <w:noWra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（十一）节能环保支出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13</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（十二）城乡社区支出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14</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（十三）农林水支出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15</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（十四）交通运输支出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tcPr>
          <w:p>
            <w:pPr>
              <w:widowControl/>
              <w:jc w:val="center"/>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16</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tcPr>
          <w:p>
            <w:pPr>
              <w:jc w:val="right"/>
              <w:rPr>
                <w:rFonts w:ascii="方正书宋_GBK" w:hAnsi="方正书宋_GBK" w:eastAsia="方正书宋_GBK" w:cs="方正书宋_GBK"/>
                <w:kern w:val="0"/>
                <w:lang w:eastAsia="uk-UA"/>
              </w:rPr>
            </w:pPr>
          </w:p>
        </w:tc>
        <w:tc>
          <w:tcPr>
            <w:tcW w:w="4636" w:type="dxa"/>
            <w:shd w:val="clear" w:color="auto" w:fill="auto"/>
            <w:noWrap/>
          </w:tcPr>
          <w:p>
            <w:pPr>
              <w:widowControl/>
              <w:jc w:val="left"/>
              <w:textAlignment w:val="top"/>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（十五）资源勘探工业信息等支出</w:t>
            </w:r>
          </w:p>
        </w:tc>
        <w:tc>
          <w:tcPr>
            <w:tcW w:w="2264" w:type="dxa"/>
            <w:shd w:val="clear" w:color="auto" w:fill="auto"/>
            <w:noWrap/>
          </w:tcPr>
          <w:p>
            <w:pPr>
              <w:widowControl/>
              <w:jc w:val="right"/>
              <w:textAlignment w:val="top"/>
              <w:rPr>
                <w:rFonts w:ascii="方正书宋_GBK" w:hAnsi="方正书宋_GBK" w:eastAsia="方正书宋_GBK" w:cs="方正书宋_GBK"/>
                <w:kern w:val="0"/>
                <w:lang w:eastAsia="uk-U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17</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（十六）商业服务业等支出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18</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（十七）金融支出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19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（十八）援助其他地区支出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（十九）自然资源海洋气象等支出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（二十）住房保障支出</w:t>
            </w:r>
          </w:p>
        </w:tc>
        <w:tc>
          <w:tcPr>
            <w:tcW w:w="2264" w:type="dxa"/>
            <w:shd w:val="clear" w:color="auto" w:fill="auto"/>
            <w:noWrap/>
            <w:vAlign w:val="to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（二十一）粮油物资储备支出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23</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（二十二）国有资本经营预算支出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24</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（二十三）灾害防治及应急管理支出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25</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（二十四）预备费</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26</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（二十五）其他支出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27</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（二十六）转移性支出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28</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（二十七）债务还本支出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29</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（二十八）债务付息支出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30</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（二十九）债务发行费用支出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31</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（三十）抗疫特别国债安排的支出</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32</w:t>
            </w:r>
          </w:p>
        </w:tc>
        <w:tc>
          <w:tcPr>
            <w:tcW w:w="3816" w:type="dxa"/>
            <w:shd w:val="clear" w:color="auto" w:fill="auto"/>
            <w:noWrap/>
            <w:vAlign w:val="center"/>
          </w:tcPr>
          <w:p>
            <w:pPr>
              <w:jc w:val="left"/>
              <w:rPr>
                <w:rFonts w:ascii="方正书宋_GBK" w:hAnsi="方正书宋_GBK" w:eastAsia="方正书宋_GBK" w:cs="方正书宋_GBK"/>
                <w:kern w:val="0"/>
                <w:lang w:eastAsia="uk-UA"/>
              </w:rPr>
            </w:pPr>
          </w:p>
        </w:tc>
        <w:tc>
          <w:tcPr>
            <w:tcW w:w="1634" w:type="dxa"/>
            <w:shd w:val="clear" w:color="auto" w:fill="auto"/>
            <w:noWrap/>
            <w:vAlign w:val="top"/>
          </w:tcPr>
          <w:p>
            <w:pPr>
              <w:jc w:val="right"/>
              <w:rPr>
                <w:rFonts w:ascii="方正书宋_GBK" w:hAnsi="方正书宋_GBK" w:eastAsia="方正书宋_GBK" w:cs="方正书宋_GBK"/>
                <w:kern w:val="0"/>
                <w:lang w:eastAsia="uk-UA"/>
              </w:rPr>
            </w:pP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二、年终结转结余</w:t>
            </w:r>
          </w:p>
        </w:tc>
        <w:tc>
          <w:tcPr>
            <w:tcW w:w="2264" w:type="dxa"/>
            <w:shd w:val="clear" w:color="auto" w:fill="auto"/>
            <w:noWrap/>
            <w:vAlign w:val="top"/>
          </w:tcPr>
          <w:p>
            <w:pPr>
              <w:widowControl/>
              <w:jc w:val="right"/>
              <w:textAlignment w:val="top"/>
              <w:rPr>
                <w:rFonts w:hint="eastAsia" w:ascii="方正书宋_GBK" w:hAnsi="方正书宋_GBK" w:eastAsia="方正书宋_GBK" w:cs="方正书宋_GBK"/>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1198" w:type="dxa"/>
            <w:shd w:val="clear" w:color="auto" w:fill="auto"/>
            <w:noWrap/>
            <w:vAlign w:val="top"/>
          </w:tcPr>
          <w:p>
            <w:pPr>
              <w:widowControl/>
              <w:jc w:val="center"/>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33</w:t>
            </w:r>
          </w:p>
        </w:tc>
        <w:tc>
          <w:tcPr>
            <w:tcW w:w="3816" w:type="dxa"/>
            <w:shd w:val="clear" w:color="auto" w:fill="auto"/>
            <w:noWrap/>
            <w:vAlign w:val="center"/>
          </w:tcPr>
          <w:p>
            <w:pPr>
              <w:widowControl/>
              <w:jc w:val="left"/>
              <w:textAlignment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rPr>
              <w:t>收入总计</w:t>
            </w:r>
          </w:p>
        </w:tc>
        <w:tc>
          <w:tcPr>
            <w:tcW w:w="1634" w:type="dxa"/>
            <w:shd w:val="clear" w:color="auto" w:fill="auto"/>
            <w:noWrap/>
            <w:vAlign w:val="top"/>
          </w:tcPr>
          <w:p>
            <w:pPr>
              <w:widowControl/>
              <w:jc w:val="right"/>
              <w:textAlignment w:val="top"/>
              <w:rPr>
                <w:rFonts w:hint="default" w:ascii="方正书宋_GBK" w:hAnsi="方正书宋_GBK" w:eastAsia="方正书宋_GBK" w:cs="方正书宋_GBK"/>
                <w:kern w:val="0"/>
                <w:lang w:val="en-US" w:eastAsia="uk-UA"/>
              </w:rPr>
            </w:pPr>
            <w:r>
              <w:rPr>
                <w:rFonts w:hint="eastAsia" w:ascii="方正书宋_GBK" w:hAnsi="方正书宋_GBK" w:eastAsia="方正书宋_GBK" w:cs="方正书宋_GBK"/>
                <w:kern w:val="0"/>
                <w:lang w:val="en-US" w:eastAsia="zh-CN"/>
              </w:rPr>
              <w:t>299.52</w:t>
            </w:r>
          </w:p>
        </w:tc>
        <w:tc>
          <w:tcPr>
            <w:tcW w:w="4636" w:type="dxa"/>
            <w:shd w:val="clear" w:color="auto" w:fill="auto"/>
            <w:noWrap/>
            <w:vAlign w:val="top"/>
          </w:tcPr>
          <w:p>
            <w:pPr>
              <w:widowControl/>
              <w:jc w:val="left"/>
              <w:textAlignment w:val="top"/>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支出总计</w:t>
            </w:r>
          </w:p>
        </w:tc>
        <w:tc>
          <w:tcPr>
            <w:tcW w:w="2264" w:type="dxa"/>
            <w:shd w:val="clear" w:color="auto" w:fill="auto"/>
            <w:noWrap/>
            <w:vAlign w:val="top"/>
          </w:tcPr>
          <w:p>
            <w:pPr>
              <w:widowControl/>
              <w:jc w:val="right"/>
              <w:textAlignment w:val="top"/>
              <w:rPr>
                <w:rFonts w:hint="default" w:ascii="方正书宋_GBK" w:hAnsi="方正书宋_GBK" w:eastAsia="方正书宋_GBK" w:cs="方正书宋_GBK"/>
                <w:kern w:val="0"/>
                <w:lang w:val="en-US"/>
              </w:rPr>
            </w:pPr>
            <w:r>
              <w:rPr>
                <w:rFonts w:hint="eastAsia" w:ascii="方正书宋_GBK" w:hAnsi="方正书宋_GBK" w:eastAsia="方正书宋_GBK" w:cs="方正书宋_GBK"/>
                <w:kern w:val="0"/>
                <w:lang w:val="en-US" w:eastAsia="zh-CN"/>
              </w:rPr>
              <w:t>299.52</w:t>
            </w:r>
          </w:p>
        </w:tc>
      </w:tr>
    </w:tbl>
    <w:p>
      <w:pPr>
        <w:widowControl/>
        <w:jc w:val="both"/>
        <w:outlineLvl w:val="1"/>
        <w:rPr>
          <w:rFonts w:hint="eastAsia" w:ascii="方正小标宋_GBK" w:hAnsi="方正小标宋_GBK" w:eastAsia="方正小标宋_GBK" w:cs="方正小标宋_GBK"/>
          <w:color w:val="000000"/>
          <w:kern w:val="0"/>
          <w:sz w:val="36"/>
          <w:lang w:eastAsia="uk-UA"/>
        </w:rPr>
      </w:pPr>
    </w:p>
    <w:p>
      <w:pPr>
        <w:jc w:val="center"/>
        <w:outlineLvl w:val="1"/>
      </w:pPr>
      <w:r>
        <w:rPr>
          <w:rFonts w:hint="eastAsia" w:ascii="方正小标宋_GBK" w:hAnsi="方正小标宋_GBK" w:eastAsia="方正小标宋_GBK" w:cs="方正小标宋_GBK"/>
          <w:color w:val="000000"/>
          <w:sz w:val="36"/>
        </w:rPr>
        <w:t>部门预算一般公共预算财政拨款支出表</w:t>
      </w:r>
    </w:p>
    <w:tbl>
      <w:tblPr>
        <w:tblStyle w:val="6"/>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9"/>
        <w:gridCol w:w="1288"/>
        <w:gridCol w:w="4047"/>
        <w:gridCol w:w="2011"/>
        <w:gridCol w:w="2546"/>
        <w:gridCol w:w="42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0" w:type="pct"/>
            <w:gridSpan w:val="6"/>
            <w:tcBorders>
              <w:top w:val="single" w:color="FFFFFF" w:sz="6" w:space="0"/>
              <w:left w:val="single" w:color="FFFFFF" w:sz="6" w:space="0"/>
              <w:right w:val="single" w:color="FFFFFF" w:sz="6" w:space="0"/>
            </w:tcBorders>
            <w:noWrap w:val="0"/>
            <w:vAlign w:val="center"/>
          </w:tcPr>
          <w:p>
            <w:pPr>
              <w:jc w:val="center"/>
            </w:pPr>
            <w:r>
              <w:rPr>
                <w:rFonts w:hint="eastAsia" w:ascii="方正小标宋_GBK" w:hAnsi="方正小标宋_GBK" w:eastAsia="方正小标宋_GBK" w:cs="方正小标宋_GBK"/>
                <w:kern w:val="0"/>
                <w:sz w:val="24"/>
              </w:rPr>
              <w:t xml:space="preserve">410阜平县统计局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1" w:hRule="atLeast"/>
          <w:tblHeader/>
          <w:jc w:val="center"/>
        </w:trPr>
        <w:tc>
          <w:tcPr>
            <w:tcW w:w="283"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序号</w:t>
            </w:r>
          </w:p>
        </w:tc>
        <w:tc>
          <w:tcPr>
            <w:tcW w:w="429"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科目编码</w:t>
            </w:r>
          </w:p>
        </w:tc>
        <w:tc>
          <w:tcPr>
            <w:tcW w:w="1348"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科目名称</w:t>
            </w:r>
          </w:p>
        </w:tc>
        <w:tc>
          <w:tcPr>
            <w:tcW w:w="670"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合计</w:t>
            </w:r>
          </w:p>
        </w:tc>
        <w:tc>
          <w:tcPr>
            <w:tcW w:w="848"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基本支出</w:t>
            </w:r>
          </w:p>
        </w:tc>
        <w:tc>
          <w:tcPr>
            <w:tcW w:w="1420"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项目支出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12"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429"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1348"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670"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848"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1420"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6"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栏次</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2</w:t>
            </w:r>
          </w:p>
        </w:tc>
        <w:tc>
          <w:tcPr>
            <w:tcW w:w="670"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3</w:t>
            </w:r>
          </w:p>
        </w:tc>
        <w:tc>
          <w:tcPr>
            <w:tcW w:w="8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4</w:t>
            </w:r>
          </w:p>
        </w:tc>
        <w:tc>
          <w:tcPr>
            <w:tcW w:w="1420"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1"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方正书宋_GBK" w:hAnsi="方正书宋_GBK" w:eastAsia="方正书宋_GBK" w:cs="方正书宋_GBK"/>
              </w:rPr>
            </w:pPr>
            <w:r>
              <w:rPr>
                <w:rFonts w:hint="eastAsia" w:ascii="方正书宋_GBK" w:hAnsi="方正书宋_GBK" w:eastAsia="方正书宋_GBK" w:cs="方正书宋_GBK"/>
              </w:rPr>
              <w:t>1</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rPr>
            </w:pPr>
          </w:p>
        </w:tc>
        <w:tc>
          <w:tcPr>
            <w:tcW w:w="1348" w:type="pct"/>
            <w:tcBorders>
              <w:top w:val="single" w:color="000000" w:sz="4" w:space="0"/>
              <w:left w:val="single" w:color="000000" w:sz="4" w:space="0"/>
              <w:bottom w:val="single" w:color="000000" w:sz="4" w:space="0"/>
              <w:right w:val="single" w:color="000000" w:sz="4" w:space="0"/>
            </w:tcBorders>
            <w:noWrap w:val="0"/>
            <w:vAlign w:val="top"/>
          </w:tcPr>
          <w:p>
            <w:pPr>
              <w:widowControl/>
              <w:jc w:val="left"/>
              <w:textAlignment w:val="top"/>
              <w:rPr>
                <w:rFonts w:hint="eastAsia" w:ascii="方正书宋_GBK" w:hAnsi="方正书宋_GBK" w:eastAsia="方正书宋_GBK" w:cs="方正书宋_GBK"/>
                <w:b/>
              </w:rPr>
            </w:pPr>
            <w:r>
              <w:rPr>
                <w:rFonts w:ascii="方正书宋_GBK" w:hAnsi="方正书宋_GBK" w:eastAsia="方正书宋_GBK" w:cs="方正书宋_GBK"/>
                <w:b/>
              </w:rPr>
              <w:t>合计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ascii="方正书宋_GBK" w:hAnsi="方正书宋_GBK" w:eastAsia="方正书宋_GBK" w:cs="方正书宋_GBK"/>
                <w:b/>
                <w:bCs/>
                <w:lang w:val="en-US" w:eastAsia="zh-CN"/>
              </w:rPr>
            </w:pPr>
            <w:r>
              <w:rPr>
                <w:rFonts w:hint="default"/>
                <w:b/>
                <w:bCs/>
                <w:lang w:val="en-US" w:eastAsia="zh-CN"/>
              </w:rPr>
              <w:t>29</w:t>
            </w:r>
            <w:r>
              <w:rPr>
                <w:rFonts w:hint="eastAsia"/>
                <w:b/>
                <w:bCs/>
                <w:lang w:val="en-US" w:eastAsia="zh-CN"/>
              </w:rPr>
              <w:t>9.52</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ascii="方正书宋_GBK" w:hAnsi="方正书宋_GBK" w:eastAsia="方正书宋_GBK" w:cs="方正书宋_GBK"/>
                <w:b/>
                <w:bCs/>
                <w:lang w:val="en-US" w:eastAsia="zh-CN"/>
              </w:rPr>
            </w:pPr>
            <w:r>
              <w:rPr>
                <w:rFonts w:hint="eastAsia"/>
                <w:b/>
                <w:bCs/>
                <w:lang w:val="en-US" w:eastAsia="zh-CN"/>
              </w:rPr>
              <w:t>194.78</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ascii="方正书宋_GBK" w:hAnsi="方正书宋_GBK" w:eastAsia="方正书宋_GBK" w:cs="方正书宋_GBK"/>
                <w:b/>
                <w:bCs/>
                <w:lang w:val="en-US" w:eastAsia="zh-CN"/>
              </w:rPr>
            </w:pPr>
            <w:r>
              <w:rPr>
                <w:rFonts w:hint="eastAsia"/>
                <w:b/>
                <w:bCs/>
                <w:lang w:val="en-US" w:eastAsia="zh-CN"/>
              </w:rPr>
              <w:t>104.74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2</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一般公共服务支出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2</w:t>
            </w:r>
            <w:r>
              <w:rPr>
                <w:rFonts w:hint="eastAsia"/>
                <w:lang w:val="en-US" w:eastAsia="zh-CN"/>
              </w:rPr>
              <w:t>47.22</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142.48</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104.74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3</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统计信息事务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2</w:t>
            </w:r>
            <w:r>
              <w:rPr>
                <w:rFonts w:hint="eastAsia"/>
                <w:lang w:val="en-US" w:eastAsia="zh-CN"/>
              </w:rPr>
              <w:t>47.22</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142.48</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104.74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4</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行政运行</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142.48</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142.48</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5</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2010502</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一般行政管理事务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21.00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21.00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6</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专项统计业务</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37.34</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37.34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7</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2010507</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专项普查活动</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40.4</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40.4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8</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2010508</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统计抽样调查</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6.00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6.00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9</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2</w:t>
            </w:r>
            <w:r>
              <w:rPr>
                <w:rFonts w:hint="eastAsia"/>
                <w:lang w:val="en-US" w:eastAsia="zh-CN"/>
              </w:rPr>
              <w:t>8.80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jc w:val="left"/>
              <w:rPr>
                <w:rFonts w:ascii="方正书宋_GBK" w:hAnsi="方正书宋_GBK" w:eastAsia="方正书宋_GBK" w:cs="方正书宋_GBK"/>
              </w:rPr>
            </w:pPr>
            <w:r>
              <w:rPr>
                <w:rFonts w:hint="default"/>
                <w:lang w:val="en-US" w:eastAsia="zh-CN"/>
              </w:rPr>
              <w:t>2</w:t>
            </w:r>
            <w:r>
              <w:rPr>
                <w:rFonts w:hint="eastAsia"/>
                <w:lang w:val="en-US" w:eastAsia="zh-CN"/>
              </w:rPr>
              <w:t>8.80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tabs>
                <w:tab w:val="center" w:pos="525"/>
              </w:tabs>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10</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2</w:t>
            </w:r>
            <w:r>
              <w:rPr>
                <w:rFonts w:hint="eastAsia"/>
                <w:lang w:val="en-US" w:eastAsia="zh-CN"/>
              </w:rPr>
              <w:t>8.80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jc w:val="left"/>
              <w:rPr>
                <w:rFonts w:ascii="方正书宋_GBK" w:hAnsi="方正书宋_GBK" w:eastAsia="方正书宋_GBK" w:cs="方正书宋_GBK"/>
              </w:rPr>
            </w:pPr>
            <w:r>
              <w:rPr>
                <w:rFonts w:hint="default"/>
                <w:lang w:val="en-US" w:eastAsia="zh-CN"/>
              </w:rPr>
              <w:t>2</w:t>
            </w:r>
            <w:r>
              <w:rPr>
                <w:rFonts w:hint="eastAsia"/>
                <w:lang w:val="en-US" w:eastAsia="zh-CN"/>
              </w:rPr>
              <w:t>8.80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11</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行政单位离退休</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11.45</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11.45</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12</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2080505</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17.35</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17.35</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13</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卫生健康支出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11.10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11.10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14</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行政事业单位医疗</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11.10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11.10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15</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行政单位医疗</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lang w:val="en-US" w:eastAsia="zh-CN"/>
              </w:rPr>
              <w:t>8.00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eastAsia" w:cs="方正书宋_GBK"/>
                <w:sz w:val="21"/>
                <w:szCs w:val="24"/>
                <w:lang w:val="en-US" w:eastAsia="zh-CN" w:bidi="ar-SA"/>
              </w:rPr>
              <w:t>8.00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16</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2101103</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公务员医疗补助</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3.</w:t>
            </w:r>
            <w:r>
              <w:rPr>
                <w:rFonts w:hint="eastAsia"/>
                <w:lang w:val="en-US" w:eastAsia="zh-CN"/>
              </w:rPr>
              <w:t>10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3.</w:t>
            </w:r>
            <w:r>
              <w:rPr>
                <w:rFonts w:hint="eastAsia"/>
                <w:lang w:val="en-US" w:eastAsia="zh-CN"/>
              </w:rPr>
              <w:t>10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17</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住房保障支出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18</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22102</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住房改革支出</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方正书宋_GBK" w:hAnsi="方正书宋_GBK" w:eastAsia="方正书宋_GBK" w:cs="方正书宋_GBK"/>
              </w:rPr>
            </w:pPr>
            <w:r>
              <w:rPr>
                <w:rFonts w:hint="default" w:ascii="方正书宋_GBK" w:hAnsi="方正书宋_GBK" w:eastAsia="方正书宋_GBK" w:cs="方正书宋_GBK"/>
                <w:lang w:val="en-US" w:eastAsia="zh-CN"/>
              </w:rPr>
              <w:t>19</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2210201</w:t>
            </w: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ascii="方正书宋_GBK" w:hAnsi="方正书宋_GBK" w:eastAsia="方正书宋_GBK" w:cs="方正书宋_GBK"/>
              </w:rPr>
            </w:pPr>
            <w:r>
              <w:rPr>
                <w:rFonts w:hint="eastAsia" w:ascii="宋体" w:hAnsi="宋体" w:eastAsia="宋体" w:cs="宋体"/>
                <w:i w:val="0"/>
                <w:iCs w:val="0"/>
                <w:color w:val="000000"/>
                <w:kern w:val="0"/>
                <w:sz w:val="22"/>
                <w:szCs w:val="22"/>
                <w:u w:val="none"/>
                <w:lang w:val="en-US" w:eastAsia="zh-CN" w:bidi="ar"/>
              </w:rPr>
              <w:t>住房公积金</w:t>
            </w: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r>
              <w:rPr>
                <w:rFonts w:hint="default"/>
                <w:lang w:val="en-US" w:eastAsia="zh-CN"/>
              </w:rPr>
              <w:t>1</w:t>
            </w:r>
            <w:r>
              <w:rPr>
                <w:rFonts w:hint="eastAsia"/>
                <w:lang w:val="en-US" w:eastAsia="zh-CN"/>
              </w:rPr>
              <w:t>2.40</w:t>
            </w: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tblHeader/>
          <w:jc w:val="center"/>
        </w:trPr>
        <w:tc>
          <w:tcPr>
            <w:tcW w:w="283"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default" w:ascii="方正书宋_GBK" w:hAnsi="方正书宋_GBK" w:eastAsia="方正书宋_GBK" w:cs="方正书宋_GBK"/>
                <w:lang w:val="en-US" w:eastAsia="zh-CN"/>
              </w:rPr>
            </w:pP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40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2011"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2546"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hint="default"/>
                <w:lang w:val="en-US" w:eastAsia="zh-CN"/>
              </w:rPr>
            </w:pPr>
          </w:p>
        </w:tc>
        <w:tc>
          <w:tcPr>
            <w:tcW w:w="4269" w:type="dxa"/>
            <w:tcBorders>
              <w:top w:val="single" w:color="000000" w:sz="4" w:space="0"/>
              <w:left w:val="single" w:color="000000" w:sz="4" w:space="0"/>
              <w:bottom w:val="single" w:color="000000" w:sz="4" w:space="0"/>
              <w:right w:val="single" w:color="000000" w:sz="4" w:space="0"/>
            </w:tcBorders>
            <w:noWrap w:val="0"/>
            <w:vAlign w:val="top"/>
          </w:tcPr>
          <w:p>
            <w:pPr>
              <w:pStyle w:val="12"/>
              <w:jc w:val="left"/>
              <w:rPr>
                <w:rFonts w:ascii="方正书宋_GBK" w:hAnsi="方正书宋_GBK" w:eastAsia="方正书宋_GBK" w:cs="方正书宋_GBK"/>
              </w:rPr>
            </w:pPr>
          </w:p>
        </w:tc>
      </w:tr>
    </w:tbl>
    <w:p>
      <w:pPr>
        <w:jc w:val="center"/>
        <w:outlineLvl w:val="1"/>
        <w:rPr>
          <w:rFonts w:hint="eastAsia" w:ascii="方正小标宋_GBK" w:hAnsi="方正小标宋_GBK" w:eastAsia="方正小标宋_GBK" w:cs="方正小标宋_GBK"/>
          <w:color w:val="000000"/>
          <w:sz w:val="36"/>
        </w:rPr>
      </w:pPr>
      <w:r>
        <w:rPr>
          <w:rFonts w:hint="eastAsia" w:ascii="方正小标宋_GBK" w:hAnsi="方正小标宋_GBK" w:eastAsia="方正小标宋_GBK" w:cs="方正小标宋_GBK"/>
          <w:color w:val="000000"/>
          <w:sz w:val="36"/>
        </w:rPr>
        <w:t>部门预算一般公共预算财政拨款基本支出表</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114"/>
        <w:gridCol w:w="1460"/>
        <w:gridCol w:w="4048"/>
        <w:gridCol w:w="3240"/>
        <w:gridCol w:w="2060"/>
        <w:gridCol w:w="30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00" w:type="pct"/>
            <w:gridSpan w:val="6"/>
            <w:tcBorders>
              <w:top w:val="single" w:color="FFFFFF" w:sz="6" w:space="0"/>
              <w:left w:val="single" w:color="FFFFFF" w:sz="6" w:space="0"/>
              <w:right w:val="single" w:color="FFFFFF" w:sz="6" w:space="0"/>
            </w:tcBorders>
            <w:noWrap w:val="0"/>
            <w:vAlign w:val="center"/>
          </w:tcPr>
          <w:p>
            <w:pPr>
              <w:pStyle w:val="17"/>
              <w:jc w:val="center"/>
            </w:pPr>
            <w:r>
              <w:rPr>
                <w:rFonts w:hint="eastAsia" w:ascii="方正小标宋_GBK" w:hAnsi="方正小标宋_GBK" w:eastAsia="方正小标宋_GBK" w:cs="方正小标宋_GBK"/>
                <w:kern w:val="0"/>
                <w:sz w:val="24"/>
              </w:rPr>
              <w:t xml:space="preserve">410阜平县统计局         </w:t>
            </w:r>
            <w:r>
              <w:rPr>
                <w:rFonts w:hint="eastAsia" w:cs="方正小标宋_GBK"/>
                <w:kern w:val="0"/>
                <w:sz w:val="24"/>
                <w:lang w:val="en-US" w:eastAsia="zh-CN"/>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预算年度：202</w:t>
            </w:r>
            <w:r>
              <w:rPr>
                <w:rFonts w:hint="eastAsia" w:cs="方正小标宋_GBK"/>
                <w:kern w:val="0"/>
                <w:sz w:val="24"/>
                <w:lang w:val="en-US" w:eastAsia="zh-CN"/>
              </w:rPr>
              <w:t>4</w:t>
            </w:r>
            <w:r>
              <w:rPr>
                <w:rFonts w:hint="eastAsia" w:ascii="方正小标宋_GBK" w:hAnsi="方正小标宋_GBK" w:eastAsia="方正小标宋_GBK" w:cs="方正小标宋_GBK"/>
                <w:kern w:val="0"/>
                <w:sz w:val="24"/>
              </w:rPr>
              <w:t xml:space="preserve">               </w:t>
            </w:r>
            <w:r>
              <w:rPr>
                <w:rFonts w:hint="eastAsia" w:ascii="方正小标宋_GBK" w:hAnsi="方正小标宋_GBK" w:eastAsia="方正小标宋_GBK"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hint="eastAsia" w:cs="方正小标宋_GBK"/>
                <w:kern w:val="0"/>
                <w:sz w:val="24"/>
                <w:lang w:val="en-US" w:eastAsia="zh-CN"/>
              </w:rPr>
              <w:t xml:space="preserve">  </w:t>
            </w:r>
            <w:r>
              <w:rPr>
                <w:rFonts w:hint="eastAsia" w:ascii="方正小标宋_GBK" w:hAnsi="方正小标宋_GBK" w:eastAsia="方正小标宋_GBK" w:cs="方正小标宋_GBK"/>
                <w:kern w:val="0"/>
                <w:sz w:val="24"/>
              </w:rPr>
              <w:t xml:space="preserve">            </w:t>
            </w:r>
            <w:r>
              <w:rPr>
                <w:rFonts w:ascii="方正小标宋_GBK" w:hAnsi="方正小标宋_GBK" w:eastAsia="方正小标宋_GBK" w:cs="方正小标宋_GBK"/>
                <w:kern w:val="0"/>
                <w:sz w:val="24"/>
                <w:lang w:eastAsia="uk-UA"/>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vMerge w:val="restar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序号</w:t>
            </w:r>
          </w:p>
        </w:tc>
        <w:tc>
          <w:tcPr>
            <w:tcW w:w="1834" w:type="pct"/>
            <w:gridSpan w:val="2"/>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部门预算支出经济分类科目</w:t>
            </w:r>
          </w:p>
        </w:tc>
        <w:tc>
          <w:tcPr>
            <w:tcW w:w="2793" w:type="pct"/>
            <w:gridSpan w:val="3"/>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本年一般公共预算基本支出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vMerge w:val="continue"/>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科目编码</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科目名称</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合计</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人员经费</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公用经费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371"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栏次</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2</w:t>
            </w:r>
          </w:p>
        </w:tc>
        <w:tc>
          <w:tcPr>
            <w:tcW w:w="1079"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3</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4</w:t>
            </w:r>
          </w:p>
        </w:tc>
        <w:tc>
          <w:tcPr>
            <w:tcW w:w="1028" w:type="pct"/>
            <w:tcBorders>
              <w:top w:val="single" w:color="000000" w:sz="4" w:space="0"/>
              <w:left w:val="single" w:color="000000" w:sz="4" w:space="0"/>
              <w:bottom w:val="single" w:color="000000" w:sz="4" w:space="0"/>
              <w:right w:val="single" w:color="000000" w:sz="4" w:space="0"/>
            </w:tcBorders>
            <w:noWrap w:val="0"/>
            <w:vAlign w:val="center"/>
          </w:tcPr>
          <w:p>
            <w:pPr>
              <w:pStyle w:val="11"/>
              <w:rPr>
                <w:rFonts w:hint="eastAsia"/>
              </w:rPr>
            </w:pPr>
            <w:r>
              <w:rPr>
                <w:rFonts w:hint="eastAsia"/>
              </w:rP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b/>
                <w:bCs/>
              </w:rPr>
            </w:pPr>
            <w:r>
              <w:rPr>
                <w:rFonts w:hint="default" w:ascii="Calibri" w:hAnsi="Calibri" w:eastAsia="宋体" w:cs="Calibri"/>
                <w:b/>
                <w:bCs/>
                <w:i w:val="0"/>
                <w:iCs w:val="0"/>
                <w:color w:val="000000"/>
                <w:kern w:val="0"/>
                <w:sz w:val="22"/>
                <w:szCs w:val="22"/>
                <w:u w:val="none"/>
                <w:lang w:val="en-US" w:eastAsia="zh-CN" w:bidi="ar"/>
              </w:rPr>
              <w:t>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b/>
                <w:bCs/>
              </w:rPr>
            </w:pPr>
            <w:r>
              <w:rPr>
                <w:rFonts w:hint="eastAsia" w:ascii="宋体" w:hAnsi="宋体" w:eastAsia="宋体" w:cs="宋体"/>
                <w:b/>
                <w:bCs/>
                <w:i w:val="0"/>
                <w:iCs w:val="0"/>
                <w:color w:val="000000"/>
                <w:kern w:val="0"/>
                <w:sz w:val="22"/>
                <w:szCs w:val="22"/>
                <w:u w:val="none"/>
                <w:lang w:val="en-US" w:eastAsia="zh-CN" w:bidi="ar"/>
              </w:rPr>
              <w:t>合计</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b/>
                <w:bCs/>
              </w:rPr>
            </w:pP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1</w:t>
            </w:r>
            <w:r>
              <w:rPr>
                <w:rFonts w:hint="eastAsia" w:ascii="Calibri" w:hAnsi="Calibri" w:eastAsia="宋体" w:cs="Calibri"/>
                <w:b/>
                <w:bCs/>
                <w:i w:val="0"/>
                <w:iCs w:val="0"/>
                <w:color w:val="000000"/>
                <w:kern w:val="0"/>
                <w:sz w:val="22"/>
                <w:szCs w:val="22"/>
                <w:u w:val="none"/>
                <w:lang w:val="en-US" w:eastAsia="zh-CN" w:bidi="ar"/>
              </w:rPr>
              <w:t>94.78</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default" w:ascii="Calibri" w:hAnsi="Calibri" w:eastAsia="宋体" w:cs="Calibri"/>
                <w:b/>
                <w:bCs/>
                <w:i w:val="0"/>
                <w:iCs w:val="0"/>
                <w:color w:val="000000"/>
                <w:kern w:val="0"/>
                <w:sz w:val="22"/>
                <w:szCs w:val="22"/>
                <w:u w:val="none"/>
                <w:lang w:val="en-US" w:eastAsia="zh-CN" w:bidi="ar"/>
              </w:rPr>
              <w:t>1</w:t>
            </w:r>
            <w:r>
              <w:rPr>
                <w:rFonts w:hint="eastAsia" w:ascii="Calibri" w:hAnsi="Calibri" w:eastAsia="宋体" w:cs="Calibri"/>
                <w:b/>
                <w:bCs/>
                <w:i w:val="0"/>
                <w:iCs w:val="0"/>
                <w:color w:val="000000"/>
                <w:kern w:val="0"/>
                <w:sz w:val="22"/>
                <w:szCs w:val="22"/>
                <w:u w:val="none"/>
                <w:lang w:val="en-US" w:eastAsia="zh-CN" w:bidi="ar"/>
              </w:rPr>
              <w:t>67.24</w:t>
            </w:r>
            <w:r>
              <w:rPr>
                <w:rFonts w:hint="default" w:ascii="Calibri" w:hAnsi="Calibri" w:eastAsia="宋体" w:cs="Calibri"/>
                <w:b/>
                <w:bCs/>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eastAsia="方正书宋_GBK"/>
                <w:b/>
                <w:bCs/>
                <w:lang w:val="en-US" w:eastAsia="zh-CN"/>
              </w:rPr>
            </w:pPr>
            <w:r>
              <w:rPr>
                <w:rFonts w:hint="eastAsia" w:eastAsia="方正书宋_GBK"/>
                <w:b/>
                <w:bCs/>
                <w:lang w:val="en-US" w:eastAsia="zh-CN"/>
              </w:rPr>
              <w:t>27.54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工资福利支出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54.98</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154.98</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基本工资</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63.10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6</w:t>
            </w:r>
            <w:r>
              <w:rPr>
                <w:rFonts w:hint="eastAsia" w:ascii="Calibri" w:hAnsi="Calibri" w:eastAsia="宋体" w:cs="Calibri"/>
                <w:i w:val="0"/>
                <w:iCs w:val="0"/>
                <w:color w:val="000000"/>
                <w:kern w:val="0"/>
                <w:sz w:val="22"/>
                <w:szCs w:val="22"/>
                <w:u w:val="none"/>
                <w:lang w:val="en-US" w:eastAsia="zh-CN" w:bidi="ar"/>
              </w:rPr>
              <w:t>3.10</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津贴补贴</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9.35</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9.36</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奖金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21.03</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eastAsia" w:ascii="Calibri" w:hAnsi="Calibri" w:eastAsia="宋体" w:cs="Calibri"/>
                <w:i w:val="0"/>
                <w:iCs w:val="0"/>
                <w:color w:val="000000"/>
                <w:kern w:val="0"/>
                <w:sz w:val="22"/>
                <w:szCs w:val="22"/>
                <w:u w:val="none"/>
                <w:lang w:val="en-US" w:eastAsia="zh-CN" w:bidi="ar"/>
              </w:rPr>
              <w:t>21.03</w:t>
            </w: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伙食补助费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绩效工资</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17.35</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eastAsia" w:ascii="Calibri" w:hAnsi="Calibri" w:eastAsia="宋体" w:cs="Calibri"/>
                <w:i w:val="0"/>
                <w:iCs w:val="0"/>
                <w:color w:val="000000"/>
                <w:kern w:val="0"/>
                <w:sz w:val="22"/>
                <w:szCs w:val="22"/>
                <w:u w:val="none"/>
                <w:lang w:val="en-US" w:eastAsia="zh-CN" w:bidi="ar"/>
              </w:rPr>
              <w:t>17.35</w:t>
            </w: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职业年金缴费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30110</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职工基本医疗保险缴费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8.00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eastAsia" w:ascii="Calibri" w:hAnsi="Calibri" w:eastAsia="宋体" w:cs="Calibri"/>
                <w:i w:val="0"/>
                <w:iCs w:val="0"/>
                <w:color w:val="000000"/>
                <w:kern w:val="0"/>
                <w:sz w:val="22"/>
                <w:szCs w:val="22"/>
                <w:u w:val="none"/>
                <w:lang w:val="en-US" w:eastAsia="zh-CN" w:bidi="ar"/>
              </w:rPr>
              <w:t>8.00</w:t>
            </w: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w:t>
            </w:r>
            <w:r>
              <w:rPr>
                <w:rFonts w:hint="eastAsia" w:ascii="Calibri" w:hAnsi="Calibri" w:eastAsia="宋体" w:cs="Calibri"/>
                <w:i w:val="0"/>
                <w:iCs w:val="0"/>
                <w:color w:val="000000"/>
                <w:kern w:val="0"/>
                <w:sz w:val="22"/>
                <w:szCs w:val="22"/>
                <w:u w:val="none"/>
                <w:lang w:val="en-US" w:eastAsia="zh-CN" w:bidi="ar"/>
              </w:rPr>
              <w:t>10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w:t>
            </w:r>
            <w:r>
              <w:rPr>
                <w:rFonts w:hint="eastAsia" w:ascii="Calibri" w:hAnsi="Calibri" w:eastAsia="宋体" w:cs="Calibri"/>
                <w:i w:val="0"/>
                <w:iCs w:val="0"/>
                <w:color w:val="000000"/>
                <w:kern w:val="0"/>
                <w:sz w:val="22"/>
                <w:szCs w:val="22"/>
                <w:u w:val="none"/>
                <w:lang w:val="en-US" w:eastAsia="zh-CN" w:bidi="ar"/>
              </w:rPr>
              <w:t>10</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其他社会保障缴费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0</w:t>
            </w:r>
            <w:r>
              <w:rPr>
                <w:rFonts w:hint="eastAsia" w:ascii="Calibri" w:hAnsi="Calibri" w:eastAsia="宋体" w:cs="Calibri"/>
                <w:i w:val="0"/>
                <w:iCs w:val="0"/>
                <w:color w:val="000000"/>
                <w:kern w:val="0"/>
                <w:sz w:val="22"/>
                <w:szCs w:val="22"/>
                <w:u w:val="none"/>
                <w:lang w:val="en-US" w:eastAsia="zh-CN" w:bidi="ar"/>
              </w:rPr>
              <w:t>.64</w:t>
            </w:r>
            <w:r>
              <w:rPr>
                <w:rFonts w:hint="default" w:ascii="Calibri" w:hAnsi="Calibri" w:eastAsia="宋体" w:cs="Calibri"/>
                <w:i w:val="0"/>
                <w:iCs w:val="0"/>
                <w:color w:val="000000"/>
                <w:kern w:val="0"/>
                <w:sz w:val="22"/>
                <w:szCs w:val="22"/>
                <w:u w:val="none"/>
                <w:lang w:val="en-US" w:eastAsia="zh-CN" w:bidi="ar"/>
              </w:rPr>
              <w:t xml:space="preserve">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0.</w:t>
            </w:r>
            <w:r>
              <w:rPr>
                <w:rFonts w:hint="eastAsia" w:ascii="Calibri" w:hAnsi="Calibri" w:eastAsia="宋体" w:cs="Calibri"/>
                <w:i w:val="0"/>
                <w:iCs w:val="0"/>
                <w:color w:val="000000"/>
                <w:kern w:val="0"/>
                <w:sz w:val="22"/>
                <w:szCs w:val="22"/>
                <w:u w:val="none"/>
                <w:lang w:val="en-US" w:eastAsia="zh-CN" w:bidi="ar"/>
              </w:rPr>
              <w:t>64</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住房公积金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2.40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2.40</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30114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医疗费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30199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其他工资福利支出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商品和服务支出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27.54</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27.54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办公费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1.34</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1.34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印刷费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咨询费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6"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手续费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水费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电费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邮电费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9.00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9.00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取暖费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物业管理费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差旅费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60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1.</w:t>
            </w:r>
            <w:r>
              <w:rPr>
                <w:rFonts w:hint="eastAsia" w:ascii="Calibri" w:hAnsi="Calibri" w:eastAsia="宋体" w:cs="Calibri"/>
                <w:i w:val="0"/>
                <w:iCs w:val="0"/>
                <w:color w:val="000000"/>
                <w:kern w:val="0"/>
                <w:sz w:val="22"/>
                <w:szCs w:val="22"/>
                <w:u w:val="none"/>
                <w:lang w:val="en-US" w:eastAsia="zh-CN" w:bidi="ar"/>
              </w:rPr>
              <w:t>60</w:t>
            </w: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因公出国（境）费用</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教学科研人员因公出国（境）费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29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3021202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其他因公出国（境）费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维修(护)费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租赁费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会议费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培训费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公务接待费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30218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专用材料费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1"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被装购置费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专用燃料费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30226</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劳务费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39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30227</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委托业务费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工会经费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47"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30229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福利费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30231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4.00 </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4.00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30239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其他交通费用</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11.60</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 xml:space="preserve"> </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Calibri" w:hAnsi="Calibri" w:eastAsia="宋体" w:cs="Calibri"/>
                <w:i w:val="0"/>
                <w:iCs w:val="0"/>
                <w:color w:val="000000"/>
                <w:kern w:val="0"/>
                <w:sz w:val="22"/>
                <w:szCs w:val="22"/>
                <w:u w:val="none"/>
                <w:lang w:val="en-US" w:eastAsia="zh-CN" w:bidi="ar"/>
              </w:rPr>
              <w:t>11.60</w:t>
            </w: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30299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12.26</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12.26</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30301</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离休费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1"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47</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退休费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11.81</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11.81</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48</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退职（役）费</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49</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30304</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抚恤金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50</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30305</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生活补助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51</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30308</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助学金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52</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30309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奖励金</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0.45</w:t>
            </w: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0.45</w:t>
            </w: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53</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30399</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其他对个人和家庭的补助</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2"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54</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资本性支出</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55</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31002</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办公设备购置</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371"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default" w:ascii="方正书宋_GBK" w:hAnsi="方正书宋_GBK" w:eastAsia="方正书宋_GBK" w:cs="方正书宋_GBK"/>
                <w:lang w:val="en-US" w:eastAsia="zh-CN"/>
              </w:rPr>
            </w:pPr>
            <w:r>
              <w:rPr>
                <w:rFonts w:hint="default" w:ascii="Calibri" w:hAnsi="Calibri" w:eastAsia="宋体" w:cs="Calibri"/>
                <w:i w:val="0"/>
                <w:iCs w:val="0"/>
                <w:color w:val="000000"/>
                <w:kern w:val="0"/>
                <w:sz w:val="22"/>
                <w:szCs w:val="22"/>
                <w:u w:val="none"/>
                <w:lang w:val="en-US" w:eastAsia="zh-CN" w:bidi="ar"/>
              </w:rPr>
              <w:t>56</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31003</w:t>
            </w:r>
          </w:p>
        </w:tc>
        <w:tc>
          <w:tcPr>
            <w:tcW w:w="134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方正书宋_GBK" w:hAnsi="方正书宋_GBK" w:eastAsia="方正书宋_GBK" w:cs="方正书宋_GBK"/>
                <w:lang w:val="en-US" w:eastAsia="zh-CN"/>
              </w:rPr>
            </w:pPr>
            <w:r>
              <w:rPr>
                <w:rFonts w:hint="eastAsia" w:ascii="宋体" w:hAnsi="宋体" w:eastAsia="宋体" w:cs="宋体"/>
                <w:i w:val="0"/>
                <w:iCs w:val="0"/>
                <w:color w:val="000000"/>
                <w:kern w:val="0"/>
                <w:sz w:val="22"/>
                <w:szCs w:val="22"/>
                <w:u w:val="none"/>
                <w:lang w:val="en-US" w:eastAsia="zh-CN" w:bidi="ar"/>
              </w:rPr>
              <w:t>专用设备购置</w:t>
            </w:r>
          </w:p>
        </w:tc>
        <w:tc>
          <w:tcPr>
            <w:tcW w:w="1079"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68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c>
          <w:tcPr>
            <w:tcW w:w="102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default" w:ascii="方正书宋_GBK" w:hAnsi="方正书宋_GBK" w:eastAsia="方正书宋_GBK" w:cs="方正书宋_GBK"/>
                <w:lang w:val="en-US" w:eastAsia="zh-CN"/>
              </w:rPr>
            </w:pPr>
          </w:p>
        </w:tc>
      </w:tr>
    </w:tbl>
    <w:p>
      <w:pPr>
        <w:widowControl/>
        <w:jc w:val="both"/>
        <w:outlineLvl w:val="1"/>
        <w:rPr>
          <w:rFonts w:ascii="方正小标宋_GBK" w:hAnsi="方正小标宋_GBK" w:eastAsia="方正小标宋_GBK" w:cs="方正小标宋_GBK"/>
          <w:color w:val="000000"/>
          <w:kern w:val="0"/>
          <w:sz w:val="36"/>
          <w:lang w:eastAsia="uk-UA"/>
        </w:rPr>
      </w:pPr>
      <w:bookmarkStart w:id="4" w:name="_Toc_2_2_0000000007"/>
    </w:p>
    <w:p>
      <w:pPr>
        <w:widowControl/>
        <w:jc w:val="both"/>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widowControl/>
        <w:jc w:val="both"/>
        <w:outlineLvl w:val="1"/>
        <w:rPr>
          <w:rFonts w:ascii="方正小标宋_GBK" w:hAnsi="方正小标宋_GBK" w:eastAsia="方正小标宋_GBK" w:cs="方正小标宋_GBK"/>
          <w:color w:val="000000"/>
          <w:kern w:val="0"/>
          <w:sz w:val="36"/>
          <w:lang w:eastAsia="uk-UA"/>
        </w:rPr>
      </w:pPr>
    </w:p>
    <w:p>
      <w:pPr>
        <w:jc w:val="center"/>
        <w:outlineLvl w:val="1"/>
        <w:rPr>
          <w:rFonts w:ascii="方正小标宋_GBK" w:hAnsi="方正小标宋_GBK" w:eastAsia="方正小标宋_GBK" w:cs="方正小标宋_GBK"/>
          <w:color w:val="000000"/>
          <w:sz w:val="36"/>
          <w:lang w:eastAsia="uk-UA"/>
        </w:rPr>
      </w:pPr>
      <w:r>
        <w:rPr>
          <w:rFonts w:ascii="方正小标宋_GBK" w:hAnsi="方正小标宋_GBK" w:eastAsia="方正小标宋_GBK" w:cs="方正小标宋_GBK"/>
          <w:color w:val="000000"/>
          <w:sz w:val="36"/>
        </w:rPr>
        <w:t>部门预算政府基金预算财政拨款支出表</w:t>
      </w:r>
    </w:p>
    <w:bookmarkEnd w:id="4"/>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551"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val="en-US"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注：无政府基金预算财政拨款预算，空表列示。</w:t>
      </w:r>
      <w:bookmarkStart w:id="5" w:name="_Toc_2_2_0000000008"/>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center"/>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both"/>
        <w:outlineLvl w:val="1"/>
        <w:rPr>
          <w:rFonts w:hint="eastAsia" w:ascii="方正书宋_GBK" w:hAnsi="方正书宋_GBK" w:eastAsia="方正书宋_GBK" w:cs="方正书宋_GBK"/>
          <w:color w:val="000000"/>
          <w:kern w:val="0"/>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p>
      <w:pPr>
        <w:widowControl/>
        <w:jc w:val="center"/>
        <w:outlineLvl w:val="1"/>
        <w:rPr>
          <w:rFonts w:ascii="方正书宋_GBK" w:hAnsi="方正书宋_GBK" w:eastAsia="方正书宋_GBK" w:cs="方正书宋_GBK"/>
          <w:color w:val="000000"/>
          <w:kern w:val="0"/>
          <w:lang w:eastAsia="uk-UA"/>
        </w:rPr>
      </w:pPr>
    </w:p>
    <w:bookmarkEnd w:id="5"/>
    <w:p>
      <w:pPr>
        <w:jc w:val="center"/>
        <w:outlineLvl w:val="1"/>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sz w:val="36"/>
        </w:rPr>
        <w:t>部门预算国有资本经营预算财政拨款支出表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551"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val="en-US"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5726" w:type="dxa"/>
            <w:gridSpan w:val="2"/>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功能分类科目</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基本支出</w:t>
            </w:r>
          </w:p>
        </w:tc>
        <w:tc>
          <w:tcPr>
            <w:tcW w:w="2551"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widowControl/>
              <w:jc w:val="left"/>
              <w:rPr>
                <w:rFonts w:ascii="Times New Roman" w:hAnsi="Times New Roman" w:eastAsia="Times New Roman" w:cs="Times New Roman"/>
                <w:kern w:val="0"/>
                <w:sz w:val="24"/>
                <w:lang w:eastAsia="uk-UA"/>
              </w:rPr>
            </w:pP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科目编码</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科目名称</w:t>
            </w: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c>
          <w:tcPr>
            <w:tcW w:w="2551" w:type="dxa"/>
            <w:vMerge w:val="continue"/>
          </w:tcPr>
          <w:p>
            <w:pPr>
              <w:widowControl/>
              <w:jc w:val="left"/>
              <w:rPr>
                <w:rFonts w:ascii="Times New Roman" w:hAnsi="Times New Roman" w:eastAsia="Times New Roman" w:cs="Times New Roman"/>
                <w:kern w:val="0"/>
                <w:sz w:val="24"/>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119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453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551"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rPr>
                <w:rFonts w:ascii="方正书宋_GBK" w:hAnsi="方正书宋_GBK" w:eastAsia="方正书宋_GBK" w:cs="方正书宋_GBK"/>
                <w:kern w:val="0"/>
                <w:lang w:eastAsia="uk-UA"/>
              </w:rPr>
            </w:pPr>
          </w:p>
        </w:tc>
        <w:tc>
          <w:tcPr>
            <w:tcW w:w="1191" w:type="dxa"/>
            <w:vAlign w:val="center"/>
          </w:tcPr>
          <w:p>
            <w:pPr>
              <w:rPr>
                <w:rFonts w:ascii="方正书宋_GBK" w:hAnsi="方正书宋_GBK" w:eastAsia="方正书宋_GBK" w:cs="方正书宋_GBK"/>
                <w:kern w:val="0"/>
                <w:lang w:eastAsia="uk-UA"/>
              </w:rPr>
            </w:pPr>
          </w:p>
        </w:tc>
        <w:tc>
          <w:tcPr>
            <w:tcW w:w="4535" w:type="dxa"/>
            <w:vAlign w:val="center"/>
          </w:tcPr>
          <w:p>
            <w:pPr>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c>
          <w:tcPr>
            <w:tcW w:w="2551" w:type="dxa"/>
            <w:vAlign w:val="center"/>
          </w:tcPr>
          <w:p>
            <w:pPr>
              <w:jc w:val="right"/>
              <w:rPr>
                <w:rFonts w:ascii="方正书宋_GBK" w:hAnsi="方正书宋_GBK" w:eastAsia="方正书宋_GBK" w:cs="方正书宋_GBK"/>
                <w:kern w:val="0"/>
                <w:lang w:eastAsia="uk-UA"/>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注：无国有资本经营预算财政拨款预算，空表列示。</w:t>
      </w:r>
      <w:bookmarkStart w:id="6" w:name="_Toc_2_2_0000000009"/>
    </w:p>
    <w:p>
      <w:pPr>
        <w:widowControl/>
        <w:jc w:val="center"/>
        <w:outlineLvl w:val="1"/>
        <w:rPr>
          <w:rFonts w:ascii="方正书宋_GBK" w:hAnsi="方正书宋_GBK" w:eastAsia="方正书宋_GBK" w:cs="方正书宋_GBK"/>
          <w:color w:val="000000"/>
          <w:kern w:val="0"/>
          <w:lang w:eastAsia="uk-UA"/>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hint="eastAsia" w:ascii="方正书宋_GBK" w:hAnsi="方正书宋_GBK" w:eastAsia="方正书宋_GBK" w:cs="方正书宋_GBK"/>
          <w:color w:val="000000"/>
          <w:kern w:val="0"/>
        </w:rPr>
      </w:pPr>
    </w:p>
    <w:p>
      <w:pPr>
        <w:widowControl/>
        <w:outlineLvl w:val="1"/>
        <w:rPr>
          <w:rFonts w:ascii="方正书宋_GBK" w:hAnsi="方正书宋_GBK" w:eastAsia="方正书宋_GBK" w:cs="方正书宋_GBK"/>
          <w:color w:val="000000"/>
          <w:kern w:val="0"/>
          <w:lang w:eastAsia="uk-UA"/>
        </w:rPr>
      </w:pPr>
    </w:p>
    <w:p>
      <w:pPr>
        <w:widowControl/>
        <w:jc w:val="center"/>
        <w:outlineLvl w:val="1"/>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部门预算财政拨款“三公”经费支出表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
        <w:gridCol w:w="3789"/>
        <w:gridCol w:w="2376"/>
        <w:gridCol w:w="2375"/>
        <w:gridCol w:w="2375"/>
        <w:gridCol w:w="237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blHeader/>
          <w:jc w:val="center"/>
        </w:trPr>
        <w:tc>
          <w:tcPr>
            <w:tcW w:w="7013" w:type="dxa"/>
            <w:gridSpan w:val="3"/>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410阜平县统计局</w:t>
            </w:r>
          </w:p>
        </w:tc>
        <w:tc>
          <w:tcPr>
            <w:tcW w:w="2375" w:type="dxa"/>
            <w:tcBorders>
              <w:top w:val="single" w:color="FFFFFF" w:sz="6" w:space="0"/>
              <w:left w:val="single" w:color="FFFFFF" w:sz="6" w:space="0"/>
              <w:right w:val="single" w:color="FFFFFF" w:sz="6" w:space="0"/>
            </w:tcBorders>
            <w:vAlign w:val="center"/>
          </w:tcPr>
          <w:p>
            <w:pPr>
              <w:jc w:val="center"/>
              <w:rPr>
                <w:rFonts w:hint="eastAsia" w:ascii="方正小标宋_GBK" w:hAnsi="方正小标宋_GBK" w:eastAsia="方正小标宋_GBK" w:cs="方正小标宋_GBK"/>
                <w:kern w:val="0"/>
                <w:sz w:val="24"/>
                <w:lang w:val="en-US" w:eastAsia="zh-CN"/>
              </w:rPr>
            </w:pPr>
            <w:r>
              <w:rPr>
                <w:rFonts w:ascii="方正小标宋_GBK" w:hAnsi="方正小标宋_GBK" w:eastAsia="方正小标宋_GBK" w:cs="方正小标宋_GBK"/>
                <w:kern w:val="0"/>
                <w:sz w:val="24"/>
                <w:lang w:eastAsia="uk-UA"/>
              </w:rPr>
              <w:t>预算年度：202</w:t>
            </w:r>
            <w:r>
              <w:rPr>
                <w:rFonts w:hint="eastAsia" w:ascii="方正小标宋_GBK" w:hAnsi="方正小标宋_GBK" w:eastAsia="方正小标宋_GBK" w:cs="方正小标宋_GBK"/>
                <w:kern w:val="0"/>
                <w:sz w:val="24"/>
                <w:lang w:val="en-US" w:eastAsia="zh-CN"/>
              </w:rPr>
              <w:t>4</w:t>
            </w:r>
          </w:p>
        </w:tc>
        <w:tc>
          <w:tcPr>
            <w:tcW w:w="4750"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4" w:hRule="atLeast"/>
          <w:tblHeader/>
          <w:jc w:val="center"/>
        </w:trPr>
        <w:tc>
          <w:tcPr>
            <w:tcW w:w="848"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序号</w:t>
            </w:r>
          </w:p>
        </w:tc>
        <w:tc>
          <w:tcPr>
            <w:tcW w:w="3789" w:type="dxa"/>
            <w:vMerge w:val="restart"/>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9501" w:type="dxa"/>
            <w:gridSpan w:val="4"/>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blHeader/>
          <w:jc w:val="center"/>
        </w:trPr>
        <w:tc>
          <w:tcPr>
            <w:tcW w:w="848" w:type="dxa"/>
            <w:vMerge w:val="continue"/>
          </w:tcPr>
          <w:p>
            <w:pPr>
              <w:widowControl/>
              <w:jc w:val="left"/>
              <w:rPr>
                <w:rFonts w:ascii="Times New Roman" w:hAnsi="Times New Roman" w:eastAsia="Times New Roman" w:cs="Times New Roman"/>
                <w:kern w:val="0"/>
                <w:sz w:val="24"/>
                <w:lang w:eastAsia="uk-UA"/>
              </w:rPr>
            </w:pPr>
          </w:p>
        </w:tc>
        <w:tc>
          <w:tcPr>
            <w:tcW w:w="3789" w:type="dxa"/>
            <w:vMerge w:val="continue"/>
          </w:tcPr>
          <w:p>
            <w:pPr>
              <w:widowControl/>
              <w:jc w:val="left"/>
              <w:rPr>
                <w:rFonts w:ascii="Times New Roman" w:hAnsi="Times New Roman" w:eastAsia="Times New Roman" w:cs="Times New Roman"/>
                <w:kern w:val="0"/>
                <w:sz w:val="24"/>
                <w:lang w:eastAsia="uk-UA"/>
              </w:rPr>
            </w:pP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一般公共预算              财政拨款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政府性基金                  预算拨款</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tblHeader/>
          <w:jc w:val="center"/>
        </w:trPr>
        <w:tc>
          <w:tcPr>
            <w:tcW w:w="848"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栏次</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1</w:t>
            </w:r>
          </w:p>
        </w:tc>
        <w:tc>
          <w:tcPr>
            <w:tcW w:w="2376"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2</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3</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4</w:t>
            </w:r>
          </w:p>
        </w:tc>
        <w:tc>
          <w:tcPr>
            <w:tcW w:w="2375"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w:t>
            </w:r>
          </w:p>
        </w:tc>
        <w:tc>
          <w:tcPr>
            <w:tcW w:w="3789" w:type="dxa"/>
            <w:vAlign w:val="center"/>
          </w:tcPr>
          <w:p>
            <w:pPr>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合计</w:t>
            </w:r>
          </w:p>
        </w:tc>
        <w:tc>
          <w:tcPr>
            <w:tcW w:w="2376" w:type="dxa"/>
            <w:vAlign w:val="center"/>
          </w:tcPr>
          <w:p>
            <w:pPr>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r>
              <w:rPr>
                <w:rFonts w:ascii="方正书宋_GBK" w:hAnsi="方正书宋_GBK" w:eastAsia="方正书宋_GBK" w:cs="方正书宋_GBK"/>
                <w:b/>
                <w:kern w:val="0"/>
                <w:lang w:eastAsia="uk-UA"/>
              </w:rPr>
              <w:t>0</w:t>
            </w:r>
          </w:p>
        </w:tc>
        <w:tc>
          <w:tcPr>
            <w:tcW w:w="2375" w:type="dxa"/>
            <w:vAlign w:val="center"/>
          </w:tcPr>
          <w:p>
            <w:pPr>
              <w:jc w:val="center"/>
              <w:rPr>
                <w:rFonts w:ascii="方正书宋_GBK" w:hAnsi="方正书宋_GBK" w:eastAsia="方正书宋_GBK" w:cs="方正书宋_GBK"/>
                <w:b/>
                <w:kern w:val="0"/>
              </w:rPr>
            </w:pPr>
            <w:r>
              <w:rPr>
                <w:rFonts w:hint="eastAsia" w:ascii="方正书宋_GBK" w:hAnsi="方正书宋_GBK" w:eastAsia="方正书宋_GBK" w:cs="方正书宋_GBK"/>
                <w:b/>
                <w:kern w:val="0"/>
              </w:rPr>
              <w:t>4.0</w:t>
            </w:r>
          </w:p>
        </w:tc>
        <w:tc>
          <w:tcPr>
            <w:tcW w:w="2375" w:type="dxa"/>
            <w:vAlign w:val="center"/>
          </w:tcPr>
          <w:p>
            <w:pPr>
              <w:jc w:val="right"/>
              <w:rPr>
                <w:rFonts w:ascii="方正书宋_GBK" w:hAnsi="方正书宋_GBK" w:eastAsia="方正书宋_GBK" w:cs="方正书宋_GBK"/>
                <w:b/>
                <w:kern w:val="0"/>
                <w:lang w:eastAsia="uk-UA"/>
              </w:rPr>
            </w:pPr>
          </w:p>
        </w:tc>
        <w:tc>
          <w:tcPr>
            <w:tcW w:w="2375" w:type="dxa"/>
            <w:vAlign w:val="center"/>
          </w:tcPr>
          <w:p>
            <w:pPr>
              <w:jc w:val="right"/>
              <w:rPr>
                <w:rFonts w:ascii="方正书宋_GBK" w:hAnsi="方正书宋_GBK" w:eastAsia="方正书宋_GBK" w:cs="方正书宋_GBK"/>
                <w:b/>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一、因公出国（境）费</w:t>
            </w:r>
          </w:p>
        </w:tc>
        <w:tc>
          <w:tcPr>
            <w:tcW w:w="2376"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center"/>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二、公务用车购置及运维费</w:t>
            </w:r>
          </w:p>
        </w:tc>
        <w:tc>
          <w:tcPr>
            <w:tcW w:w="2376"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w:t>
            </w:r>
            <w:r>
              <w:rPr>
                <w:rFonts w:ascii="方正书宋_GBK" w:hAnsi="方正书宋_GBK" w:eastAsia="方正书宋_GBK" w:cs="方正书宋_GBK"/>
                <w:bCs/>
                <w:kern w:val="0"/>
                <w:lang w:eastAsia="uk-UA"/>
              </w:rPr>
              <w:t>0</w:t>
            </w:r>
          </w:p>
        </w:tc>
        <w:tc>
          <w:tcPr>
            <w:tcW w:w="2375" w:type="dxa"/>
            <w:vAlign w:val="center"/>
          </w:tcPr>
          <w:p>
            <w:pPr>
              <w:jc w:val="center"/>
              <w:rPr>
                <w:rFonts w:ascii="方正书宋_GBK" w:hAnsi="方正书宋_GBK" w:eastAsia="方正书宋_GBK" w:cs="方正书宋_GBK"/>
                <w:bCs/>
                <w:kern w:val="0"/>
                <w:lang w:eastAsia="uk-UA"/>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其中：公务用车购置费</w:t>
            </w:r>
          </w:p>
        </w:tc>
        <w:tc>
          <w:tcPr>
            <w:tcW w:w="2376"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center"/>
              <w:rPr>
                <w:rFonts w:ascii="方正书宋_GBK" w:hAnsi="方正书宋_GBK" w:eastAsia="方正书宋_GBK" w:cs="方正书宋_GBK"/>
                <w:bCs/>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5</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xml:space="preserve">          公务用车运行维护费</w:t>
            </w:r>
          </w:p>
        </w:tc>
        <w:tc>
          <w:tcPr>
            <w:tcW w:w="2376"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center"/>
              <w:rPr>
                <w:rFonts w:ascii="方正书宋_GBK" w:hAnsi="方正书宋_GBK" w:eastAsia="方正书宋_GBK" w:cs="方正书宋_GBK"/>
                <w:bCs/>
                <w:kern w:val="0"/>
              </w:rPr>
            </w:pPr>
            <w:r>
              <w:rPr>
                <w:rFonts w:hint="eastAsia" w:ascii="方正书宋_GBK" w:hAnsi="方正书宋_GBK" w:eastAsia="方正书宋_GBK" w:cs="方正书宋_GBK"/>
                <w:bCs/>
                <w:kern w:val="0"/>
              </w:rPr>
              <w:t>4.0</w:t>
            </w: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848" w:type="dxa"/>
            <w:vAlign w:val="center"/>
          </w:tcPr>
          <w:p>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3789" w:type="dxa"/>
            <w:vAlign w:val="center"/>
          </w:tcPr>
          <w:p>
            <w:pPr>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三、公务接待费</w:t>
            </w:r>
          </w:p>
        </w:tc>
        <w:tc>
          <w:tcPr>
            <w:tcW w:w="2376"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c>
          <w:tcPr>
            <w:tcW w:w="2375" w:type="dxa"/>
            <w:vAlign w:val="center"/>
          </w:tcPr>
          <w:p>
            <w:pPr>
              <w:jc w:val="right"/>
              <w:rPr>
                <w:rFonts w:ascii="方正书宋_GBK" w:hAnsi="方正书宋_GBK" w:eastAsia="方正书宋_GBK" w:cs="方正书宋_GBK"/>
                <w:kern w:val="0"/>
                <w:lang w:eastAsia="uk-UA"/>
              </w:rPr>
            </w:pPr>
          </w:p>
        </w:tc>
      </w:tr>
    </w:tbl>
    <w:p>
      <w:pPr>
        <w:jc w:val="center"/>
        <w:outlineLvl w:val="0"/>
        <w:sectPr>
          <w:pgSz w:w="16840" w:h="11900" w:orient="landscape"/>
          <w:pgMar w:top="1361" w:right="1020" w:bottom="1361" w:left="1020" w:header="720" w:footer="720" w:gutter="0"/>
          <w:pgBorders>
            <w:top w:val="none" w:sz="0" w:space="0"/>
            <w:left w:val="none" w:sz="0" w:space="0"/>
            <w:bottom w:val="none" w:sz="0" w:space="0"/>
            <w:right w:val="none" w:sz="0" w:space="0"/>
          </w:pgBorders>
          <w:cols w:space="720" w:num="1"/>
        </w:sectPr>
      </w:pPr>
      <w:r>
        <w:rPr>
          <w:rFonts w:ascii="方正书宋_GBK" w:hAnsi="方正书宋_GBK" w:eastAsia="方正书宋_GBK" w:cs="方正书宋_GBK"/>
          <w:color w:val="FFFFFF"/>
          <w:kern w:val="0"/>
          <w:lang w:eastAsia="uk-UA"/>
        </w:rPr>
        <w:t>第一部分  河北省财政厅2022年部门预算信息公开情况</w:t>
      </w:r>
    </w:p>
    <w:p>
      <w:pPr>
        <w:rPr>
          <w:rFonts w:ascii="Times New Roman" w:hAnsi="Times New Roman" w:eastAsia="Times New Roman" w:cs="Times New Roman"/>
          <w:kern w:val="0"/>
          <w:sz w:val="24"/>
          <w:lang w:eastAsia="uk-UA"/>
        </w:rPr>
      </w:pPr>
    </w:p>
    <w:p>
      <w:pPr>
        <w:widowControl/>
        <w:jc w:val="center"/>
        <w:rPr>
          <w:rFonts w:hint="eastAsia" w:ascii="方正小标宋_GBK" w:hAnsi="方正小标宋_GBK" w:eastAsia="方正小标宋_GBK" w:cs="方正小标宋_GBK"/>
          <w:color w:val="000000"/>
          <w:kern w:val="0"/>
          <w:sz w:val="44"/>
        </w:rPr>
      </w:pPr>
      <w:r>
        <w:rPr>
          <w:rFonts w:hint="eastAsia" w:ascii="方正小标宋_GBK" w:hAnsi="方正小标宋_GBK" w:eastAsia="方正小标宋_GBK" w:cs="方正小标宋_GBK"/>
          <w:color w:val="000000"/>
          <w:kern w:val="0"/>
          <w:sz w:val="44"/>
        </w:rPr>
        <w:t>阜平县统计局</w:t>
      </w:r>
    </w:p>
    <w:p>
      <w:pPr>
        <w:widowControl/>
        <w:jc w:val="center"/>
        <w:rPr>
          <w:rFonts w:ascii="方正小标宋_GBK" w:hAnsi="方正小标宋_GBK" w:eastAsia="方正小标宋_GBK" w:cs="方正小标宋_GBK"/>
          <w:color w:val="000000"/>
          <w:kern w:val="0"/>
          <w:sz w:val="44"/>
          <w:lang w:eastAsia="uk-UA"/>
        </w:rPr>
      </w:pPr>
      <w:r>
        <w:rPr>
          <w:rFonts w:ascii="方正小标宋_GBK" w:hAnsi="方正小标宋_GBK" w:eastAsia="方正小标宋_GBK" w:cs="方正小标宋_GBK"/>
          <w:color w:val="000000"/>
          <w:kern w:val="0"/>
          <w:sz w:val="44"/>
          <w:lang w:eastAsia="uk-UA"/>
        </w:rPr>
        <w:t>202</w:t>
      </w:r>
      <w:r>
        <w:rPr>
          <w:rFonts w:hint="eastAsia" w:ascii="方正小标宋_GBK" w:hAnsi="方正小标宋_GBK" w:eastAsia="方正小标宋_GBK" w:cs="方正小标宋_GBK"/>
          <w:color w:val="000000"/>
          <w:kern w:val="0"/>
          <w:sz w:val="44"/>
          <w:lang w:val="en-US" w:eastAsia="zh-CN"/>
        </w:rPr>
        <w:t>4</w:t>
      </w:r>
      <w:r>
        <w:rPr>
          <w:rFonts w:ascii="方正小标宋_GBK" w:hAnsi="方正小标宋_GBK" w:eastAsia="方正小标宋_GBK" w:cs="方正小标宋_GBK"/>
          <w:color w:val="000000"/>
          <w:kern w:val="0"/>
          <w:sz w:val="44"/>
          <w:lang w:eastAsia="uk-UA"/>
        </w:rPr>
        <w:t>年部门预算信息公开情况说明</w:t>
      </w:r>
    </w:p>
    <w:p>
      <w:pPr>
        <w:widowControl/>
        <w:jc w:val="center"/>
        <w:rPr>
          <w:rFonts w:ascii="方正小标宋_GBK" w:hAnsi="方正小标宋_GBK" w:eastAsia="方正小标宋_GBK" w:cs="方正小标宋_GBK"/>
          <w:color w:val="000000"/>
          <w:kern w:val="0"/>
          <w:sz w:val="44"/>
          <w:lang w:eastAsia="uk-UA"/>
        </w:rPr>
      </w:pPr>
    </w:p>
    <w:p>
      <w:pPr>
        <w:ind w:firstLine="560" w:firstLineChars="200"/>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按照《</w:t>
      </w:r>
      <w:r>
        <w:rPr>
          <w:rFonts w:hint="eastAsia" w:ascii="Times New Roman" w:hAnsi="Times New Roman" w:eastAsia="方正仿宋_GBK" w:cs="Times New Roman"/>
          <w:color w:val="000000"/>
          <w:kern w:val="0"/>
          <w:sz w:val="28"/>
          <w:lang w:eastAsia="zh-CN"/>
        </w:rPr>
        <w:t>中华人民共和国</w:t>
      </w:r>
      <w:r>
        <w:rPr>
          <w:rFonts w:ascii="Times New Roman" w:hAnsi="Times New Roman" w:eastAsia="方正仿宋_GBK" w:cs="Times New Roman"/>
          <w:color w:val="000000"/>
          <w:kern w:val="0"/>
          <w:sz w:val="28"/>
          <w:lang w:eastAsia="uk-UA"/>
        </w:rPr>
        <w:t>预算法》、《地方预决算公开操作规程》和《关于进一步推进预算公开工作的实施意见》规定，现将</w:t>
      </w: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202</w:t>
      </w:r>
      <w:r>
        <w:rPr>
          <w:rFonts w:hint="eastAsia" w:ascii="Times New Roman" w:hAnsi="Times New Roman" w:eastAsia="方正仿宋_GBK" w:cs="Times New Roman"/>
          <w:color w:val="000000"/>
          <w:kern w:val="0"/>
          <w:sz w:val="28"/>
          <w:lang w:val="en-US" w:eastAsia="zh-CN"/>
        </w:rPr>
        <w:t>4</w:t>
      </w:r>
      <w:r>
        <w:rPr>
          <w:rFonts w:ascii="Times New Roman" w:hAnsi="Times New Roman" w:eastAsia="方正仿宋_GBK" w:cs="Times New Roman"/>
          <w:color w:val="000000"/>
          <w:kern w:val="0"/>
          <w:sz w:val="28"/>
          <w:lang w:eastAsia="uk-UA"/>
        </w:rPr>
        <w:t>年部门预算公开如下：</w:t>
      </w: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bookmarkStart w:id="7" w:name="_Toc_3_3_0000000010"/>
      <w:r>
        <w:rPr>
          <w:rFonts w:ascii="黑体" w:hAnsi="黑体" w:eastAsia="黑体" w:cs="黑体"/>
          <w:color w:val="000000"/>
          <w:kern w:val="0"/>
          <w:sz w:val="32"/>
          <w:lang w:eastAsia="uk-UA"/>
        </w:rPr>
        <w:t>一、部门职责及机构设置情况</w:t>
      </w:r>
      <w:bookmarkEnd w:id="7"/>
    </w:p>
    <w:p>
      <w:pPr>
        <w:widowControl/>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lang w:eastAsia="uk-UA"/>
        </w:rPr>
        <w:t>部门职责：</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根据《中共阜平县委办公室阜平县人民政府办公室关于印发〈阜平县统计局职能配置内设机构和人员编制规定〉的通知》（阜办字[2019]32号），现将我局主要职责说明如下：</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（一）组织领导和协调全县统计工作，确保统计数据真实、准确、完整、及时。</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二）制定统计建设规划、统计调查计划、统计调查制度，指导和规范全县统计行政执法工作，监督检查统计法律、法规贯彻实施情况，组织实施统计法律法规宣传教育，依法查处统计违法行为，开展防范和惩治统计造假弄虚作假统计督察。组织实施统计执法监督检查和“双随机”抽查，依法查处统计违法案件，预防和查处统计造假、弄虚作假，受理、办理、督办统计违法举报，指导监督全县统计执法检查工作。</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（三）贯彻执行上级国民经济核算制度；核算全县地区生产总值及派生产业增加值；组织实施投入产出调查工作；整理、测算和提供国民经济核算资料。</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（四）拟定重大闲情县力调查计划、方案，组织实施全县人口、经济、农业等重大普查调查，汇总、整理和提供有关县情县力方面的统计数据。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五）组织实施全县农林牧渔业、工业、建筑业、批发和零售业、住宿和餐饮业、房地产、服务业及能源、投资、消费、人口和城镇化率、劳动工资、就业、社会、科技、文化产业、城市基本情况、县乡村三级社会经济基本情况、资源环境、战略性新兴产业、高新技术产业、民营经济等统计调查，收集、汇总、整理和提供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六）组织实施县域经济发展、农业产业化、特色小镇、节能降耗、绿色发展、企业景气、妇女儿童监测、新产业新业态新商业模式（以下简称新经济）、高质量发展、协同发展等统计监测，开展名录库建设和社情民意调查，收集、整理和提供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（七）综合整理和提供财政、金融、旅游、交通运输、邮政、地质勘查、教育、体育、卫生、社会保障、公用事业、对外经济、收入、价格等基本统计数据。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（八）组织各乡镇和各部门的经济、社会、科技、服务业统计调查，统一核定、管理、公布全县性基本统计资料，定期发布全县国民经济和社会发展情况的统计信息。</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（九）对国民经济、社会发展、科技进步和资源环境等情况进行统计分析、统计预测和统计监督，向县委、县政府有关部门提供统计信息和咨询建议。</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（十）指导专业统计基础工作、统计基层基础业务建设；组织建立统计信息管理制度，建立健全统计数据质量审核、监控和评估制度，开展对统计数据质量的检查和评估。</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（十一）建立并管理全县统计信息化系统和统计数据库系统，指导全县统计信息化建设。</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二）组织实施规模以下工业抽样调查，规模以下工业企业成本费用调查、建筑业小微企业抽样调查、小微企业固定资产投资情况调查，规模以下企业创新调查、限额以下批发零售住宿餐饮行业抽样与问卷调查，规模以下服务业抽样调查，并开展调查情况分析研究。</w:t>
      </w:r>
    </w:p>
    <w:p>
      <w:pPr>
        <w:pStyle w:val="14"/>
        <w:widowControl/>
        <w:jc w:val="left"/>
        <w:rPr>
          <w:rFonts w:ascii="Times New Roman" w:hAnsi="Times New Roman" w:cs="Times New Roman"/>
          <w:kern w:val="0"/>
          <w:lang w:eastAsia="uk-UA"/>
        </w:rPr>
      </w:pPr>
      <w:r>
        <w:rPr>
          <w:rFonts w:hint="eastAsia" w:ascii="Times New Roman" w:hAnsi="Times New Roman" w:cs="Times New Roman"/>
          <w:kern w:val="0"/>
          <w:lang w:eastAsia="uk-UA"/>
        </w:rPr>
        <w:t xml:space="preserve">   （十三）完成县委、县政府和上级统计局交办的其他任务。</w:t>
      </w:r>
    </w:p>
    <w:p>
      <w:pPr>
        <w:pStyle w:val="14"/>
        <w:widowControl/>
        <w:ind w:left="0" w:leftChars="0" w:firstLine="0" w:firstLineChars="0"/>
        <w:jc w:val="left"/>
        <w:rPr>
          <w:rFonts w:ascii="Times New Roman" w:hAnsi="Times New Roman" w:cs="Times New Roman"/>
          <w:kern w:val="0"/>
        </w:rPr>
      </w:pP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机构设置：</w:t>
      </w:r>
    </w:p>
    <w:p>
      <w:pPr>
        <w:widowControl/>
        <w:jc w:val="center"/>
        <w:rPr>
          <w:rFonts w:ascii="方正小标宋_GBK" w:hAnsi="方正小标宋_GBK" w:eastAsia="方正小标宋_GBK" w:cs="方正小标宋_GBK"/>
          <w:color w:val="000000"/>
          <w:kern w:val="0"/>
          <w:sz w:val="32"/>
          <w:lang w:val="uk-UA" w:eastAsia="uk-UA"/>
        </w:rPr>
      </w:pPr>
      <w:r>
        <w:rPr>
          <w:rFonts w:ascii="方正小标宋_GBK" w:hAnsi="方正小标宋_GBK" w:eastAsia="方正小标宋_GBK" w:cs="方正小标宋_GBK"/>
          <w:color w:val="000000"/>
          <w:kern w:val="0"/>
          <w:sz w:val="32"/>
          <w:lang w:eastAsia="uk-UA"/>
        </w:rPr>
        <w:t>部门机构设置情况</w:t>
      </w:r>
    </w:p>
    <w:tbl>
      <w:tblPr>
        <w:tblStyle w:val="6"/>
        <w:tblW w:w="0" w:type="auto"/>
        <w:jc w:val="cente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108" w:type="dxa"/>
          <w:bottom w:w="0" w:type="dxa"/>
          <w:right w:w="108" w:type="dxa"/>
        </w:tblCellMar>
      </w:tblPr>
      <w:tblGrid>
        <w:gridCol w:w="927"/>
        <w:gridCol w:w="1993"/>
        <w:gridCol w:w="1823"/>
        <w:gridCol w:w="1632"/>
        <w:gridCol w:w="2042"/>
      </w:tblGrid>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13" w:hRule="atLeast"/>
          <w:jc w:val="center"/>
        </w:trPr>
        <w:tc>
          <w:tcPr>
            <w:tcW w:w="927"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序号</w:t>
            </w:r>
          </w:p>
        </w:tc>
        <w:tc>
          <w:tcPr>
            <w:tcW w:w="199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单位名称</w:t>
            </w:r>
          </w:p>
        </w:tc>
        <w:tc>
          <w:tcPr>
            <w:tcW w:w="1823"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单位性质</w:t>
            </w:r>
          </w:p>
        </w:tc>
        <w:tc>
          <w:tcPr>
            <w:tcW w:w="163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单位规格</w:t>
            </w:r>
          </w:p>
        </w:tc>
        <w:tc>
          <w:tcPr>
            <w:tcW w:w="2042"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b/>
                <w:bCs/>
                <w:kern w:val="0"/>
                <w:lang w:eastAsia="uk-UA"/>
              </w:rPr>
            </w:pPr>
            <w:r>
              <w:rPr>
                <w:rFonts w:hint="eastAsia" w:ascii="方正书宋_GBK" w:hAnsi="方正书宋_GBK" w:eastAsia="方正书宋_GBK" w:cs="方正书宋_GBK"/>
                <w:b/>
                <w:bCs/>
                <w:kern w:val="0"/>
                <w:lang w:eastAsia="uk-UA"/>
              </w:rPr>
              <w:t>经费保障形式</w:t>
            </w: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360" w:hRule="atLeast"/>
          <w:jc w:val="center"/>
        </w:trPr>
        <w:tc>
          <w:tcPr>
            <w:tcW w:w="927"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99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823"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163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c>
          <w:tcPr>
            <w:tcW w:w="2042" w:type="dxa"/>
            <w:vMerge w:val="continue"/>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left"/>
              <w:rPr>
                <w:rFonts w:ascii="方正书宋_GBK" w:hAnsi="方正书宋_GBK" w:eastAsia="方正书宋_GBK" w:cs="方正书宋_GBK"/>
                <w:kern w:val="0"/>
                <w:lang w:eastAsia="uk-UA"/>
              </w:rPr>
            </w:pPr>
          </w:p>
        </w:tc>
      </w:tr>
      <w:tr>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108" w:type="dxa"/>
            <w:bottom w:w="0" w:type="dxa"/>
            <w:right w:w="108" w:type="dxa"/>
          </w:tblCellMar>
        </w:tblPrEx>
        <w:trPr>
          <w:trHeight w:val="449" w:hRule="atLeast"/>
          <w:jc w:val="center"/>
        </w:trPr>
        <w:tc>
          <w:tcPr>
            <w:tcW w:w="927"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199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阜平县统计局</w:t>
            </w:r>
          </w:p>
        </w:tc>
        <w:tc>
          <w:tcPr>
            <w:tcW w:w="1823"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63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正科级</w:t>
            </w:r>
          </w:p>
        </w:tc>
        <w:tc>
          <w:tcPr>
            <w:tcW w:w="2042"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pPr>
        <w:jc w:val="center"/>
        <w:outlineLvl w:val="0"/>
        <w:rPr>
          <w:rFonts w:ascii="黑体" w:hAnsi="黑体" w:eastAsia="黑体" w:cs="Times New Roman"/>
          <w:sz w:val="32"/>
          <w:szCs w:val="22"/>
        </w:rPr>
      </w:pPr>
    </w:p>
    <w:p>
      <w:pPr>
        <w:widowControl/>
        <w:spacing w:before="10" w:after="10" w:line="360" w:lineRule="auto"/>
        <w:ind w:firstLine="640"/>
        <w:jc w:val="left"/>
        <w:outlineLvl w:val="2"/>
        <w:rPr>
          <w:rFonts w:ascii="黑体" w:hAnsi="黑体" w:eastAsia="黑体" w:cs="黑体"/>
          <w:color w:val="000000"/>
          <w:kern w:val="0"/>
          <w:sz w:val="32"/>
          <w:lang w:eastAsia="uk-UA"/>
        </w:rPr>
      </w:pPr>
      <w:bookmarkStart w:id="8" w:name="_Toc_3_3_0000000011"/>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二、部门预算安排的总体情况</w:t>
      </w:r>
      <w:bookmarkEnd w:id="8"/>
    </w:p>
    <w:p>
      <w:pPr>
        <w:widowControl/>
        <w:spacing w:line="500" w:lineRule="exact"/>
        <w:ind w:firstLine="560"/>
        <w:jc w:val="left"/>
        <w:rPr>
          <w:rFonts w:ascii="Times New Roman" w:hAnsi="Times New Roman" w:eastAsia="Times New Roman" w:cs="Times New Roman"/>
          <w:kern w:val="0"/>
          <w:sz w:val="24"/>
          <w:lang w:eastAsia="uk-UA"/>
        </w:rPr>
      </w:pPr>
      <w:r>
        <w:rPr>
          <w:rFonts w:ascii="Times New Roman" w:hAnsi="Times New Roman" w:eastAsia="方正仿宋_GBK" w:cs="Times New Roman"/>
          <w:color w:val="000000"/>
          <w:kern w:val="0"/>
          <w:sz w:val="28"/>
          <w:lang w:eastAsia="uk-UA"/>
        </w:rPr>
        <w:t>按照预算管理有关规定，目前我部门预算的编制实行综合预算管理，即全部收入和支出都反映在预算中。</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1、收入说明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反映本部门当年全部收入。202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年预算收入</w:t>
      </w:r>
      <w:r>
        <w:rPr>
          <w:rFonts w:hint="eastAsia" w:ascii="Times New Roman" w:hAnsi="Times New Roman" w:eastAsia="方正仿宋_GBK" w:cs="Times New Roman"/>
          <w:kern w:val="0"/>
          <w:sz w:val="28"/>
          <w:lang w:val="en-US" w:eastAsia="zh-CN"/>
        </w:rPr>
        <w:t>299.52</w:t>
      </w:r>
      <w:r>
        <w:rPr>
          <w:rFonts w:ascii="Times New Roman" w:hAnsi="Times New Roman" w:eastAsia="方正仿宋_GBK" w:cs="Times New Roman"/>
          <w:kern w:val="0"/>
          <w:sz w:val="28"/>
          <w:lang w:eastAsia="uk-UA"/>
        </w:rPr>
        <w:t>万元，其中：一般公共预算收入</w:t>
      </w:r>
      <w:r>
        <w:rPr>
          <w:rFonts w:hint="eastAsia" w:ascii="Times New Roman" w:hAnsi="Times New Roman" w:eastAsia="方正仿宋_GBK" w:cs="Times New Roman"/>
          <w:kern w:val="0"/>
          <w:sz w:val="28"/>
          <w:lang w:val="en-US" w:eastAsia="zh-CN"/>
        </w:rPr>
        <w:t>299.52</w:t>
      </w:r>
      <w:r>
        <w:rPr>
          <w:rFonts w:ascii="Times New Roman" w:hAnsi="Times New Roman" w:eastAsia="方正仿宋_GBK" w:cs="Times New Roman"/>
          <w:kern w:val="0"/>
          <w:sz w:val="28"/>
          <w:lang w:eastAsia="uk-UA"/>
        </w:rPr>
        <w:t>万元，基金预算收入0万元，国有资本经营预算收入0万元，财政专户核拨收入0万元，单位资金其他收入</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万元，上年结转结余0万元。</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2、支出说明</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收支预算总表支出栏、基本支出表、项目支出表按经济分类和支出功能分类科目编制，反映</w:t>
      </w:r>
      <w:r>
        <w:rPr>
          <w:rFonts w:hint="eastAsia" w:ascii="Times New Roman" w:hAnsi="Times New Roman" w:eastAsia="方正仿宋_GBK" w:cs="Times New Roman"/>
          <w:kern w:val="0"/>
          <w:sz w:val="28"/>
        </w:rPr>
        <w:t>阜平县统计局</w:t>
      </w:r>
      <w:r>
        <w:rPr>
          <w:rFonts w:ascii="Times New Roman" w:hAnsi="Times New Roman" w:eastAsia="方正仿宋_GBK" w:cs="Times New Roman"/>
          <w:kern w:val="0"/>
          <w:sz w:val="28"/>
          <w:lang w:eastAsia="uk-UA"/>
        </w:rPr>
        <w:t>年度部门预算中支出预算的总体情况。202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年支出预算</w:t>
      </w:r>
      <w:r>
        <w:rPr>
          <w:rFonts w:hint="eastAsia" w:ascii="Times New Roman" w:hAnsi="Times New Roman" w:eastAsia="方正仿宋_GBK" w:cs="Times New Roman"/>
          <w:kern w:val="0"/>
          <w:sz w:val="28"/>
          <w:lang w:val="en-US" w:eastAsia="zh-CN"/>
        </w:rPr>
        <w:t>299.52</w:t>
      </w:r>
      <w:r>
        <w:rPr>
          <w:rFonts w:ascii="Times New Roman" w:hAnsi="Times New Roman" w:eastAsia="方正仿宋_GBK" w:cs="Times New Roman"/>
          <w:kern w:val="0"/>
          <w:sz w:val="28"/>
          <w:lang w:eastAsia="uk-UA"/>
        </w:rPr>
        <w:t>万元</w:t>
      </w:r>
      <w:r>
        <w:rPr>
          <w:rFonts w:hint="eastAsia" w:ascii="Times New Roman" w:hAnsi="Times New Roman" w:eastAsia="方正仿宋_GBK" w:cs="Times New Roman"/>
          <w:kern w:val="0"/>
          <w:sz w:val="28"/>
          <w:lang w:eastAsia="zh-CN"/>
        </w:rPr>
        <w:t>，</w:t>
      </w:r>
      <w:r>
        <w:rPr>
          <w:rFonts w:ascii="Times New Roman" w:hAnsi="Times New Roman" w:eastAsia="方正仿宋_GBK" w:cs="Times New Roman"/>
          <w:kern w:val="0"/>
          <w:sz w:val="28"/>
          <w:lang w:eastAsia="uk-UA"/>
        </w:rPr>
        <w:t>其中基本支出</w:t>
      </w:r>
      <w:r>
        <w:rPr>
          <w:rFonts w:hint="eastAsia" w:ascii="Times New Roman" w:hAnsi="Times New Roman" w:eastAsia="方正仿宋_GBK" w:cs="Times New Roman"/>
          <w:kern w:val="0"/>
          <w:sz w:val="28"/>
          <w:lang w:val="en-US" w:eastAsia="zh-CN"/>
        </w:rPr>
        <w:t>194.78</w:t>
      </w:r>
      <w:r>
        <w:rPr>
          <w:rFonts w:ascii="Times New Roman" w:hAnsi="Times New Roman" w:eastAsia="方正仿宋_GBK" w:cs="Times New Roman"/>
          <w:kern w:val="0"/>
          <w:sz w:val="28"/>
          <w:lang w:eastAsia="uk-UA"/>
        </w:rPr>
        <w:t>万元，包括人员经费</w:t>
      </w:r>
      <w:r>
        <w:rPr>
          <w:rFonts w:hint="eastAsia" w:ascii="Times New Roman" w:hAnsi="Times New Roman" w:eastAsia="方正仿宋_GBK" w:cs="Times New Roman"/>
          <w:kern w:val="0"/>
          <w:sz w:val="28"/>
          <w:lang w:val="en-US" w:eastAsia="zh-CN"/>
        </w:rPr>
        <w:t>167.24</w:t>
      </w:r>
      <w:r>
        <w:rPr>
          <w:rFonts w:ascii="Times New Roman" w:hAnsi="Times New Roman" w:eastAsia="方正仿宋_GBK" w:cs="Times New Roman"/>
          <w:kern w:val="0"/>
          <w:sz w:val="28"/>
          <w:lang w:eastAsia="uk-UA"/>
        </w:rPr>
        <w:t>万元和日常公用经费</w:t>
      </w:r>
      <w:r>
        <w:rPr>
          <w:rFonts w:hint="eastAsia" w:ascii="Times New Roman" w:hAnsi="Times New Roman" w:eastAsia="方正仿宋_GBK" w:cs="Times New Roman"/>
          <w:kern w:val="0"/>
          <w:sz w:val="28"/>
          <w:lang w:val="en-US" w:eastAsia="zh-CN"/>
        </w:rPr>
        <w:t>27.54</w:t>
      </w:r>
      <w:r>
        <w:rPr>
          <w:rFonts w:ascii="Times New Roman" w:hAnsi="Times New Roman" w:eastAsia="方正仿宋_GBK" w:cs="Times New Roman"/>
          <w:kern w:val="0"/>
          <w:sz w:val="28"/>
          <w:lang w:eastAsia="uk-UA"/>
        </w:rPr>
        <w:t>万元；项目支出</w:t>
      </w:r>
      <w:r>
        <w:rPr>
          <w:rFonts w:hint="eastAsia" w:ascii="Times New Roman" w:hAnsi="Times New Roman" w:eastAsia="方正仿宋_GBK" w:cs="Times New Roman"/>
          <w:kern w:val="0"/>
          <w:sz w:val="28"/>
          <w:lang w:val="en-US" w:eastAsia="zh-CN"/>
        </w:rPr>
        <w:t>104.74</w:t>
      </w:r>
      <w:r>
        <w:rPr>
          <w:rFonts w:ascii="Times New Roman" w:hAnsi="Times New Roman" w:eastAsia="方正仿宋_GBK" w:cs="Times New Roman"/>
          <w:kern w:val="0"/>
          <w:sz w:val="28"/>
          <w:lang w:eastAsia="uk-UA"/>
        </w:rPr>
        <w:t>万元，主要为</w:t>
      </w:r>
      <w:r>
        <w:rPr>
          <w:rFonts w:hint="eastAsia" w:ascii="Times New Roman" w:hAnsi="Times New Roman" w:eastAsia="方正仿宋_GBK" w:cs="Times New Roman"/>
          <w:kern w:val="0"/>
          <w:sz w:val="28"/>
          <w:lang w:eastAsia="zh-CN"/>
        </w:rPr>
        <w:t>居民收支调查</w:t>
      </w:r>
      <w:r>
        <w:rPr>
          <w:rFonts w:hint="eastAsia" w:ascii="Times New Roman" w:hAnsi="Times New Roman" w:eastAsia="方正仿宋_GBK" w:cs="Times New Roman"/>
          <w:kern w:val="0"/>
          <w:sz w:val="28"/>
        </w:rPr>
        <w:t>经费和第</w:t>
      </w:r>
      <w:r>
        <w:rPr>
          <w:rFonts w:hint="eastAsia" w:ascii="Times New Roman" w:hAnsi="Times New Roman" w:eastAsia="方正仿宋_GBK" w:cs="Times New Roman"/>
          <w:kern w:val="0"/>
          <w:sz w:val="28"/>
          <w:lang w:eastAsia="zh-CN"/>
        </w:rPr>
        <w:t>五</w:t>
      </w:r>
      <w:r>
        <w:rPr>
          <w:rFonts w:hint="eastAsia" w:ascii="Times New Roman" w:hAnsi="Times New Roman" w:eastAsia="方正仿宋_GBK" w:cs="Times New Roman"/>
          <w:kern w:val="0"/>
          <w:sz w:val="28"/>
        </w:rPr>
        <w:t>次全国</w:t>
      </w:r>
      <w:r>
        <w:rPr>
          <w:rFonts w:hint="eastAsia" w:ascii="Times New Roman" w:hAnsi="Times New Roman" w:eastAsia="方正仿宋_GBK" w:cs="Times New Roman"/>
          <w:kern w:val="0"/>
          <w:sz w:val="28"/>
          <w:lang w:eastAsia="zh-CN"/>
        </w:rPr>
        <w:t>经济</w:t>
      </w:r>
      <w:r>
        <w:rPr>
          <w:rFonts w:hint="eastAsia" w:ascii="Times New Roman" w:hAnsi="Times New Roman" w:eastAsia="方正仿宋_GBK" w:cs="Times New Roman"/>
          <w:kern w:val="0"/>
          <w:sz w:val="28"/>
        </w:rPr>
        <w:t>普查经费</w:t>
      </w:r>
      <w:r>
        <w:rPr>
          <w:rFonts w:ascii="Times New Roman" w:hAnsi="Times New Roman" w:eastAsia="方正仿宋_GBK" w:cs="Times New Roman"/>
          <w:kern w:val="0"/>
          <w:sz w:val="28"/>
          <w:lang w:eastAsia="uk-UA"/>
        </w:rPr>
        <w:t>等。</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3、比上年增减情况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年预算收支安排</w:t>
      </w:r>
      <w:r>
        <w:rPr>
          <w:rFonts w:hint="eastAsia" w:ascii="Times New Roman" w:hAnsi="Times New Roman" w:eastAsia="方正仿宋_GBK" w:cs="Times New Roman"/>
          <w:kern w:val="0"/>
          <w:sz w:val="28"/>
          <w:lang w:val="en-US" w:eastAsia="zh-CN"/>
        </w:rPr>
        <w:t>299.52</w:t>
      </w:r>
      <w:r>
        <w:rPr>
          <w:rFonts w:ascii="Times New Roman" w:hAnsi="Times New Roman" w:eastAsia="方正仿宋_GBK" w:cs="Times New Roman"/>
          <w:kern w:val="0"/>
          <w:sz w:val="28"/>
          <w:lang w:eastAsia="uk-UA"/>
        </w:rPr>
        <w:t>万元，较202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hint="eastAsia" w:ascii="Times New Roman" w:hAnsi="Times New Roman" w:eastAsia="方正仿宋_GBK" w:cs="Times New Roman"/>
          <w:kern w:val="0"/>
          <w:sz w:val="28"/>
          <w:lang w:val="en-US" w:eastAsia="zh-CN"/>
        </w:rPr>
        <w:t>298.77</w:t>
      </w:r>
      <w:r>
        <w:rPr>
          <w:rFonts w:hint="eastAsia" w:ascii="Times New Roman" w:hAnsi="Times New Roman" w:eastAsia="方正仿宋_GBK" w:cs="Times New Roman"/>
          <w:kern w:val="0"/>
          <w:sz w:val="28"/>
        </w:rPr>
        <w:t>万元）</w:t>
      </w:r>
      <w:r>
        <w:rPr>
          <w:rFonts w:ascii="Times New Roman" w:hAnsi="Times New Roman" w:eastAsia="方正仿宋_GBK" w:cs="Times New Roman"/>
          <w:kern w:val="0"/>
          <w:sz w:val="28"/>
          <w:lang w:eastAsia="uk-UA"/>
        </w:rPr>
        <w:t>预算</w:t>
      </w:r>
      <w:r>
        <w:rPr>
          <w:rFonts w:hint="eastAsia" w:ascii="Times New Roman" w:hAnsi="Times New Roman" w:eastAsia="方正仿宋_GBK" w:cs="Times New Roman"/>
          <w:kern w:val="0"/>
          <w:sz w:val="28"/>
          <w:lang w:eastAsia="zh-CN"/>
        </w:rPr>
        <w:t>增加</w:t>
      </w:r>
      <w:r>
        <w:rPr>
          <w:rFonts w:hint="eastAsia" w:ascii="Times New Roman" w:hAnsi="Times New Roman" w:eastAsia="方正仿宋_GBK" w:cs="Times New Roman"/>
          <w:kern w:val="0"/>
          <w:sz w:val="28"/>
          <w:lang w:val="en-US" w:eastAsia="zh-CN"/>
        </w:rPr>
        <w:t>0.75</w:t>
      </w:r>
      <w:r>
        <w:rPr>
          <w:rFonts w:ascii="Times New Roman" w:hAnsi="Times New Roman" w:eastAsia="方正仿宋_GBK" w:cs="Times New Roman"/>
          <w:kern w:val="0"/>
          <w:sz w:val="28"/>
          <w:lang w:eastAsia="uk-UA"/>
        </w:rPr>
        <w:t>万元，其中：基本支出</w:t>
      </w:r>
      <w:r>
        <w:rPr>
          <w:rFonts w:hint="eastAsia" w:ascii="Times New Roman" w:hAnsi="Times New Roman" w:eastAsia="方正仿宋_GBK" w:cs="Times New Roman"/>
          <w:kern w:val="0"/>
          <w:sz w:val="28"/>
          <w:lang w:eastAsia="zh-CN"/>
        </w:rPr>
        <w:t>增加</w:t>
      </w:r>
      <w:r>
        <w:rPr>
          <w:rFonts w:hint="eastAsia" w:ascii="Times New Roman" w:hAnsi="Times New Roman" w:eastAsia="方正仿宋_GBK" w:cs="Times New Roman"/>
          <w:kern w:val="0"/>
          <w:sz w:val="28"/>
          <w:lang w:val="en-US" w:eastAsia="zh-CN"/>
        </w:rPr>
        <w:t>7.63</w:t>
      </w:r>
      <w:r>
        <w:rPr>
          <w:rFonts w:ascii="Times New Roman" w:hAnsi="Times New Roman" w:eastAsia="方正仿宋_GBK" w:cs="Times New Roman"/>
          <w:kern w:val="0"/>
          <w:sz w:val="28"/>
          <w:lang w:eastAsia="uk-UA"/>
        </w:rPr>
        <w:t>万元，主要是</w:t>
      </w:r>
      <w:r>
        <w:rPr>
          <w:rFonts w:hint="eastAsia" w:ascii="Times New Roman" w:hAnsi="Times New Roman" w:eastAsia="方正仿宋_GBK" w:cs="Times New Roman"/>
          <w:kern w:val="0"/>
          <w:sz w:val="28"/>
          <w:lang w:eastAsia="zh-CN"/>
        </w:rPr>
        <w:t>增加</w:t>
      </w:r>
      <w:r>
        <w:rPr>
          <w:rFonts w:hint="eastAsia" w:ascii="Times New Roman" w:hAnsi="Times New Roman" w:eastAsia="方正仿宋_GBK" w:cs="Times New Roman"/>
          <w:kern w:val="0"/>
          <w:sz w:val="28"/>
          <w:lang w:val="en-US" w:eastAsia="zh-CN"/>
        </w:rPr>
        <w:t>2名参公人员</w:t>
      </w:r>
      <w:r>
        <w:rPr>
          <w:rFonts w:hint="eastAsia" w:ascii="Times New Roman" w:hAnsi="Times New Roman" w:eastAsia="方正仿宋_GBK" w:cs="Times New Roman"/>
          <w:kern w:val="0"/>
          <w:sz w:val="28"/>
          <w:lang w:eastAsia="zh-CN"/>
        </w:rPr>
        <w:t>，增加开支</w:t>
      </w:r>
      <w:r>
        <w:rPr>
          <w:rFonts w:ascii="Times New Roman" w:hAnsi="Times New Roman" w:eastAsia="方正仿宋_GBK" w:cs="Times New Roman"/>
          <w:kern w:val="0"/>
          <w:sz w:val="28"/>
          <w:lang w:eastAsia="uk-UA"/>
        </w:rPr>
        <w:t>；项目支出</w:t>
      </w:r>
      <w:r>
        <w:rPr>
          <w:rFonts w:hint="eastAsia" w:ascii="Times New Roman" w:hAnsi="Times New Roman" w:eastAsia="方正仿宋_GBK" w:cs="Times New Roman"/>
          <w:kern w:val="0"/>
          <w:sz w:val="28"/>
        </w:rPr>
        <w:t>减少</w:t>
      </w:r>
      <w:r>
        <w:rPr>
          <w:rFonts w:hint="eastAsia" w:ascii="Times New Roman" w:hAnsi="Times New Roman" w:eastAsia="方正仿宋_GBK" w:cs="Times New Roman"/>
          <w:kern w:val="0"/>
          <w:sz w:val="28"/>
          <w:lang w:val="en-US" w:eastAsia="zh-CN"/>
        </w:rPr>
        <w:t>6.88</w:t>
      </w:r>
      <w:r>
        <w:rPr>
          <w:rFonts w:hint="eastAsia" w:ascii="Times New Roman" w:hAnsi="Times New Roman" w:eastAsia="方正仿宋_GBK" w:cs="Times New Roman"/>
          <w:kern w:val="0"/>
          <w:sz w:val="28"/>
        </w:rPr>
        <w:t>万元，主要是</w:t>
      </w:r>
      <w:r>
        <w:rPr>
          <w:rFonts w:hint="eastAsia" w:ascii="Times New Roman" w:hAnsi="Times New Roman" w:eastAsia="方正仿宋_GBK" w:cs="Times New Roman"/>
          <w:kern w:val="0"/>
          <w:sz w:val="28"/>
          <w:lang w:eastAsia="zh-CN"/>
        </w:rPr>
        <w:t>厉行节约，压减项目开支</w:t>
      </w:r>
      <w:r>
        <w:rPr>
          <w:rFonts w:ascii="Times New Roman" w:hAnsi="Times New Roman" w:eastAsia="方正仿宋_GBK" w:cs="Times New Roman"/>
          <w:kern w:val="0"/>
          <w:sz w:val="28"/>
          <w:lang w:eastAsia="uk-UA"/>
        </w:rPr>
        <w:t>。</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三、机关运行经费安排情况</w:t>
      </w:r>
    </w:p>
    <w:p>
      <w:pPr>
        <w:spacing w:line="500" w:lineRule="exact"/>
        <w:ind w:firstLine="560"/>
        <w:rPr>
          <w:rFonts w:ascii="Times New Roman" w:hAnsi="Times New Roman" w:eastAsia="方正仿宋_GBK" w:cs="Times New Roman"/>
          <w:kern w:val="0"/>
          <w:sz w:val="28"/>
          <w:lang w:eastAsia="uk-UA"/>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年，我部门运行经费共计安排</w:t>
      </w:r>
      <w:r>
        <w:rPr>
          <w:rFonts w:hint="eastAsia" w:ascii="Times New Roman" w:hAnsi="Times New Roman" w:eastAsia="方正仿宋_GBK" w:cs="Times New Roman"/>
          <w:kern w:val="0"/>
          <w:sz w:val="28"/>
          <w:lang w:val="en-US" w:eastAsia="zh-CN"/>
        </w:rPr>
        <w:t>27.54</w:t>
      </w:r>
      <w:r>
        <w:rPr>
          <w:rFonts w:ascii="Times New Roman" w:hAnsi="Times New Roman" w:eastAsia="方正仿宋_GBK" w:cs="Times New Roman"/>
          <w:kern w:val="0"/>
          <w:sz w:val="28"/>
          <w:lang w:eastAsia="uk-UA"/>
        </w:rPr>
        <w:t>万元，主要用于</w:t>
      </w:r>
      <w:r>
        <w:rPr>
          <w:rFonts w:hint="eastAsia" w:ascii="Times New Roman" w:hAnsi="Times New Roman" w:eastAsia="方正仿宋_GBK" w:cs="Times New Roman"/>
          <w:kern w:val="0"/>
          <w:sz w:val="28"/>
        </w:rPr>
        <w:t>差旅</w:t>
      </w:r>
      <w:r>
        <w:rPr>
          <w:rFonts w:ascii="Times New Roman" w:hAnsi="Times New Roman" w:eastAsia="方正仿宋_GBK" w:cs="Times New Roman"/>
          <w:kern w:val="0"/>
          <w:sz w:val="28"/>
          <w:lang w:eastAsia="uk-UA"/>
        </w:rPr>
        <w:t>、</w:t>
      </w:r>
      <w:r>
        <w:rPr>
          <w:rFonts w:hint="eastAsia" w:ascii="Times New Roman" w:hAnsi="Times New Roman" w:eastAsia="方正仿宋_GBK" w:cs="Times New Roman"/>
          <w:kern w:val="0"/>
          <w:sz w:val="28"/>
        </w:rPr>
        <w:t>邮电、</w:t>
      </w:r>
      <w:r>
        <w:rPr>
          <w:rFonts w:ascii="Times New Roman" w:hAnsi="Times New Roman" w:eastAsia="方正仿宋_GBK" w:cs="Times New Roman"/>
          <w:kern w:val="0"/>
          <w:sz w:val="28"/>
          <w:lang w:eastAsia="uk-UA"/>
        </w:rPr>
        <w:t>办公等日常运行支出。</w:t>
      </w:r>
    </w:p>
    <w:p>
      <w:pPr>
        <w:spacing w:line="500" w:lineRule="exact"/>
        <w:ind w:firstLine="560"/>
        <w:rPr>
          <w:rFonts w:ascii="Times New Roman" w:hAnsi="Times New Roman" w:eastAsia="方正仿宋_GBK" w:cs="Times New Roman"/>
          <w:kern w:val="0"/>
          <w:sz w:val="28"/>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四、财政拨款“三公”经费预算情况及增减变化原因</w:t>
      </w:r>
    </w:p>
    <w:p>
      <w:pPr>
        <w:ind w:firstLine="560" w:firstLineChars="200"/>
        <w:rPr>
          <w:rFonts w:ascii="Times New Roman" w:hAnsi="Times New Roman" w:eastAsia="方正仿宋_GBK" w:cs="Times New Roman"/>
          <w:kern w:val="0"/>
          <w:sz w:val="28"/>
        </w:rPr>
      </w:pPr>
      <w:r>
        <w:rPr>
          <w:rFonts w:ascii="Times New Roman" w:hAnsi="Times New Roman" w:eastAsia="方正仿宋_GBK" w:cs="Times New Roman"/>
          <w:kern w:val="0"/>
          <w:sz w:val="28"/>
          <w:lang w:eastAsia="uk-UA"/>
        </w:rPr>
        <w:t>202</w:t>
      </w:r>
      <w:r>
        <w:rPr>
          <w:rFonts w:hint="eastAsia" w:ascii="Times New Roman" w:hAnsi="Times New Roman" w:eastAsia="方正仿宋_GBK" w:cs="Times New Roman"/>
          <w:kern w:val="0"/>
          <w:sz w:val="28"/>
          <w:lang w:val="en-US" w:eastAsia="zh-CN"/>
        </w:rPr>
        <w:t>4</w:t>
      </w:r>
      <w:r>
        <w:rPr>
          <w:rFonts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rPr>
        <w:t>，</w:t>
      </w:r>
      <w:r>
        <w:rPr>
          <w:rFonts w:ascii="Times New Roman" w:hAnsi="Times New Roman" w:eastAsia="方正仿宋_GBK" w:cs="Times New Roman"/>
          <w:kern w:val="0"/>
          <w:sz w:val="28"/>
          <w:lang w:eastAsia="uk-UA"/>
        </w:rPr>
        <w:t>我部门财政拨款“三公”经费预算安排</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万元，其中因公出国（境）费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万元；公务用车购置及运维费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万元（其中：公务用车购置费为0万元，公务用车运维费</w:t>
      </w:r>
      <w:r>
        <w:rPr>
          <w:rFonts w:hint="eastAsia" w:ascii="Times New Roman" w:hAnsi="Times New Roman" w:eastAsia="方正仿宋_GBK" w:cs="Times New Roman"/>
          <w:kern w:val="0"/>
          <w:sz w:val="28"/>
        </w:rPr>
        <w:t>4</w:t>
      </w:r>
      <w:r>
        <w:rPr>
          <w:rFonts w:ascii="Times New Roman" w:hAnsi="Times New Roman" w:eastAsia="方正仿宋_GBK" w:cs="Times New Roman"/>
          <w:kern w:val="0"/>
          <w:sz w:val="28"/>
          <w:lang w:eastAsia="uk-UA"/>
        </w:rPr>
        <w:t>万元)；公务接待费</w:t>
      </w:r>
      <w:r>
        <w:rPr>
          <w:rFonts w:hint="eastAsia" w:ascii="Times New Roman" w:hAnsi="Times New Roman" w:eastAsia="方正仿宋_GBK" w:cs="Times New Roman"/>
          <w:kern w:val="0"/>
          <w:sz w:val="28"/>
        </w:rPr>
        <w:t>0</w:t>
      </w:r>
      <w:r>
        <w:rPr>
          <w:rFonts w:ascii="Times New Roman" w:hAnsi="Times New Roman" w:eastAsia="方正仿宋_GBK" w:cs="Times New Roman"/>
          <w:kern w:val="0"/>
          <w:sz w:val="28"/>
          <w:lang w:eastAsia="uk-UA"/>
        </w:rPr>
        <w:t>万元。与202</w:t>
      </w:r>
      <w:r>
        <w:rPr>
          <w:rFonts w:hint="eastAsia" w:ascii="Times New Roman" w:hAnsi="Times New Roman" w:eastAsia="方正仿宋_GBK" w:cs="Times New Roman"/>
          <w:kern w:val="0"/>
          <w:sz w:val="28"/>
          <w:lang w:val="en-US" w:eastAsia="zh-CN"/>
        </w:rPr>
        <w:t>3</w:t>
      </w:r>
      <w:r>
        <w:rPr>
          <w:rFonts w:ascii="Times New Roman" w:hAnsi="Times New Roman" w:eastAsia="方正仿宋_GBK" w:cs="Times New Roman"/>
          <w:kern w:val="0"/>
          <w:sz w:val="28"/>
          <w:lang w:eastAsia="uk-UA"/>
        </w:rPr>
        <w:t>年相比</w:t>
      </w:r>
      <w:r>
        <w:rPr>
          <w:rFonts w:hint="eastAsia" w:ascii="Times New Roman" w:hAnsi="Times New Roman" w:eastAsia="方正仿宋_GBK" w:cs="Times New Roman"/>
          <w:kern w:val="0"/>
          <w:sz w:val="28"/>
        </w:rPr>
        <w:t>无变化。</w:t>
      </w: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黑体" w:hAnsi="黑体" w:eastAsia="黑体" w:cs="黑体"/>
          <w:color w:val="000000"/>
          <w:kern w:val="0"/>
          <w:sz w:val="32"/>
          <w:lang w:eastAsia="uk-UA"/>
        </w:rPr>
      </w:pPr>
    </w:p>
    <w:p>
      <w:pPr>
        <w:widowControl/>
        <w:spacing w:before="10" w:after="10" w:line="360" w:lineRule="auto"/>
        <w:ind w:firstLine="64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五、预算绩效信息</w:t>
      </w:r>
    </w:p>
    <w:p>
      <w:pPr>
        <w:widowControl/>
        <w:ind w:firstLine="640"/>
        <w:jc w:val="left"/>
        <w:rPr>
          <w:rFonts w:ascii="Times New Roman" w:hAnsi="Times New Roman" w:eastAsia="Times New Roman" w:cs="Times New Roman"/>
          <w:kern w:val="0"/>
          <w:sz w:val="24"/>
          <w:lang w:eastAsia="uk-UA"/>
        </w:rPr>
      </w:pPr>
      <w:r>
        <w:rPr>
          <w:rFonts w:ascii="方正楷体_GBK" w:hAnsi="方正楷体_GBK" w:eastAsia="方正楷体_GBK" w:cs="方正楷体_GBK"/>
          <w:b/>
          <w:color w:val="000000"/>
          <w:kern w:val="0"/>
          <w:sz w:val="32"/>
          <w:lang w:eastAsia="uk-UA"/>
        </w:rPr>
        <w:t>第一部分 部门整体绩效目标</w:t>
      </w:r>
    </w:p>
    <w:p>
      <w:pPr>
        <w:widowControl/>
        <w:spacing w:line="500" w:lineRule="exact"/>
        <w:ind w:firstLine="560" w:firstLineChars="200"/>
        <w:jc w:val="left"/>
        <w:rPr>
          <w:rFonts w:ascii="Times New Roman" w:hAnsi="Times New Roman" w:eastAsia="方正仿宋_GBK" w:cs="Times New Roman"/>
          <w:kern w:val="0"/>
          <w:sz w:val="28"/>
        </w:rPr>
      </w:pPr>
      <w:r>
        <w:rPr>
          <w:rFonts w:ascii="Times New Roman" w:hAnsi="Times New Roman" w:eastAsia="方正仿宋_GBK" w:cs="Times New Roman"/>
          <w:color w:val="000000"/>
          <w:kern w:val="0"/>
          <w:sz w:val="28"/>
          <w:lang w:eastAsia="uk-UA"/>
        </w:rPr>
        <w:t>（一）总体绩效目标</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1.</w:t>
      </w:r>
      <w:r>
        <w:rPr>
          <w:rFonts w:hint="eastAsia" w:ascii="Times New Roman" w:hAnsi="Times New Roman" w:eastAsia="方正仿宋_GBK" w:cs="Times New Roman"/>
          <w:kern w:val="0"/>
          <w:sz w:val="28"/>
          <w:lang w:eastAsia="uk-UA"/>
        </w:rPr>
        <w:t>积极</w:t>
      </w:r>
      <w:r>
        <w:rPr>
          <w:rFonts w:hint="eastAsia" w:ascii="Times New Roman" w:hAnsi="Times New Roman" w:eastAsia="方正仿宋_GBK" w:cs="Times New Roman"/>
          <w:kern w:val="0"/>
          <w:sz w:val="28"/>
          <w:lang w:eastAsia="zh-CN"/>
        </w:rPr>
        <w:t>开展</w:t>
      </w:r>
      <w:r>
        <w:rPr>
          <w:rFonts w:hint="eastAsia" w:ascii="Times New Roman" w:hAnsi="Times New Roman" w:eastAsia="方正仿宋_GBK" w:cs="Times New Roman"/>
          <w:kern w:val="0"/>
          <w:sz w:val="28"/>
          <w:lang w:eastAsia="uk-UA"/>
        </w:rPr>
        <w:t>五经普工作</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按照《中华人民共和国统计法》《全国经济普查条例》规定和国家统计局部署,我国202</w:t>
      </w:r>
      <w:r>
        <w:rPr>
          <w:rFonts w:hint="eastAsia" w:ascii="Times New Roman" w:hAnsi="Times New Roman" w:eastAsia="方正仿宋_GBK" w:cs="Times New Roman"/>
          <w:kern w:val="0"/>
          <w:sz w:val="28"/>
          <w:lang w:val="en-US" w:eastAsia="zh-CN"/>
        </w:rPr>
        <w:t>4</w:t>
      </w:r>
      <w:r>
        <w:rPr>
          <w:rFonts w:hint="eastAsia" w:ascii="Times New Roman" w:hAnsi="Times New Roman" w:eastAsia="方正仿宋_GBK" w:cs="Times New Roman"/>
          <w:kern w:val="0"/>
          <w:sz w:val="28"/>
          <w:lang w:eastAsia="uk-UA"/>
        </w:rPr>
        <w:t>年</w:t>
      </w:r>
      <w:r>
        <w:rPr>
          <w:rFonts w:hint="eastAsia" w:ascii="Times New Roman" w:hAnsi="Times New Roman" w:eastAsia="方正仿宋_GBK" w:cs="Times New Roman"/>
          <w:kern w:val="0"/>
          <w:sz w:val="28"/>
          <w:lang w:eastAsia="zh-CN"/>
        </w:rPr>
        <w:t>正在</w:t>
      </w:r>
      <w:r>
        <w:rPr>
          <w:rFonts w:hint="eastAsia" w:ascii="Times New Roman" w:hAnsi="Times New Roman" w:eastAsia="方正仿宋_GBK" w:cs="Times New Roman"/>
          <w:kern w:val="0"/>
          <w:sz w:val="28"/>
          <w:lang w:eastAsia="uk-UA"/>
        </w:rPr>
        <w:t>开展第五次全国经济普查。第五次全国经济普查是我国全面建成小康社会、实现第一个百年奋斗目标之后,乘势而上开启全面建设社会主义现代化国家新征程、向第二个百年奋斗目标进军的一次重大国情国力调查。根据《2022年保定市第五次全国经济普查筹备工作安排》文件要求，我局将尽早做好我县第五次全国经济普查各项</w:t>
      </w:r>
      <w:r>
        <w:rPr>
          <w:rFonts w:hint="eastAsia" w:ascii="Times New Roman" w:hAnsi="Times New Roman" w:eastAsia="方正仿宋_GBK" w:cs="Times New Roman"/>
          <w:kern w:val="0"/>
          <w:sz w:val="28"/>
          <w:lang w:eastAsia="zh-CN"/>
        </w:rPr>
        <w:t>开展</w:t>
      </w:r>
      <w:r>
        <w:rPr>
          <w:rFonts w:hint="eastAsia" w:ascii="Times New Roman" w:hAnsi="Times New Roman" w:eastAsia="方正仿宋_GBK" w:cs="Times New Roman"/>
          <w:kern w:val="0"/>
          <w:sz w:val="28"/>
          <w:lang w:eastAsia="uk-UA"/>
        </w:rPr>
        <w:t>工作。</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2.</w:t>
      </w:r>
      <w:r>
        <w:rPr>
          <w:rFonts w:hint="eastAsia" w:ascii="Times New Roman" w:hAnsi="Times New Roman" w:eastAsia="方正仿宋_GBK" w:cs="Times New Roman"/>
          <w:kern w:val="0"/>
          <w:sz w:val="28"/>
          <w:lang w:eastAsia="uk-UA"/>
        </w:rPr>
        <w:t>按时保质完成各类年报、定报工作，做好数据监测</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以数据质量为核心，扎实做好核算、农业、工业、投资、贸易等专业的年报、定报工作，做到事前预测重效率，事后统计重分析。一是扎实推进对各专业月报、季报工作，做好统计数据生产的前、中、后审核把控。了解主要指标发展趋势，发现问题及时提出预警和工作建议。各项经济数据上报过程中，做到即报即审。报送完成后做好分析评估工作，发现问题及时修正。二是做好对经济运行的预警动态监测，不断完善预警机制，认真分析经济运行中存在的问题，为领导决策提供有效参考。三是跟踪经济运行动态变化情况，做好产业集聚区、文化产业等重点领域的统计监测，提供高质量统计分析信息。</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val="en-US" w:eastAsia="zh-CN"/>
        </w:rPr>
        <w:t>3.</w:t>
      </w:r>
      <w:r>
        <w:rPr>
          <w:rFonts w:hint="eastAsia" w:ascii="Times New Roman" w:hAnsi="Times New Roman" w:eastAsia="方正仿宋_GBK" w:cs="Times New Roman"/>
          <w:kern w:val="0"/>
          <w:sz w:val="28"/>
          <w:lang w:eastAsia="uk-UA"/>
        </w:rPr>
        <w:t>提供优质高效统计服务</w:t>
      </w:r>
    </w:p>
    <w:p>
      <w:p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围绕全县主要经济指标的增长目标，加强统计部门内部及与相关部门的对接沟通，加强部门联动，增强信息互通，形成齐抓共管的良好局面。走访重点企业，摸清企业经营状况，聚焦全县重点工作任务，将统计监测、统计评价和统计预警有机结合，加大对综合性、关联性、行业性经济数据的分析研究力度，加强经济形势分析和预警预判，为县委、县政府科学判断形势、加强宏观调控提供参考依据。</w:t>
      </w:r>
    </w:p>
    <w:p>
      <w:pPr>
        <w:numPr>
          <w:ilvl w:val="0"/>
          <w:numId w:val="1"/>
        </w:numPr>
        <w:spacing w:line="520" w:lineRule="exact"/>
        <w:ind w:firstLine="560" w:firstLineChars="200"/>
        <w:jc w:val="left"/>
        <w:rPr>
          <w:rFonts w:hint="eastAsia" w:ascii="Times New Roman" w:hAnsi="Times New Roman" w:eastAsia="方正仿宋_GBK" w:cs="Times New Roman"/>
          <w:kern w:val="0"/>
          <w:sz w:val="28"/>
          <w:lang w:eastAsia="uk-UA"/>
        </w:rPr>
      </w:pPr>
      <w:r>
        <w:rPr>
          <w:rFonts w:hint="eastAsia" w:ascii="Times New Roman" w:hAnsi="Times New Roman" w:eastAsia="方正仿宋_GBK" w:cs="Times New Roman"/>
          <w:kern w:val="0"/>
          <w:sz w:val="28"/>
          <w:lang w:eastAsia="uk-UA"/>
        </w:rPr>
        <w:t>其他各项重要工作</w:t>
      </w:r>
    </w:p>
    <w:p>
      <w:pPr>
        <w:spacing w:line="520" w:lineRule="exact"/>
        <w:ind w:firstLine="560" w:firstLineChars="20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color w:val="000000"/>
          <w:kern w:val="0"/>
          <w:sz w:val="28"/>
          <w:lang w:eastAsia="uk-UA"/>
        </w:rPr>
        <w:t>（二）分项绩效目标</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1、第</w:t>
      </w:r>
      <w:r>
        <w:rPr>
          <w:rFonts w:hint="eastAsia" w:ascii="Times New Roman" w:hAnsi="Times New Roman" w:eastAsia="方正仿宋_GBK" w:cs="Times New Roman"/>
          <w:kern w:val="0"/>
          <w:sz w:val="28"/>
          <w:lang w:eastAsia="zh-CN"/>
        </w:rPr>
        <w:t>五</w:t>
      </w:r>
      <w:r>
        <w:rPr>
          <w:rFonts w:hint="eastAsia" w:ascii="Times New Roman" w:hAnsi="Times New Roman" w:eastAsia="方正仿宋_GBK" w:cs="Times New Roman"/>
          <w:kern w:val="0"/>
          <w:sz w:val="28"/>
        </w:rPr>
        <w:t>次全国</w:t>
      </w:r>
      <w:r>
        <w:rPr>
          <w:rFonts w:hint="eastAsia" w:ascii="Times New Roman" w:hAnsi="Times New Roman" w:eastAsia="方正仿宋_GBK" w:cs="Times New Roman"/>
          <w:kern w:val="0"/>
          <w:sz w:val="28"/>
          <w:lang w:eastAsia="zh-CN"/>
        </w:rPr>
        <w:t>经济</w:t>
      </w:r>
      <w:r>
        <w:rPr>
          <w:rFonts w:hint="eastAsia" w:ascii="Times New Roman" w:hAnsi="Times New Roman" w:eastAsia="方正仿宋_GBK" w:cs="Times New Roman"/>
          <w:kern w:val="0"/>
          <w:sz w:val="28"/>
        </w:rPr>
        <w:t>普查</w:t>
      </w:r>
    </w:p>
    <w:p>
      <w:p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202</w:t>
      </w:r>
      <w:r>
        <w:rPr>
          <w:rFonts w:hint="eastAsia" w:ascii="Times New Roman" w:hAnsi="Times New Roman" w:eastAsia="方正仿宋_GBK" w:cs="Times New Roman"/>
          <w:kern w:val="0"/>
          <w:sz w:val="28"/>
          <w:lang w:val="en-US" w:eastAsia="zh-CN"/>
        </w:rPr>
        <w:t>4</w:t>
      </w:r>
      <w:r>
        <w:rPr>
          <w:rFonts w:hint="eastAsia" w:ascii="Times New Roman" w:hAnsi="Times New Roman" w:eastAsia="方正仿宋_GBK" w:cs="Times New Roman"/>
          <w:kern w:val="0"/>
          <w:sz w:val="28"/>
        </w:rPr>
        <w:t>年开展的第五次经济普查，是我国全面建成小康社会，实现第一个百年奋斗目标之后，乘势而上开启全面建设社会主义现代化国家、向第二个百年奋斗目标进军新征程上的重大国情国力调查，也是党的二十大胜利召开后开展的首次大型普查。与前几次经济普查，特别是四经普相比，五经普在全面摸清第二、三产业“家底”基础上，还将调查了解国民经济各行业间的投入与产出关系，实现经济总量和结构数据的更好衔接。开展经济普查，对于摸清新时期经济社会发展“家底”，准确把握经济运行新变化、新特征，深化统计现代化改革，更加有效发挥经济普查对贯彻新发展理念、构建新发展格局、推动高质量发展情况的统计监测评价作用，具有十分重要的意义和作用。</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2、乡（镇）村两级统计人员调查补贴</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 xml:space="preserve">为切实加强全县基层统计基础工作，提高基层统计数据质量，维护统计数据的严肃性，进一步调动乡（镇）村两级统计人员的积极性，根据《阜平县人民政府关于进一不加强和改进统计工作的意见》（阜政[2010]14号）文件要求，要切实落实乡（镇）村两级统计人员的补贴待遇。 </w:t>
      </w:r>
    </w:p>
    <w:p>
      <w:pPr>
        <w:ind w:firstLine="560" w:firstLineChars="200"/>
        <w:rPr>
          <w:rFonts w:hint="eastAsia" w:ascii="Times New Roman" w:hAnsi="Times New Roman" w:eastAsia="方正仿宋_GBK" w:cs="Times New Roman"/>
          <w:kern w:val="0"/>
          <w:sz w:val="28"/>
          <w:lang w:eastAsia="zh-CN"/>
        </w:rPr>
      </w:pPr>
      <w:r>
        <w:rPr>
          <w:rFonts w:hint="eastAsia" w:ascii="Times New Roman" w:hAnsi="Times New Roman" w:eastAsia="方正仿宋_GBK" w:cs="Times New Roman"/>
          <w:kern w:val="0"/>
          <w:sz w:val="28"/>
        </w:rPr>
        <w:t>3、</w:t>
      </w:r>
      <w:r>
        <w:rPr>
          <w:rFonts w:hint="eastAsia" w:ascii="Times New Roman" w:hAnsi="Times New Roman" w:eastAsia="方正仿宋_GBK" w:cs="Times New Roman"/>
          <w:kern w:val="0"/>
          <w:sz w:val="28"/>
          <w:lang w:eastAsia="zh-CN"/>
        </w:rPr>
        <w:t>居民收支调查</w:t>
      </w:r>
    </w:p>
    <w:p>
      <w:pPr>
        <w:numPr>
          <w:ilvl w:val="0"/>
          <w:numId w:val="0"/>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根据保定市人民政府《关于进一步加强全市居民收支调查工作的通知》，为全面、准确、及时了解城乡居民收入、消费及其他生活状况，客观监测居民收入分配格局和不同收入层次居民的生活质量,各级统计调查部门按照《住户收支与生活状况调查方案》规定，认真组织实施调查,确保调查数据质量，更好地满足研究制定城乡统筹政策和民生政策的需要，为国民经济核算和居民消费价格指数权重制定提供基础数据，准确反映分市县居民收支水平和增长速度，满足政府对市县管理的需要。</w:t>
      </w:r>
    </w:p>
    <w:p>
      <w:pPr>
        <w:numPr>
          <w:ilvl w:val="0"/>
          <w:numId w:val="0"/>
        </w:num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lang w:val="en-US" w:eastAsia="zh-CN"/>
        </w:rPr>
        <w:t>4、月度</w:t>
      </w:r>
      <w:r>
        <w:rPr>
          <w:rFonts w:hint="eastAsia" w:ascii="Times New Roman" w:hAnsi="Times New Roman" w:eastAsia="方正仿宋_GBK" w:cs="Times New Roman"/>
          <w:kern w:val="0"/>
          <w:sz w:val="28"/>
        </w:rPr>
        <w:t>失业率调查</w:t>
      </w:r>
    </w:p>
    <w:p>
      <w:p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以习近平新时代中国特色社会主义思想为指导，全面贯彻党的十九大和十九届二中、三中、四中、五中全会精神，增强“四个意识”、坚定“四个自信”、做到“两个维护”，认真落实党中央、国务院决策部署，全面强化就业优先政策，健全完善就业失业统计监测体系，建立省级月度调查失业率统计制度，全面反映我省就业失业状况，动态监测就业形势变化，为因地制宜实施稳就业政策措施提供统计信息支持，进一步提升就业管理水平。</w:t>
      </w:r>
    </w:p>
    <w:p>
      <w:pPr>
        <w:ind w:firstLine="560" w:firstLineChars="200"/>
        <w:rPr>
          <w:rFonts w:hint="eastAsia" w:ascii="Times New Roman" w:hAnsi="Times New Roman" w:eastAsia="方正仿宋_GBK" w:cs="Times New Roman"/>
          <w:kern w:val="0"/>
          <w:sz w:val="28"/>
          <w:lang w:val="en-US" w:eastAsia="zh-CN"/>
        </w:rPr>
      </w:pPr>
      <w:r>
        <w:rPr>
          <w:rFonts w:hint="eastAsia" w:ascii="Times New Roman" w:hAnsi="Times New Roman" w:eastAsia="方正仿宋_GBK" w:cs="Times New Roman"/>
          <w:kern w:val="0"/>
          <w:sz w:val="28"/>
          <w:lang w:val="en-US" w:eastAsia="zh-CN"/>
        </w:rPr>
        <w:t>5、人口抽样调查</w:t>
      </w:r>
    </w:p>
    <w:p>
      <w:pPr>
        <w:ind w:firstLine="560" w:firstLineChars="200"/>
        <w:rPr>
          <w:rFonts w:ascii="Times New Roman" w:hAnsi="Times New Roman" w:eastAsia="方正仿宋_GBK" w:cs="Times New Roman"/>
          <w:color w:val="000000"/>
          <w:kern w:val="0"/>
          <w:sz w:val="28"/>
          <w:lang w:eastAsia="uk-UA"/>
        </w:rPr>
      </w:pPr>
      <w:r>
        <w:rPr>
          <w:rFonts w:hint="eastAsia" w:ascii="Times New Roman" w:hAnsi="Times New Roman" w:eastAsia="方正仿宋_GBK" w:cs="Times New Roman"/>
          <w:kern w:val="0"/>
          <w:sz w:val="28"/>
          <w:lang w:val="en-US" w:eastAsia="zh-CN"/>
        </w:rPr>
        <w:t>人口抽样调查是在没有全国人口普查的年份进行的一个经常性抽样调查工作，开展年度人口抽样调查，获取丰富详实的人口信息，及时全面监测生育形势和人口变动趋势，是贯彻落实党中央、国务院有关人口问题决策部署的重要举措。人口变动情况抽样调查所了解的情况，是国家制定经济社会发展规划和各项政策的重要参考。因此，做好这项调查的意义十分重大。人口问题事关国家战略性、全局性问题，特别是当前面临出生人口减少，人口总量出现负增长，人口老龄化程度加深等问题，各级党委、政府及社会公众对人口问题的关注程度持续提高，新形势下做好人口统计工作至关重要。需要进行村级样本核查、住房核查和登记复查三项主要工作。</w:t>
      </w:r>
    </w:p>
    <w:p>
      <w:pPr>
        <w:widowControl/>
        <w:spacing w:line="500" w:lineRule="exact"/>
        <w:ind w:firstLine="560"/>
        <w:jc w:val="left"/>
        <w:rPr>
          <w:rFonts w:ascii="Times New Roman" w:hAnsi="Times New Roman" w:eastAsia="方正仿宋_GBK" w:cs="Times New Roman"/>
          <w:color w:val="000000"/>
          <w:kern w:val="0"/>
          <w:sz w:val="28"/>
          <w:lang w:val="uk-UA" w:eastAsia="uk-UA"/>
        </w:rPr>
      </w:pPr>
      <w:r>
        <w:rPr>
          <w:rFonts w:ascii="Times New Roman" w:hAnsi="Times New Roman" w:eastAsia="方正仿宋_GBK" w:cs="Times New Roman"/>
          <w:color w:val="000000"/>
          <w:kern w:val="0"/>
          <w:sz w:val="28"/>
          <w:lang w:eastAsia="uk-UA"/>
        </w:rPr>
        <w:t>（三）工作保障措施</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1、强化统计基层建设，提高业务水平，以及时准确完成上级布置的各项工作任务。</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一是组织、督促各相关报表单位统计人员报考统计从业资格证及参加继续教育。二是强化基层指导。利用专业QQ群、电话指导、深入企业面对面指导等多种形式，加强基层业务指导，让统计员准确理解掌握指标含义、填报方法、填报规定等，提升业务能力。同时加强基层基础工作科学化、规范化、制度化管理的指导，推进全县统计基层基础规范化建设，切实提高统计数据质量。三是适时督促帮助各乡镇统计员做好基层统计台账和原始资料档案整理工作，使各类统计报表统一实行档案化管理，做到资料目录齐全、存放整齐、立卷归档、妥善保管。四是加强统计信息化建设，进一步完善县局与乡镇统计网络建设，确保网络畅通和安全，实现省、市、县、乡联网直报。</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2、全面加强统计队伍建设</w:t>
      </w:r>
    </w:p>
    <w:p>
      <w:pPr>
        <w:ind w:firstLine="560" w:firstLineChars="200"/>
        <w:rPr>
          <w:rFonts w:ascii="Times New Roman" w:hAnsi="Times New Roman" w:eastAsia="方正仿宋_GBK" w:cs="Times New Roman"/>
          <w:kern w:val="0"/>
          <w:sz w:val="28"/>
        </w:rPr>
      </w:pPr>
      <w:r>
        <w:rPr>
          <w:rFonts w:hint="eastAsia" w:ascii="Times New Roman" w:hAnsi="Times New Roman" w:eastAsia="方正仿宋_GBK" w:cs="Times New Roman"/>
          <w:kern w:val="0"/>
          <w:sz w:val="28"/>
        </w:rPr>
        <w:t>加强政治和业务教育，提升干部整体素质。结合县专项教育活动，加强干部的政治理论学习，教育广大干部严格要求自己，不断提升政治素养。强化业务学习，通过实施统计岗位AB制度，提高业务技能与工作效率。通过定期对乡镇统计人员及企业统计负责人培训学习的形式，提高各报表单位统计人员业务素质，努力培养一支高素质的统计队伍。</w:t>
      </w:r>
    </w:p>
    <w:p>
      <w:pPr>
        <w:numPr>
          <w:ilvl w:val="0"/>
          <w:numId w:val="2"/>
        </w:numPr>
        <w:ind w:firstLine="560" w:firstLineChars="200"/>
        <w:rPr>
          <w:rFonts w:hint="eastAsia" w:ascii="Times New Roman" w:hAnsi="Times New Roman" w:eastAsia="方正仿宋_GBK" w:cs="Times New Roman"/>
          <w:kern w:val="0"/>
          <w:sz w:val="28"/>
        </w:rPr>
      </w:pPr>
      <w:r>
        <w:rPr>
          <w:rFonts w:hint="eastAsia" w:ascii="Times New Roman" w:hAnsi="Times New Roman" w:eastAsia="方正仿宋_GBK" w:cs="Times New Roman"/>
          <w:kern w:val="0"/>
          <w:sz w:val="28"/>
        </w:rPr>
        <w:t>积极主动参加省市开展的各项培训会议，扩大培训层面、人数，认真领会上级指示，不折不扣落实工作任务。严格按部署要求，完成普查、各项调查及其他任务。</w:t>
      </w: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val="0"/>
        <w:numPr>
          <w:ilvl w:val="0"/>
          <w:numId w:val="0"/>
        </w:numPr>
        <w:jc w:val="both"/>
        <w:rPr>
          <w:rFonts w:hint="eastAsia" w:ascii="Times New Roman" w:hAnsi="Times New Roman" w:eastAsia="方正仿宋_GBK" w:cs="Times New Roman"/>
          <w:kern w:val="0"/>
          <w:sz w:val="28"/>
        </w:rPr>
      </w:pPr>
    </w:p>
    <w:p>
      <w:pPr>
        <w:widowControl/>
        <w:numPr>
          <w:ilvl w:val="0"/>
          <w:numId w:val="3"/>
        </w:numPr>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lang w:eastAsia="uk-UA"/>
        </w:rPr>
        <w:t xml:space="preserve"> 专项资金绩效目标</w:t>
      </w:r>
    </w:p>
    <w:p>
      <w:pPr>
        <w:widowControl/>
        <w:numPr>
          <w:ilvl w:val="0"/>
          <w:numId w:val="0"/>
        </w:numPr>
        <w:jc w:val="left"/>
        <w:rPr>
          <w:rFonts w:ascii="方正楷体_GBK" w:hAnsi="方正楷体_GBK" w:eastAsia="方正楷体_GBK" w:cs="方正楷体_GBK"/>
          <w:b/>
          <w:color w:val="000000"/>
          <w:kern w:val="0"/>
          <w:sz w:val="32"/>
          <w:lang w:eastAsia="uk-UA"/>
        </w:rPr>
      </w:pPr>
    </w:p>
    <w:p>
      <w:pPr>
        <w:spacing w:before="0" w:after="0"/>
        <w:jc w:val="left"/>
        <w:outlineLvl w:val="3"/>
        <w:rPr>
          <w:rFonts w:ascii="方正仿宋_GBK" w:hAnsi="方正仿宋_GBK" w:eastAsia="方正仿宋_GBK" w:cs="方正仿宋_GBK"/>
          <w:color w:val="000000"/>
          <w:sz w:val="28"/>
        </w:rPr>
      </w:pPr>
      <w:bookmarkStart w:id="9" w:name="_Toc_4_4_0000000004"/>
    </w:p>
    <w:p>
      <w:pPr>
        <w:spacing w:before="0" w:after="0"/>
        <w:jc w:val="left"/>
        <w:outlineLvl w:val="3"/>
      </w:pPr>
      <w:r>
        <w:rPr>
          <w:rFonts w:ascii="方正仿宋_GBK" w:hAnsi="方正仿宋_GBK" w:eastAsia="方正仿宋_GBK" w:cs="方正仿宋_GBK"/>
          <w:color w:val="000000"/>
          <w:sz w:val="28"/>
        </w:rPr>
        <w:t>1.劳务派遣人员经费绩效目标表</w:t>
      </w:r>
      <w:bookmarkEnd w:id="9"/>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976"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1327" w:type="dxa"/>
            <w:vAlign w:val="center"/>
          </w:tcPr>
          <w:p>
            <w:pPr>
              <w:pStyle w:val="11"/>
            </w:pPr>
            <w:r>
              <w:t>项目编码</w:t>
            </w:r>
          </w:p>
        </w:tc>
        <w:tc>
          <w:tcPr>
            <w:tcW w:w="2654" w:type="dxa"/>
            <w:gridSpan w:val="2"/>
            <w:vAlign w:val="center"/>
          </w:tcPr>
          <w:p>
            <w:pPr>
              <w:pStyle w:val="12"/>
            </w:pPr>
            <w:r>
              <w:t>13062424P007772100027</w:t>
            </w:r>
          </w:p>
        </w:tc>
        <w:tc>
          <w:tcPr>
            <w:tcW w:w="1327" w:type="dxa"/>
            <w:vAlign w:val="center"/>
          </w:tcPr>
          <w:p>
            <w:pPr>
              <w:pStyle w:val="11"/>
            </w:pPr>
            <w:r>
              <w:t>项目名称</w:t>
            </w:r>
          </w:p>
        </w:tc>
        <w:tc>
          <w:tcPr>
            <w:tcW w:w="7630" w:type="dxa"/>
            <w:gridSpan w:val="3"/>
            <w:vAlign w:val="center"/>
          </w:tcPr>
          <w:p>
            <w:pPr>
              <w:pStyle w:val="12"/>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21.00</w:t>
            </w:r>
          </w:p>
        </w:tc>
        <w:tc>
          <w:tcPr>
            <w:tcW w:w="1327" w:type="dxa"/>
            <w:vAlign w:val="center"/>
          </w:tcPr>
          <w:p>
            <w:pPr>
              <w:pStyle w:val="11"/>
            </w:pPr>
            <w:r>
              <w:t>其中：财政    资金</w:t>
            </w:r>
          </w:p>
        </w:tc>
        <w:tc>
          <w:tcPr>
            <w:tcW w:w="1327" w:type="dxa"/>
            <w:vAlign w:val="center"/>
          </w:tcPr>
          <w:p>
            <w:pPr>
              <w:pStyle w:val="12"/>
            </w:pPr>
            <w:r>
              <w:t>21.00</w:t>
            </w:r>
          </w:p>
        </w:tc>
        <w:tc>
          <w:tcPr>
            <w:tcW w:w="1327" w:type="dxa"/>
            <w:vAlign w:val="center"/>
          </w:tcPr>
          <w:p>
            <w:pPr>
              <w:pStyle w:val="11"/>
            </w:pPr>
            <w:r>
              <w:t>其他资金</w:t>
            </w:r>
          </w:p>
        </w:tc>
        <w:tc>
          <w:tcPr>
            <w:tcW w:w="49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1327" w:type="dxa"/>
            <w:vMerge w:val="continue"/>
          </w:tcPr>
          <w:p/>
        </w:tc>
        <w:tc>
          <w:tcPr>
            <w:tcW w:w="11611" w:type="dxa"/>
            <w:gridSpan w:val="6"/>
            <w:vAlign w:val="center"/>
          </w:tcPr>
          <w:p>
            <w:pPr>
              <w:pStyle w:val="12"/>
            </w:pPr>
            <w:r>
              <w:t>2024年劳务派遣人员经费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303"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3"/>
            </w:pPr>
            <w:r>
              <w:t>0.53</w:t>
            </w:r>
          </w:p>
        </w:tc>
        <w:tc>
          <w:tcPr>
            <w:tcW w:w="1327" w:type="dxa"/>
            <w:vAlign w:val="center"/>
          </w:tcPr>
          <w:p>
            <w:pPr>
              <w:pStyle w:val="13"/>
            </w:pPr>
            <w:r>
              <w:t>1.05</w:t>
            </w:r>
          </w:p>
        </w:tc>
        <w:tc>
          <w:tcPr>
            <w:tcW w:w="1327" w:type="dxa"/>
            <w:vAlign w:val="center"/>
          </w:tcPr>
          <w:p>
            <w:pPr>
              <w:pStyle w:val="13"/>
            </w:pPr>
            <w:r>
              <w:t>1.58</w:t>
            </w:r>
          </w:p>
        </w:tc>
        <w:tc>
          <w:tcPr>
            <w:tcW w:w="6303" w:type="dxa"/>
            <w:gridSpan w:val="2"/>
            <w:vAlign w:val="center"/>
          </w:tcPr>
          <w:p>
            <w:pPr>
              <w:pStyle w:val="13"/>
            </w:pPr>
            <w:r>
              <w:t>2.10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611" w:type="dxa"/>
            <w:gridSpan w:val="6"/>
            <w:vAlign w:val="center"/>
          </w:tcPr>
          <w:p>
            <w:pPr>
              <w:pStyle w:val="12"/>
            </w:pPr>
            <w:r>
              <w:t>1.更好的开展统计工作，圆满完成上级及县委</w:t>
            </w:r>
            <w:bookmarkStart w:id="19" w:name="_GoBack"/>
            <w:bookmarkEnd w:id="19"/>
            <w:r>
              <w:t>政府布置的各项任务。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pPr w:leftFromText="180" w:rightFromText="180" w:vertAnchor="text" w:horzAnchor="page" w:tblpX="1637" w:tblpY="1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95"/>
        <w:gridCol w:w="1333"/>
        <w:gridCol w:w="1333"/>
        <w:gridCol w:w="2666"/>
        <w:gridCol w:w="1333"/>
        <w:gridCol w:w="495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atLeast"/>
          <w:tblHeader/>
        </w:trPr>
        <w:tc>
          <w:tcPr>
            <w:tcW w:w="1295" w:type="dxa"/>
            <w:vAlign w:val="center"/>
          </w:tcPr>
          <w:p>
            <w:pPr>
              <w:pStyle w:val="11"/>
            </w:pPr>
            <w:r>
              <w:t>一级指标</w:t>
            </w:r>
          </w:p>
        </w:tc>
        <w:tc>
          <w:tcPr>
            <w:tcW w:w="1333" w:type="dxa"/>
            <w:vAlign w:val="center"/>
          </w:tcPr>
          <w:p>
            <w:pPr>
              <w:pStyle w:val="11"/>
            </w:pPr>
            <w:r>
              <w:t>二级指标</w:t>
            </w:r>
          </w:p>
        </w:tc>
        <w:tc>
          <w:tcPr>
            <w:tcW w:w="1333" w:type="dxa"/>
            <w:vAlign w:val="center"/>
          </w:tcPr>
          <w:p>
            <w:pPr>
              <w:pStyle w:val="11"/>
            </w:pPr>
            <w:r>
              <w:t>三级指标</w:t>
            </w:r>
          </w:p>
        </w:tc>
        <w:tc>
          <w:tcPr>
            <w:tcW w:w="2666" w:type="dxa"/>
            <w:vAlign w:val="center"/>
          </w:tcPr>
          <w:p>
            <w:pPr>
              <w:pStyle w:val="11"/>
            </w:pPr>
            <w:r>
              <w:t>绩效指标描述</w:t>
            </w:r>
          </w:p>
        </w:tc>
        <w:tc>
          <w:tcPr>
            <w:tcW w:w="1333" w:type="dxa"/>
            <w:vAlign w:val="center"/>
          </w:tcPr>
          <w:p>
            <w:pPr>
              <w:pStyle w:val="11"/>
            </w:pPr>
            <w:r>
              <w:t>指标值</w:t>
            </w:r>
          </w:p>
        </w:tc>
        <w:tc>
          <w:tcPr>
            <w:tcW w:w="4955"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295" w:type="dxa"/>
            <w:vMerge w:val="restart"/>
            <w:vAlign w:val="center"/>
          </w:tcPr>
          <w:p>
            <w:pPr>
              <w:pStyle w:val="13"/>
            </w:pPr>
            <w:r>
              <w:t>产出指标</w:t>
            </w:r>
          </w:p>
        </w:tc>
        <w:tc>
          <w:tcPr>
            <w:tcW w:w="1333" w:type="dxa"/>
            <w:vAlign w:val="center"/>
          </w:tcPr>
          <w:p>
            <w:pPr>
              <w:pStyle w:val="12"/>
            </w:pPr>
            <w:r>
              <w:t>数量指标</w:t>
            </w:r>
          </w:p>
        </w:tc>
        <w:tc>
          <w:tcPr>
            <w:tcW w:w="1333" w:type="dxa"/>
            <w:vAlign w:val="center"/>
          </w:tcPr>
          <w:p>
            <w:pPr>
              <w:pStyle w:val="12"/>
            </w:pPr>
            <w:r>
              <w:t>统计信息采集量</w:t>
            </w:r>
          </w:p>
        </w:tc>
        <w:tc>
          <w:tcPr>
            <w:tcW w:w="2666" w:type="dxa"/>
            <w:vAlign w:val="center"/>
          </w:tcPr>
          <w:p>
            <w:pPr>
              <w:pStyle w:val="12"/>
            </w:pPr>
            <w:r>
              <w:t>统计信息采集量</w:t>
            </w:r>
          </w:p>
        </w:tc>
        <w:tc>
          <w:tcPr>
            <w:tcW w:w="1333" w:type="dxa"/>
            <w:vAlign w:val="center"/>
          </w:tcPr>
          <w:p>
            <w:pPr>
              <w:pStyle w:val="12"/>
            </w:pPr>
            <w:r>
              <w:t>≥6篇</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1" w:hRule="atLeast"/>
        </w:trPr>
        <w:tc>
          <w:tcPr>
            <w:tcW w:w="1295" w:type="dxa"/>
            <w:vMerge w:val="continue"/>
            <w:vAlign w:val="center"/>
          </w:tcPr>
          <w:p/>
        </w:tc>
        <w:tc>
          <w:tcPr>
            <w:tcW w:w="1333" w:type="dxa"/>
            <w:vAlign w:val="center"/>
          </w:tcPr>
          <w:p>
            <w:pPr>
              <w:pStyle w:val="12"/>
            </w:pPr>
            <w:r>
              <w:t>质量指标</w:t>
            </w:r>
          </w:p>
        </w:tc>
        <w:tc>
          <w:tcPr>
            <w:tcW w:w="1333" w:type="dxa"/>
            <w:vAlign w:val="center"/>
          </w:tcPr>
          <w:p>
            <w:pPr>
              <w:pStyle w:val="12"/>
            </w:pPr>
            <w:r>
              <w:t>业务培训覆盖率</w:t>
            </w:r>
          </w:p>
        </w:tc>
        <w:tc>
          <w:tcPr>
            <w:tcW w:w="2666" w:type="dxa"/>
            <w:vAlign w:val="center"/>
          </w:tcPr>
          <w:p>
            <w:pPr>
              <w:pStyle w:val="12"/>
            </w:pPr>
            <w:r>
              <w:t>业务培训覆盖率</w:t>
            </w:r>
          </w:p>
        </w:tc>
        <w:tc>
          <w:tcPr>
            <w:tcW w:w="1333" w:type="dxa"/>
            <w:vAlign w:val="center"/>
          </w:tcPr>
          <w:p>
            <w:pPr>
              <w:pStyle w:val="12"/>
            </w:pPr>
            <w:r>
              <w:t>≥98%</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1" w:hRule="atLeast"/>
        </w:trPr>
        <w:tc>
          <w:tcPr>
            <w:tcW w:w="1295" w:type="dxa"/>
            <w:vMerge w:val="continue"/>
            <w:vAlign w:val="center"/>
          </w:tcPr>
          <w:p/>
        </w:tc>
        <w:tc>
          <w:tcPr>
            <w:tcW w:w="1333" w:type="dxa"/>
            <w:vAlign w:val="center"/>
          </w:tcPr>
          <w:p>
            <w:pPr>
              <w:pStyle w:val="12"/>
            </w:pPr>
            <w:r>
              <w:t>时效指标</w:t>
            </w:r>
          </w:p>
        </w:tc>
        <w:tc>
          <w:tcPr>
            <w:tcW w:w="1333" w:type="dxa"/>
            <w:vAlign w:val="center"/>
          </w:tcPr>
          <w:p>
            <w:pPr>
              <w:pStyle w:val="12"/>
            </w:pPr>
            <w:r>
              <w:t>统计任务完成率</w:t>
            </w:r>
          </w:p>
        </w:tc>
        <w:tc>
          <w:tcPr>
            <w:tcW w:w="2666" w:type="dxa"/>
            <w:vAlign w:val="center"/>
          </w:tcPr>
          <w:p>
            <w:pPr>
              <w:pStyle w:val="12"/>
            </w:pPr>
            <w:r>
              <w:t>已完成的专项统计任务占全部任务的比率</w:t>
            </w:r>
          </w:p>
        </w:tc>
        <w:tc>
          <w:tcPr>
            <w:tcW w:w="1333" w:type="dxa"/>
            <w:vAlign w:val="center"/>
          </w:tcPr>
          <w:p>
            <w:pPr>
              <w:pStyle w:val="12"/>
            </w:pPr>
            <w:r>
              <w:t>≥98%</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295" w:type="dxa"/>
            <w:vMerge w:val="continue"/>
            <w:vAlign w:val="center"/>
          </w:tcPr>
          <w:p/>
        </w:tc>
        <w:tc>
          <w:tcPr>
            <w:tcW w:w="1333" w:type="dxa"/>
            <w:vAlign w:val="center"/>
          </w:tcPr>
          <w:p>
            <w:pPr>
              <w:pStyle w:val="12"/>
            </w:pPr>
            <w:r>
              <w:t>成本指标</w:t>
            </w:r>
          </w:p>
        </w:tc>
        <w:tc>
          <w:tcPr>
            <w:tcW w:w="1333" w:type="dxa"/>
            <w:vAlign w:val="center"/>
          </w:tcPr>
          <w:p>
            <w:pPr>
              <w:pStyle w:val="12"/>
            </w:pPr>
            <w:r>
              <w:t>节约成本</w:t>
            </w:r>
          </w:p>
        </w:tc>
        <w:tc>
          <w:tcPr>
            <w:tcW w:w="2666" w:type="dxa"/>
            <w:vAlign w:val="center"/>
          </w:tcPr>
          <w:p>
            <w:pPr>
              <w:pStyle w:val="12"/>
            </w:pPr>
            <w:r>
              <w:t>节约成本</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1295" w:type="dxa"/>
            <w:vMerge w:val="restart"/>
            <w:vAlign w:val="center"/>
          </w:tcPr>
          <w:p>
            <w:pPr>
              <w:pStyle w:val="13"/>
            </w:pPr>
            <w:r>
              <w:t>效益指标</w:t>
            </w:r>
          </w:p>
        </w:tc>
        <w:tc>
          <w:tcPr>
            <w:tcW w:w="1333" w:type="dxa"/>
            <w:vAlign w:val="center"/>
          </w:tcPr>
          <w:p>
            <w:pPr>
              <w:pStyle w:val="12"/>
            </w:pPr>
            <w:r>
              <w:t>经济效益指标</w:t>
            </w:r>
          </w:p>
        </w:tc>
        <w:tc>
          <w:tcPr>
            <w:tcW w:w="1333" w:type="dxa"/>
            <w:vAlign w:val="center"/>
          </w:tcPr>
          <w:p>
            <w:pPr>
              <w:pStyle w:val="12"/>
            </w:pPr>
            <w:r>
              <w:t>促进经济发展</w:t>
            </w:r>
          </w:p>
        </w:tc>
        <w:tc>
          <w:tcPr>
            <w:tcW w:w="2666" w:type="dxa"/>
            <w:vAlign w:val="center"/>
          </w:tcPr>
          <w:p>
            <w:pPr>
              <w:pStyle w:val="12"/>
            </w:pPr>
            <w:r>
              <w:t>促进经济发展</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1" w:hRule="atLeast"/>
        </w:trPr>
        <w:tc>
          <w:tcPr>
            <w:tcW w:w="1295" w:type="dxa"/>
            <w:vMerge w:val="continue"/>
            <w:vAlign w:val="center"/>
          </w:tcPr>
          <w:p/>
        </w:tc>
        <w:tc>
          <w:tcPr>
            <w:tcW w:w="1333" w:type="dxa"/>
            <w:vAlign w:val="center"/>
          </w:tcPr>
          <w:p>
            <w:pPr>
              <w:pStyle w:val="12"/>
            </w:pPr>
            <w:r>
              <w:t>经济效益指标</w:t>
            </w:r>
          </w:p>
        </w:tc>
        <w:tc>
          <w:tcPr>
            <w:tcW w:w="1333" w:type="dxa"/>
            <w:vAlign w:val="center"/>
          </w:tcPr>
          <w:p>
            <w:pPr>
              <w:pStyle w:val="12"/>
            </w:pPr>
            <w:r>
              <w:t>促进社会发展</w:t>
            </w:r>
          </w:p>
        </w:tc>
        <w:tc>
          <w:tcPr>
            <w:tcW w:w="2666" w:type="dxa"/>
            <w:vAlign w:val="center"/>
          </w:tcPr>
          <w:p>
            <w:pPr>
              <w:pStyle w:val="12"/>
            </w:pPr>
            <w:r>
              <w:t>促进社会发展</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trPr>
        <w:tc>
          <w:tcPr>
            <w:tcW w:w="1295" w:type="dxa"/>
            <w:vMerge w:val="continue"/>
            <w:vAlign w:val="center"/>
          </w:tcPr>
          <w:p/>
        </w:tc>
        <w:tc>
          <w:tcPr>
            <w:tcW w:w="1333" w:type="dxa"/>
            <w:vAlign w:val="center"/>
          </w:tcPr>
          <w:p>
            <w:pPr>
              <w:pStyle w:val="12"/>
            </w:pPr>
            <w:r>
              <w:t>可持续影响指标</w:t>
            </w:r>
          </w:p>
        </w:tc>
        <w:tc>
          <w:tcPr>
            <w:tcW w:w="1333" w:type="dxa"/>
            <w:vAlign w:val="center"/>
          </w:tcPr>
          <w:p>
            <w:pPr>
              <w:pStyle w:val="12"/>
            </w:pPr>
            <w:r>
              <w:t>提供统计服务</w:t>
            </w:r>
          </w:p>
        </w:tc>
        <w:tc>
          <w:tcPr>
            <w:tcW w:w="2666" w:type="dxa"/>
            <w:vAlign w:val="center"/>
          </w:tcPr>
          <w:p>
            <w:pPr>
              <w:pStyle w:val="12"/>
            </w:pPr>
            <w:r>
              <w:t>为政府和社会群众提供统计信息和咨询</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trPr>
        <w:tc>
          <w:tcPr>
            <w:tcW w:w="1295" w:type="dxa"/>
            <w:vMerge w:val="continue"/>
            <w:vAlign w:val="center"/>
          </w:tcPr>
          <w:p/>
        </w:tc>
        <w:tc>
          <w:tcPr>
            <w:tcW w:w="1333" w:type="dxa"/>
            <w:vAlign w:val="center"/>
          </w:tcPr>
          <w:p>
            <w:pPr>
              <w:pStyle w:val="12"/>
            </w:pPr>
            <w:r>
              <w:t>社会效益指标</w:t>
            </w:r>
          </w:p>
        </w:tc>
        <w:tc>
          <w:tcPr>
            <w:tcW w:w="1333" w:type="dxa"/>
            <w:vAlign w:val="center"/>
          </w:tcPr>
          <w:p>
            <w:pPr>
              <w:pStyle w:val="12"/>
            </w:pPr>
            <w:r>
              <w:t>促进社会发展</w:t>
            </w:r>
          </w:p>
        </w:tc>
        <w:tc>
          <w:tcPr>
            <w:tcW w:w="2666" w:type="dxa"/>
            <w:vAlign w:val="center"/>
          </w:tcPr>
          <w:p>
            <w:pPr>
              <w:pStyle w:val="12"/>
            </w:pPr>
            <w:r>
              <w:t>促进社会发展</w:t>
            </w:r>
          </w:p>
        </w:tc>
        <w:tc>
          <w:tcPr>
            <w:tcW w:w="1333" w:type="dxa"/>
            <w:vAlign w:val="center"/>
          </w:tcPr>
          <w:p>
            <w:pPr>
              <w:pStyle w:val="12"/>
            </w:pPr>
            <w:r>
              <w:t>有效</w:t>
            </w:r>
          </w:p>
        </w:tc>
        <w:tc>
          <w:tcPr>
            <w:tcW w:w="4955" w:type="dxa"/>
            <w:vAlign w:val="center"/>
          </w:tcPr>
          <w:p>
            <w:pPr>
              <w:pStyle w:val="12"/>
            </w:pPr>
            <w:r>
              <w:t>《阜平县招聘工作人员领导小组关于行政审批局等四部门招聘工作人员的公告》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trPr>
        <w:tc>
          <w:tcPr>
            <w:tcW w:w="1295" w:type="dxa"/>
            <w:vAlign w:val="center"/>
          </w:tcPr>
          <w:p>
            <w:pPr>
              <w:pStyle w:val="13"/>
            </w:pPr>
            <w:r>
              <w:t>满意度指标</w:t>
            </w:r>
          </w:p>
        </w:tc>
        <w:tc>
          <w:tcPr>
            <w:tcW w:w="1333" w:type="dxa"/>
            <w:vAlign w:val="center"/>
          </w:tcPr>
          <w:p>
            <w:pPr>
              <w:pStyle w:val="12"/>
            </w:pPr>
            <w:r>
              <w:t>服务对象满意度指标</w:t>
            </w:r>
          </w:p>
        </w:tc>
        <w:tc>
          <w:tcPr>
            <w:tcW w:w="1333" w:type="dxa"/>
            <w:vAlign w:val="center"/>
          </w:tcPr>
          <w:p>
            <w:pPr>
              <w:pStyle w:val="12"/>
            </w:pPr>
            <w:r>
              <w:t>工作对象满意度</w:t>
            </w:r>
          </w:p>
        </w:tc>
        <w:tc>
          <w:tcPr>
            <w:tcW w:w="2666" w:type="dxa"/>
            <w:vAlign w:val="center"/>
          </w:tcPr>
          <w:p>
            <w:pPr>
              <w:pStyle w:val="12"/>
            </w:pPr>
            <w:r>
              <w:t>满意率</w:t>
            </w:r>
          </w:p>
        </w:tc>
        <w:tc>
          <w:tcPr>
            <w:tcW w:w="1333" w:type="dxa"/>
            <w:vAlign w:val="center"/>
          </w:tcPr>
          <w:p>
            <w:pPr>
              <w:pStyle w:val="12"/>
            </w:pPr>
            <w:r>
              <w:t>≥98%</w:t>
            </w:r>
          </w:p>
        </w:tc>
        <w:tc>
          <w:tcPr>
            <w:tcW w:w="4955" w:type="dxa"/>
            <w:vAlign w:val="center"/>
          </w:tcPr>
          <w:p>
            <w:pPr>
              <w:pStyle w:val="12"/>
            </w:pPr>
            <w:r>
              <w:t>《阜平县招聘工作人员领导小组关于行政审批局等四部门招聘工作人员的公告》</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05"/>
      <w:r>
        <w:rPr>
          <w:rFonts w:ascii="方正仿宋_GBK" w:hAnsi="方正仿宋_GBK" w:eastAsia="方正仿宋_GBK" w:cs="方正仿宋_GBK"/>
          <w:color w:val="000000"/>
          <w:sz w:val="28"/>
        </w:rPr>
        <w:t>2.第五次全国经济普查绩效目标表</w:t>
      </w:r>
      <w:bookmarkEnd w:id="10"/>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90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905"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项目编码</w:t>
            </w:r>
          </w:p>
        </w:tc>
        <w:tc>
          <w:tcPr>
            <w:tcW w:w="2654" w:type="dxa"/>
            <w:gridSpan w:val="2"/>
            <w:vAlign w:val="center"/>
          </w:tcPr>
          <w:p>
            <w:pPr>
              <w:pStyle w:val="12"/>
            </w:pPr>
            <w:r>
              <w:t>13062424P00815810001B</w:t>
            </w:r>
          </w:p>
        </w:tc>
        <w:tc>
          <w:tcPr>
            <w:tcW w:w="1327" w:type="dxa"/>
            <w:vAlign w:val="center"/>
          </w:tcPr>
          <w:p>
            <w:pPr>
              <w:pStyle w:val="11"/>
            </w:pPr>
            <w:r>
              <w:t>项目名称</w:t>
            </w:r>
          </w:p>
        </w:tc>
        <w:tc>
          <w:tcPr>
            <w:tcW w:w="7559" w:type="dxa"/>
            <w:gridSpan w:val="3"/>
            <w:vAlign w:val="center"/>
          </w:tcPr>
          <w:p>
            <w:pPr>
              <w:pStyle w:val="12"/>
            </w:pPr>
            <w:r>
              <w:t>第五次全国经济普查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40.40</w:t>
            </w:r>
          </w:p>
        </w:tc>
        <w:tc>
          <w:tcPr>
            <w:tcW w:w="1327" w:type="dxa"/>
            <w:vAlign w:val="center"/>
          </w:tcPr>
          <w:p>
            <w:pPr>
              <w:pStyle w:val="11"/>
            </w:pPr>
            <w:r>
              <w:t>其中：财政    资金</w:t>
            </w:r>
          </w:p>
        </w:tc>
        <w:tc>
          <w:tcPr>
            <w:tcW w:w="1327" w:type="dxa"/>
            <w:vAlign w:val="center"/>
          </w:tcPr>
          <w:p>
            <w:pPr>
              <w:pStyle w:val="12"/>
            </w:pPr>
            <w:r>
              <w:t>40.40</w:t>
            </w:r>
          </w:p>
        </w:tc>
        <w:tc>
          <w:tcPr>
            <w:tcW w:w="1327" w:type="dxa"/>
            <w:vAlign w:val="center"/>
          </w:tcPr>
          <w:p>
            <w:pPr>
              <w:pStyle w:val="11"/>
            </w:pPr>
            <w:r>
              <w:t>其他资金</w:t>
            </w:r>
          </w:p>
        </w:tc>
        <w:tc>
          <w:tcPr>
            <w:tcW w:w="4905"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540" w:type="dxa"/>
            <w:gridSpan w:val="6"/>
            <w:vAlign w:val="center"/>
          </w:tcPr>
          <w:p>
            <w:pPr>
              <w:pStyle w:val="12"/>
            </w:pPr>
            <w:r>
              <w:t>第五次全国经济普查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232"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3"/>
            </w:pPr>
            <w:r>
              <w:t>10.10</w:t>
            </w:r>
          </w:p>
        </w:tc>
        <w:tc>
          <w:tcPr>
            <w:tcW w:w="1327" w:type="dxa"/>
            <w:vAlign w:val="center"/>
          </w:tcPr>
          <w:p>
            <w:pPr>
              <w:pStyle w:val="13"/>
            </w:pPr>
            <w:r>
              <w:t>20.20</w:t>
            </w:r>
          </w:p>
        </w:tc>
        <w:tc>
          <w:tcPr>
            <w:tcW w:w="1327" w:type="dxa"/>
            <w:vAlign w:val="center"/>
          </w:tcPr>
          <w:p>
            <w:pPr>
              <w:pStyle w:val="13"/>
            </w:pPr>
            <w:r>
              <w:t>30.30</w:t>
            </w:r>
          </w:p>
        </w:tc>
        <w:tc>
          <w:tcPr>
            <w:tcW w:w="6232" w:type="dxa"/>
            <w:gridSpan w:val="2"/>
            <w:vAlign w:val="center"/>
          </w:tcPr>
          <w:p>
            <w:pPr>
              <w:pStyle w:val="13"/>
            </w:pPr>
            <w:r>
              <w:t>40.40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540" w:type="dxa"/>
            <w:gridSpan w:val="6"/>
            <w:vAlign w:val="center"/>
          </w:tcPr>
          <w:p>
            <w:pPr>
              <w:pStyle w:val="12"/>
            </w:pPr>
            <w:r>
              <w:t>1.做好普查工作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87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4872"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普查信息采用量</w:t>
            </w:r>
          </w:p>
        </w:tc>
        <w:tc>
          <w:tcPr>
            <w:tcW w:w="1327" w:type="dxa"/>
            <w:vAlign w:val="center"/>
          </w:tcPr>
          <w:p>
            <w:pPr>
              <w:pStyle w:val="12"/>
            </w:pPr>
            <w:r>
              <w:t>≥6个</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培训调查人员占所有调查人员的比重</w:t>
            </w:r>
          </w:p>
        </w:tc>
        <w:tc>
          <w:tcPr>
            <w:tcW w:w="1327" w:type="dxa"/>
            <w:vAlign w:val="center"/>
          </w:tcPr>
          <w:p>
            <w:pPr>
              <w:pStyle w:val="12"/>
            </w:pPr>
            <w:r>
              <w:t>≥98%</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普查统计完成率</w:t>
            </w:r>
          </w:p>
        </w:tc>
        <w:tc>
          <w:tcPr>
            <w:tcW w:w="2654" w:type="dxa"/>
            <w:vAlign w:val="center"/>
          </w:tcPr>
          <w:p>
            <w:pPr>
              <w:pStyle w:val="12"/>
            </w:pPr>
            <w:r>
              <w:t>已完成的普查任务占全部普查任务的比率</w:t>
            </w:r>
          </w:p>
        </w:tc>
        <w:tc>
          <w:tcPr>
            <w:tcW w:w="1327" w:type="dxa"/>
            <w:vAlign w:val="center"/>
          </w:tcPr>
          <w:p>
            <w:pPr>
              <w:pStyle w:val="12"/>
            </w:pPr>
            <w:r>
              <w:t>≥98%</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压缩成本率</w:t>
            </w:r>
          </w:p>
        </w:tc>
        <w:tc>
          <w:tcPr>
            <w:tcW w:w="2654" w:type="dxa"/>
            <w:vAlign w:val="center"/>
          </w:tcPr>
          <w:p>
            <w:pPr>
              <w:pStyle w:val="12"/>
            </w:pPr>
            <w:r>
              <w:t>压缩成本率</w:t>
            </w:r>
          </w:p>
        </w:tc>
        <w:tc>
          <w:tcPr>
            <w:tcW w:w="1327" w:type="dxa"/>
            <w:vAlign w:val="center"/>
          </w:tcPr>
          <w:p>
            <w:pPr>
              <w:pStyle w:val="12"/>
            </w:pPr>
            <w:r>
              <w:t>有效</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提供统计信息</w:t>
            </w:r>
          </w:p>
        </w:tc>
        <w:tc>
          <w:tcPr>
            <w:tcW w:w="2654" w:type="dxa"/>
            <w:vAlign w:val="center"/>
          </w:tcPr>
          <w:p>
            <w:pPr>
              <w:pStyle w:val="12"/>
            </w:pPr>
            <w:r>
              <w:t>为科学制定国民经济和社会发展规划，提供科学准确的统计信息支持。</w:t>
            </w:r>
          </w:p>
        </w:tc>
        <w:tc>
          <w:tcPr>
            <w:tcW w:w="1327" w:type="dxa"/>
            <w:vAlign w:val="center"/>
          </w:tcPr>
          <w:p>
            <w:pPr>
              <w:pStyle w:val="12"/>
            </w:pPr>
            <w:r>
              <w:t>提供的统计信息支持及时有效。</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促进经济社会发展</w:t>
            </w:r>
          </w:p>
        </w:tc>
        <w:tc>
          <w:tcPr>
            <w:tcW w:w="2654" w:type="dxa"/>
            <w:vAlign w:val="center"/>
          </w:tcPr>
          <w:p>
            <w:pPr>
              <w:pStyle w:val="12"/>
            </w:pPr>
            <w:r>
              <w:t>促进经济社会发展</w:t>
            </w:r>
          </w:p>
        </w:tc>
        <w:tc>
          <w:tcPr>
            <w:tcW w:w="1327" w:type="dxa"/>
            <w:vAlign w:val="center"/>
          </w:tcPr>
          <w:p>
            <w:pPr>
              <w:pStyle w:val="12"/>
            </w:pPr>
            <w:r>
              <w:t>有效</w:t>
            </w:r>
          </w:p>
        </w:tc>
        <w:tc>
          <w:tcPr>
            <w:tcW w:w="4872" w:type="dxa"/>
            <w:vAlign w:val="center"/>
          </w:tcPr>
          <w:p>
            <w:pPr>
              <w:pStyle w:val="12"/>
            </w:pPr>
            <w:r>
              <w:t>冀统普查字【2022】25号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普查对象满意度</w:t>
            </w:r>
          </w:p>
        </w:tc>
        <w:tc>
          <w:tcPr>
            <w:tcW w:w="2654" w:type="dxa"/>
            <w:vAlign w:val="center"/>
          </w:tcPr>
          <w:p>
            <w:pPr>
              <w:pStyle w:val="12"/>
            </w:pPr>
            <w:r>
              <w:t>普查对象满意度</w:t>
            </w:r>
          </w:p>
        </w:tc>
        <w:tc>
          <w:tcPr>
            <w:tcW w:w="1327" w:type="dxa"/>
            <w:vAlign w:val="center"/>
          </w:tcPr>
          <w:p>
            <w:pPr>
              <w:pStyle w:val="12"/>
            </w:pPr>
            <w:r>
              <w:t>≥98%</w:t>
            </w:r>
          </w:p>
        </w:tc>
        <w:tc>
          <w:tcPr>
            <w:tcW w:w="4872" w:type="dxa"/>
            <w:vAlign w:val="center"/>
          </w:tcPr>
          <w:p>
            <w:pPr>
              <w:pStyle w:val="12"/>
            </w:pPr>
            <w:r>
              <w:t>冀统普查字【2022】25号</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bookmarkStart w:id="11" w:name="_Toc_4_4_0000000006"/>
      <w:r>
        <w:rPr>
          <w:rFonts w:ascii="方正仿宋_GBK" w:hAnsi="方正仿宋_GBK" w:eastAsia="方正仿宋_GBK" w:cs="方正仿宋_GBK"/>
          <w:color w:val="000000"/>
          <w:sz w:val="28"/>
        </w:rPr>
        <w:t>3.居民收支调查绩效目标表</w:t>
      </w:r>
      <w:bookmarkEnd w:id="11"/>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74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747"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9" w:hRule="atLeast"/>
          <w:jc w:val="center"/>
        </w:trPr>
        <w:tc>
          <w:tcPr>
            <w:tcW w:w="1327" w:type="dxa"/>
            <w:vAlign w:val="center"/>
          </w:tcPr>
          <w:p>
            <w:pPr>
              <w:pStyle w:val="11"/>
            </w:pPr>
            <w:r>
              <w:t>项目编码</w:t>
            </w:r>
          </w:p>
        </w:tc>
        <w:tc>
          <w:tcPr>
            <w:tcW w:w="2654" w:type="dxa"/>
            <w:gridSpan w:val="2"/>
            <w:vAlign w:val="center"/>
          </w:tcPr>
          <w:p>
            <w:pPr>
              <w:pStyle w:val="12"/>
            </w:pPr>
            <w:r>
              <w:t>13062424P00815710001M</w:t>
            </w:r>
          </w:p>
        </w:tc>
        <w:tc>
          <w:tcPr>
            <w:tcW w:w="1327" w:type="dxa"/>
            <w:vAlign w:val="center"/>
          </w:tcPr>
          <w:p>
            <w:pPr>
              <w:pStyle w:val="11"/>
            </w:pPr>
            <w:r>
              <w:t>项目名称</w:t>
            </w:r>
          </w:p>
        </w:tc>
        <w:tc>
          <w:tcPr>
            <w:tcW w:w="7401" w:type="dxa"/>
            <w:gridSpan w:val="3"/>
            <w:vAlign w:val="center"/>
          </w:tcPr>
          <w:p>
            <w:pPr>
              <w:pStyle w:val="12"/>
            </w:pPr>
            <w:r>
              <w:t>居民收支调查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30.14</w:t>
            </w:r>
          </w:p>
        </w:tc>
        <w:tc>
          <w:tcPr>
            <w:tcW w:w="1327" w:type="dxa"/>
            <w:vAlign w:val="center"/>
          </w:tcPr>
          <w:p>
            <w:pPr>
              <w:pStyle w:val="11"/>
            </w:pPr>
            <w:r>
              <w:t>其中：财政    资金</w:t>
            </w:r>
          </w:p>
        </w:tc>
        <w:tc>
          <w:tcPr>
            <w:tcW w:w="1327" w:type="dxa"/>
            <w:vAlign w:val="center"/>
          </w:tcPr>
          <w:p>
            <w:pPr>
              <w:pStyle w:val="12"/>
            </w:pPr>
            <w:r>
              <w:t>30.14</w:t>
            </w:r>
          </w:p>
        </w:tc>
        <w:tc>
          <w:tcPr>
            <w:tcW w:w="1327" w:type="dxa"/>
            <w:vAlign w:val="center"/>
          </w:tcPr>
          <w:p>
            <w:pPr>
              <w:pStyle w:val="11"/>
            </w:pPr>
            <w:r>
              <w:t>其他资金</w:t>
            </w:r>
          </w:p>
        </w:tc>
        <w:tc>
          <w:tcPr>
            <w:tcW w:w="4747"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382" w:type="dxa"/>
            <w:gridSpan w:val="6"/>
            <w:vAlign w:val="center"/>
          </w:tcPr>
          <w:p>
            <w:pPr>
              <w:pStyle w:val="12"/>
            </w:pPr>
            <w:r>
              <w:t>居民收支调查经费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07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4" w:hRule="atLeast"/>
          <w:jc w:val="center"/>
        </w:trPr>
        <w:tc>
          <w:tcPr>
            <w:tcW w:w="1327" w:type="dxa"/>
            <w:vMerge w:val="continue"/>
          </w:tcPr>
          <w:p/>
        </w:tc>
        <w:tc>
          <w:tcPr>
            <w:tcW w:w="2654" w:type="dxa"/>
            <w:gridSpan w:val="2"/>
            <w:vAlign w:val="center"/>
          </w:tcPr>
          <w:p>
            <w:pPr>
              <w:pStyle w:val="13"/>
            </w:pPr>
            <w:r>
              <w:t>7.54</w:t>
            </w:r>
          </w:p>
        </w:tc>
        <w:tc>
          <w:tcPr>
            <w:tcW w:w="1327" w:type="dxa"/>
            <w:vAlign w:val="center"/>
          </w:tcPr>
          <w:p>
            <w:pPr>
              <w:pStyle w:val="13"/>
            </w:pPr>
            <w:r>
              <w:t>15.07</w:t>
            </w:r>
          </w:p>
        </w:tc>
        <w:tc>
          <w:tcPr>
            <w:tcW w:w="1327" w:type="dxa"/>
            <w:vAlign w:val="center"/>
          </w:tcPr>
          <w:p>
            <w:pPr>
              <w:pStyle w:val="13"/>
            </w:pPr>
            <w:r>
              <w:t>22.61</w:t>
            </w:r>
          </w:p>
        </w:tc>
        <w:tc>
          <w:tcPr>
            <w:tcW w:w="6074" w:type="dxa"/>
            <w:gridSpan w:val="2"/>
            <w:vAlign w:val="center"/>
          </w:tcPr>
          <w:p>
            <w:pPr>
              <w:pStyle w:val="13"/>
            </w:pPr>
            <w:r>
              <w:t>30.14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382" w:type="dxa"/>
            <w:gridSpan w:val="6"/>
            <w:vAlign w:val="center"/>
          </w:tcPr>
          <w:p>
            <w:pPr>
              <w:pStyle w:val="12"/>
            </w:pPr>
            <w:r>
              <w:t>1.组织开展住户调查，了解基层动态</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7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2"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475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统计信息采用量</w:t>
            </w:r>
          </w:p>
        </w:tc>
        <w:tc>
          <w:tcPr>
            <w:tcW w:w="1327" w:type="dxa"/>
            <w:vAlign w:val="center"/>
          </w:tcPr>
          <w:p>
            <w:pPr>
              <w:pStyle w:val="12"/>
            </w:pPr>
            <w:r>
              <w:t>≥6篇</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0"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业务培训覆盖率</w:t>
            </w:r>
          </w:p>
        </w:tc>
        <w:tc>
          <w:tcPr>
            <w:tcW w:w="1327" w:type="dxa"/>
            <w:vAlign w:val="center"/>
          </w:tcPr>
          <w:p>
            <w:pPr>
              <w:pStyle w:val="12"/>
            </w:pPr>
            <w:r>
              <w:t>≥98%</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贫困监测统计完成率</w:t>
            </w:r>
          </w:p>
        </w:tc>
        <w:tc>
          <w:tcPr>
            <w:tcW w:w="2654" w:type="dxa"/>
            <w:vAlign w:val="center"/>
          </w:tcPr>
          <w:p>
            <w:pPr>
              <w:pStyle w:val="12"/>
            </w:pPr>
            <w:r>
              <w:t>已完成的专项统计任务占全部任务的比率</w:t>
            </w:r>
          </w:p>
        </w:tc>
        <w:tc>
          <w:tcPr>
            <w:tcW w:w="1327" w:type="dxa"/>
            <w:vAlign w:val="center"/>
          </w:tcPr>
          <w:p>
            <w:pPr>
              <w:pStyle w:val="12"/>
            </w:pPr>
            <w:r>
              <w:t>≥98%</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节约成本</w:t>
            </w:r>
          </w:p>
        </w:tc>
        <w:tc>
          <w:tcPr>
            <w:tcW w:w="2654" w:type="dxa"/>
            <w:vAlign w:val="center"/>
          </w:tcPr>
          <w:p>
            <w:pPr>
              <w:pStyle w:val="12"/>
            </w:pPr>
            <w:r>
              <w:t>节约成本</w:t>
            </w:r>
          </w:p>
        </w:tc>
        <w:tc>
          <w:tcPr>
            <w:tcW w:w="1327" w:type="dxa"/>
            <w:vAlign w:val="center"/>
          </w:tcPr>
          <w:p>
            <w:pPr>
              <w:pStyle w:val="12"/>
            </w:pPr>
            <w:r>
              <w:t>有效</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提供统计服务</w:t>
            </w:r>
          </w:p>
        </w:tc>
        <w:tc>
          <w:tcPr>
            <w:tcW w:w="2654" w:type="dxa"/>
            <w:vAlign w:val="center"/>
          </w:tcPr>
          <w:p>
            <w:pPr>
              <w:pStyle w:val="12"/>
            </w:pPr>
            <w:r>
              <w:t>为政府和社会群众提供统计信息和咨询服务</w:t>
            </w:r>
          </w:p>
        </w:tc>
        <w:tc>
          <w:tcPr>
            <w:tcW w:w="1327" w:type="dxa"/>
            <w:vAlign w:val="center"/>
          </w:tcPr>
          <w:p>
            <w:pPr>
              <w:pStyle w:val="12"/>
            </w:pPr>
            <w:r>
              <w:t>提供的统计信息和咨询服务及时有效</w:t>
            </w:r>
          </w:p>
        </w:tc>
        <w:tc>
          <w:tcPr>
            <w:tcW w:w="4754" w:type="dxa"/>
            <w:vAlign w:val="center"/>
          </w:tcPr>
          <w:p>
            <w:pPr>
              <w:pStyle w:val="12"/>
            </w:pPr>
            <w:r>
              <w:t>国统字[2012]21号《国家统计局关于进一步加强农村贫困监测工作的通知》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监测对象满意度</w:t>
            </w:r>
          </w:p>
        </w:tc>
        <w:tc>
          <w:tcPr>
            <w:tcW w:w="2654" w:type="dxa"/>
            <w:vAlign w:val="center"/>
          </w:tcPr>
          <w:p>
            <w:pPr>
              <w:pStyle w:val="12"/>
            </w:pPr>
            <w:r>
              <w:t>监测对象满意度</w:t>
            </w:r>
          </w:p>
        </w:tc>
        <w:tc>
          <w:tcPr>
            <w:tcW w:w="1327" w:type="dxa"/>
            <w:vAlign w:val="center"/>
          </w:tcPr>
          <w:p>
            <w:pPr>
              <w:pStyle w:val="12"/>
            </w:pPr>
            <w:r>
              <w:t>≥98%</w:t>
            </w:r>
          </w:p>
        </w:tc>
        <w:tc>
          <w:tcPr>
            <w:tcW w:w="4754" w:type="dxa"/>
            <w:vAlign w:val="center"/>
          </w:tcPr>
          <w:p>
            <w:pPr>
              <w:pStyle w:val="12"/>
            </w:pPr>
            <w:r>
              <w:t>国统字[2012]21号《国家统计局关于进一步加强农村贫困监测工作的通知》</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bookmarkStart w:id="12" w:name="_Toc_4_4_0000000007"/>
      <w:r>
        <w:rPr>
          <w:rFonts w:ascii="方正仿宋_GBK" w:hAnsi="方正仿宋_GBK" w:eastAsia="方正仿宋_GBK" w:cs="方正仿宋_GBK"/>
          <w:color w:val="000000"/>
          <w:sz w:val="28"/>
        </w:rPr>
        <w:t>4.人口变动抽样调查绩效目标表</w:t>
      </w:r>
      <w:bookmarkEnd w:id="12"/>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472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723"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项目编码</w:t>
            </w:r>
          </w:p>
        </w:tc>
        <w:tc>
          <w:tcPr>
            <w:tcW w:w="2654" w:type="dxa"/>
            <w:gridSpan w:val="2"/>
            <w:vAlign w:val="center"/>
          </w:tcPr>
          <w:p>
            <w:pPr>
              <w:pStyle w:val="12"/>
            </w:pPr>
            <w:r>
              <w:t>13062424P008156100010</w:t>
            </w:r>
          </w:p>
        </w:tc>
        <w:tc>
          <w:tcPr>
            <w:tcW w:w="1327" w:type="dxa"/>
            <w:vAlign w:val="center"/>
          </w:tcPr>
          <w:p>
            <w:pPr>
              <w:pStyle w:val="11"/>
            </w:pPr>
            <w:r>
              <w:t>项目名称</w:t>
            </w:r>
          </w:p>
        </w:tc>
        <w:tc>
          <w:tcPr>
            <w:tcW w:w="7377" w:type="dxa"/>
            <w:gridSpan w:val="3"/>
            <w:vAlign w:val="center"/>
          </w:tcPr>
          <w:p>
            <w:pPr>
              <w:pStyle w:val="12"/>
            </w:pPr>
            <w:r>
              <w:t>人口变动抽样调查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3.00</w:t>
            </w:r>
          </w:p>
        </w:tc>
        <w:tc>
          <w:tcPr>
            <w:tcW w:w="1327" w:type="dxa"/>
            <w:vAlign w:val="center"/>
          </w:tcPr>
          <w:p>
            <w:pPr>
              <w:pStyle w:val="11"/>
            </w:pPr>
            <w:r>
              <w:t>其中：财政    资金</w:t>
            </w:r>
          </w:p>
        </w:tc>
        <w:tc>
          <w:tcPr>
            <w:tcW w:w="1327" w:type="dxa"/>
            <w:vAlign w:val="center"/>
          </w:tcPr>
          <w:p>
            <w:pPr>
              <w:pStyle w:val="12"/>
            </w:pPr>
            <w:r>
              <w:t>3.00</w:t>
            </w:r>
          </w:p>
        </w:tc>
        <w:tc>
          <w:tcPr>
            <w:tcW w:w="1327" w:type="dxa"/>
            <w:vAlign w:val="center"/>
          </w:tcPr>
          <w:p>
            <w:pPr>
              <w:pStyle w:val="11"/>
            </w:pPr>
            <w:r>
              <w:t>其他资金</w:t>
            </w:r>
          </w:p>
        </w:tc>
        <w:tc>
          <w:tcPr>
            <w:tcW w:w="472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358" w:type="dxa"/>
            <w:gridSpan w:val="6"/>
            <w:vAlign w:val="center"/>
          </w:tcPr>
          <w:p>
            <w:pPr>
              <w:pStyle w:val="12"/>
            </w:pPr>
            <w:r>
              <w:t>人口变动抽样调查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050"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3"/>
            </w:pPr>
            <w:r>
              <w:t>0.75</w:t>
            </w:r>
          </w:p>
        </w:tc>
        <w:tc>
          <w:tcPr>
            <w:tcW w:w="1327" w:type="dxa"/>
            <w:vAlign w:val="center"/>
          </w:tcPr>
          <w:p>
            <w:pPr>
              <w:pStyle w:val="13"/>
            </w:pPr>
            <w:r>
              <w:t>1.50</w:t>
            </w:r>
          </w:p>
        </w:tc>
        <w:tc>
          <w:tcPr>
            <w:tcW w:w="1327" w:type="dxa"/>
            <w:vAlign w:val="center"/>
          </w:tcPr>
          <w:p>
            <w:pPr>
              <w:pStyle w:val="13"/>
            </w:pPr>
            <w:r>
              <w:t>2.25</w:t>
            </w:r>
          </w:p>
        </w:tc>
        <w:tc>
          <w:tcPr>
            <w:tcW w:w="6050" w:type="dxa"/>
            <w:gridSpan w:val="2"/>
            <w:vAlign w:val="center"/>
          </w:tcPr>
          <w:p>
            <w:pPr>
              <w:pStyle w:val="13"/>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358" w:type="dxa"/>
            <w:gridSpan w:val="6"/>
            <w:vAlign w:val="center"/>
          </w:tcPr>
          <w:p>
            <w:pPr>
              <w:pStyle w:val="12"/>
            </w:pPr>
            <w:r>
              <w:t>1.做好人口变动抽样调查工作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47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472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统计信息采用量</w:t>
            </w:r>
          </w:p>
        </w:tc>
        <w:tc>
          <w:tcPr>
            <w:tcW w:w="1327" w:type="dxa"/>
            <w:vAlign w:val="center"/>
          </w:tcPr>
          <w:p>
            <w:pPr>
              <w:pStyle w:val="12"/>
            </w:pPr>
            <w:r>
              <w:t>≥6篇</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业务培训覆盖率</w:t>
            </w:r>
          </w:p>
        </w:tc>
        <w:tc>
          <w:tcPr>
            <w:tcW w:w="1327" w:type="dxa"/>
            <w:vAlign w:val="center"/>
          </w:tcPr>
          <w:p>
            <w:pPr>
              <w:pStyle w:val="12"/>
            </w:pPr>
            <w:r>
              <w:t>≥98%</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统计任务完成率</w:t>
            </w:r>
          </w:p>
        </w:tc>
        <w:tc>
          <w:tcPr>
            <w:tcW w:w="2654" w:type="dxa"/>
            <w:vAlign w:val="center"/>
          </w:tcPr>
          <w:p>
            <w:pPr>
              <w:pStyle w:val="12"/>
            </w:pPr>
            <w:r>
              <w:t>已完成的专项统计任务占全部任务的比率</w:t>
            </w:r>
          </w:p>
        </w:tc>
        <w:tc>
          <w:tcPr>
            <w:tcW w:w="1327" w:type="dxa"/>
            <w:vAlign w:val="center"/>
          </w:tcPr>
          <w:p>
            <w:pPr>
              <w:pStyle w:val="12"/>
            </w:pPr>
            <w:r>
              <w:t>≥98%</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节约成本</w:t>
            </w:r>
          </w:p>
        </w:tc>
        <w:tc>
          <w:tcPr>
            <w:tcW w:w="2654" w:type="dxa"/>
            <w:vAlign w:val="center"/>
          </w:tcPr>
          <w:p>
            <w:pPr>
              <w:pStyle w:val="12"/>
            </w:pPr>
            <w:r>
              <w:t>节约成本</w:t>
            </w:r>
          </w:p>
        </w:tc>
        <w:tc>
          <w:tcPr>
            <w:tcW w:w="1327" w:type="dxa"/>
            <w:vAlign w:val="center"/>
          </w:tcPr>
          <w:p>
            <w:pPr>
              <w:pStyle w:val="12"/>
            </w:pPr>
            <w:r>
              <w:t>有效</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促进社会发展</w:t>
            </w:r>
          </w:p>
        </w:tc>
        <w:tc>
          <w:tcPr>
            <w:tcW w:w="2654" w:type="dxa"/>
            <w:vAlign w:val="center"/>
          </w:tcPr>
          <w:p>
            <w:pPr>
              <w:pStyle w:val="12"/>
            </w:pPr>
            <w:r>
              <w:t>促进社会发展</w:t>
            </w:r>
          </w:p>
        </w:tc>
        <w:tc>
          <w:tcPr>
            <w:tcW w:w="1327" w:type="dxa"/>
            <w:vAlign w:val="center"/>
          </w:tcPr>
          <w:p>
            <w:pPr>
              <w:pStyle w:val="12"/>
            </w:pPr>
            <w:r>
              <w:t>有效</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提供统计服务</w:t>
            </w:r>
          </w:p>
        </w:tc>
        <w:tc>
          <w:tcPr>
            <w:tcW w:w="2654" w:type="dxa"/>
            <w:vAlign w:val="center"/>
          </w:tcPr>
          <w:p>
            <w:pPr>
              <w:pStyle w:val="12"/>
            </w:pPr>
            <w:r>
              <w:t>为政府和社会群众提供统计信息和咨询服务</w:t>
            </w:r>
          </w:p>
        </w:tc>
        <w:tc>
          <w:tcPr>
            <w:tcW w:w="1327" w:type="dxa"/>
            <w:vAlign w:val="center"/>
          </w:tcPr>
          <w:p>
            <w:pPr>
              <w:pStyle w:val="12"/>
            </w:pPr>
            <w:r>
              <w:t>提供的统计信息和咨询服务及时有效</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工作对象满意度</w:t>
            </w:r>
          </w:p>
        </w:tc>
        <w:tc>
          <w:tcPr>
            <w:tcW w:w="2654" w:type="dxa"/>
            <w:vAlign w:val="center"/>
          </w:tcPr>
          <w:p>
            <w:pPr>
              <w:pStyle w:val="12"/>
            </w:pPr>
            <w:r>
              <w:t>工作对象满意度</w:t>
            </w:r>
          </w:p>
        </w:tc>
        <w:tc>
          <w:tcPr>
            <w:tcW w:w="1327" w:type="dxa"/>
            <w:vAlign w:val="center"/>
          </w:tcPr>
          <w:p>
            <w:pPr>
              <w:pStyle w:val="12"/>
            </w:pPr>
            <w:r>
              <w:t>≥98%</w:t>
            </w:r>
          </w:p>
        </w:tc>
        <w:tc>
          <w:tcPr>
            <w:tcW w:w="4726" w:type="dxa"/>
            <w:vAlign w:val="center"/>
          </w:tcPr>
          <w:p>
            <w:pPr>
              <w:pStyle w:val="12"/>
            </w:pPr>
            <w:r>
              <w:t>河北省统计局</w:t>
            </w:r>
          </w:p>
          <w:p>
            <w:pPr>
              <w:pStyle w:val="12"/>
            </w:pPr>
            <w:r>
              <w:t>关于认真做好2022年人口变动情况抽样</w:t>
            </w:r>
          </w:p>
          <w:p>
            <w:pPr>
              <w:pStyle w:val="12"/>
            </w:pPr>
            <w:r>
              <w:t>调查登记阶段工作的通知</w:t>
            </w:r>
          </w:p>
        </w:tc>
      </w:tr>
    </w:tbl>
    <w:p>
      <w:pPr>
        <w:sectPr>
          <w:pgSz w:w="16840" w:h="11900" w:orient="landscape"/>
          <w:pgMar w:top="1304" w:right="1984" w:bottom="1304" w:left="1134" w:header="720" w:footer="720" w:gutter="0"/>
          <w:cols w:space="720" w:num="1"/>
        </w:sectPr>
      </w:pPr>
    </w:p>
    <w:p>
      <w:pPr>
        <w:spacing w:before="0" w:after="0" w:line="240" w:lineRule="auto"/>
        <w:ind w:firstLine="0"/>
        <w:jc w:val="both"/>
        <w:outlineLvl w:val="9"/>
      </w:pPr>
      <w:bookmarkStart w:id="13" w:name="_Toc_4_4_0000000008"/>
      <w:r>
        <w:rPr>
          <w:rFonts w:ascii="方正仿宋_GBK" w:hAnsi="方正仿宋_GBK" w:eastAsia="方正仿宋_GBK" w:cs="方正仿宋_GBK"/>
          <w:color w:val="000000"/>
          <w:sz w:val="28"/>
        </w:rPr>
        <w:t>5.乡村两级统计员专项人员经费绩效目标表</w:t>
      </w:r>
      <w:bookmarkEnd w:id="13"/>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39"/>
        <w:gridCol w:w="1327"/>
        <w:gridCol w:w="1327"/>
        <w:gridCol w:w="1327"/>
        <w:gridCol w:w="1327"/>
        <w:gridCol w:w="1327"/>
        <w:gridCol w:w="419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074"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4199"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Align w:val="center"/>
          </w:tcPr>
          <w:p>
            <w:pPr>
              <w:pStyle w:val="11"/>
            </w:pPr>
            <w:r>
              <w:t>项目编码</w:t>
            </w:r>
          </w:p>
        </w:tc>
        <w:tc>
          <w:tcPr>
            <w:tcW w:w="2654" w:type="dxa"/>
            <w:gridSpan w:val="2"/>
            <w:vAlign w:val="center"/>
          </w:tcPr>
          <w:p>
            <w:pPr>
              <w:pStyle w:val="12"/>
            </w:pPr>
            <w:r>
              <w:t>13062424P008159100011</w:t>
            </w:r>
          </w:p>
        </w:tc>
        <w:tc>
          <w:tcPr>
            <w:tcW w:w="1327" w:type="dxa"/>
            <w:vAlign w:val="center"/>
          </w:tcPr>
          <w:p>
            <w:pPr>
              <w:pStyle w:val="11"/>
            </w:pPr>
            <w:r>
              <w:t>项目名称</w:t>
            </w:r>
          </w:p>
        </w:tc>
        <w:tc>
          <w:tcPr>
            <w:tcW w:w="6853" w:type="dxa"/>
            <w:gridSpan w:val="3"/>
            <w:vAlign w:val="center"/>
          </w:tcPr>
          <w:p>
            <w:pPr>
              <w:pStyle w:val="12"/>
            </w:pPr>
            <w:r>
              <w:t>乡村两级统计员专项人员经费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7.20</w:t>
            </w:r>
          </w:p>
        </w:tc>
        <w:tc>
          <w:tcPr>
            <w:tcW w:w="1327" w:type="dxa"/>
            <w:vAlign w:val="center"/>
          </w:tcPr>
          <w:p>
            <w:pPr>
              <w:pStyle w:val="11"/>
            </w:pPr>
            <w:r>
              <w:t>其中：财政    资金</w:t>
            </w:r>
          </w:p>
        </w:tc>
        <w:tc>
          <w:tcPr>
            <w:tcW w:w="1327" w:type="dxa"/>
            <w:vAlign w:val="center"/>
          </w:tcPr>
          <w:p>
            <w:pPr>
              <w:pStyle w:val="12"/>
            </w:pPr>
            <w:r>
              <w:t>7.20</w:t>
            </w:r>
          </w:p>
        </w:tc>
        <w:tc>
          <w:tcPr>
            <w:tcW w:w="1327" w:type="dxa"/>
            <w:vAlign w:val="center"/>
          </w:tcPr>
          <w:p>
            <w:pPr>
              <w:pStyle w:val="11"/>
            </w:pPr>
            <w:r>
              <w:t>其他资金</w:t>
            </w:r>
          </w:p>
        </w:tc>
        <w:tc>
          <w:tcPr>
            <w:tcW w:w="4199"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tcPr>
          <w:p/>
        </w:tc>
        <w:tc>
          <w:tcPr>
            <w:tcW w:w="10834" w:type="dxa"/>
            <w:gridSpan w:val="6"/>
            <w:vAlign w:val="center"/>
          </w:tcPr>
          <w:p>
            <w:pPr>
              <w:pStyle w:val="12"/>
            </w:pPr>
            <w:r>
              <w:t>乡村两级统计员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5526"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Merge w:val="continue"/>
          </w:tcPr>
          <w:p/>
        </w:tc>
        <w:tc>
          <w:tcPr>
            <w:tcW w:w="2654" w:type="dxa"/>
            <w:gridSpan w:val="2"/>
            <w:vAlign w:val="center"/>
          </w:tcPr>
          <w:p>
            <w:pPr>
              <w:pStyle w:val="13"/>
            </w:pPr>
            <w:r>
              <w:t>1.80</w:t>
            </w:r>
          </w:p>
        </w:tc>
        <w:tc>
          <w:tcPr>
            <w:tcW w:w="1327" w:type="dxa"/>
            <w:vAlign w:val="center"/>
          </w:tcPr>
          <w:p>
            <w:pPr>
              <w:pStyle w:val="13"/>
            </w:pPr>
            <w:r>
              <w:t>3.60</w:t>
            </w:r>
          </w:p>
        </w:tc>
        <w:tc>
          <w:tcPr>
            <w:tcW w:w="1327" w:type="dxa"/>
            <w:vAlign w:val="center"/>
          </w:tcPr>
          <w:p>
            <w:pPr>
              <w:pStyle w:val="13"/>
            </w:pPr>
            <w:r>
              <w:t>5.40</w:t>
            </w:r>
          </w:p>
        </w:tc>
        <w:tc>
          <w:tcPr>
            <w:tcW w:w="5526" w:type="dxa"/>
            <w:gridSpan w:val="2"/>
            <w:vAlign w:val="center"/>
          </w:tcPr>
          <w:p>
            <w:pPr>
              <w:pStyle w:val="13"/>
            </w:pPr>
            <w:r>
              <w:t>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39" w:type="dxa"/>
            <w:vAlign w:val="center"/>
          </w:tcPr>
          <w:p>
            <w:pPr>
              <w:pStyle w:val="11"/>
            </w:pPr>
            <w:r>
              <w:t>绩效目标</w:t>
            </w:r>
          </w:p>
        </w:tc>
        <w:tc>
          <w:tcPr>
            <w:tcW w:w="10834" w:type="dxa"/>
            <w:gridSpan w:val="6"/>
            <w:vAlign w:val="center"/>
          </w:tcPr>
          <w:p>
            <w:pPr>
              <w:pStyle w:val="12"/>
            </w:pPr>
            <w:r>
              <w:t>1.做好基层统计工作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533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统计信息采用量</w:t>
            </w:r>
          </w:p>
        </w:tc>
        <w:tc>
          <w:tcPr>
            <w:tcW w:w="1327" w:type="dxa"/>
            <w:vAlign w:val="center"/>
          </w:tcPr>
          <w:p>
            <w:pPr>
              <w:pStyle w:val="12"/>
            </w:pPr>
            <w:r>
              <w:t>≥6篇</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业务培训覆盖率</w:t>
            </w:r>
          </w:p>
        </w:tc>
        <w:tc>
          <w:tcPr>
            <w:tcW w:w="1327" w:type="dxa"/>
            <w:vAlign w:val="center"/>
          </w:tcPr>
          <w:p>
            <w:pPr>
              <w:pStyle w:val="12"/>
            </w:pPr>
            <w:r>
              <w:t>≥98%</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统计任务完成率</w:t>
            </w:r>
          </w:p>
        </w:tc>
        <w:tc>
          <w:tcPr>
            <w:tcW w:w="2654" w:type="dxa"/>
            <w:vAlign w:val="center"/>
          </w:tcPr>
          <w:p>
            <w:pPr>
              <w:pStyle w:val="12"/>
            </w:pPr>
            <w:r>
              <w:t>已完成的专项统计任务占全部任务的比率</w:t>
            </w:r>
          </w:p>
        </w:tc>
        <w:tc>
          <w:tcPr>
            <w:tcW w:w="1327" w:type="dxa"/>
            <w:vAlign w:val="center"/>
          </w:tcPr>
          <w:p>
            <w:pPr>
              <w:pStyle w:val="12"/>
            </w:pPr>
            <w:r>
              <w:t>≥98%</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6"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节约成本</w:t>
            </w:r>
          </w:p>
        </w:tc>
        <w:tc>
          <w:tcPr>
            <w:tcW w:w="2654" w:type="dxa"/>
            <w:vAlign w:val="center"/>
          </w:tcPr>
          <w:p>
            <w:pPr>
              <w:pStyle w:val="12"/>
            </w:pPr>
            <w:r>
              <w:t>节约成本</w:t>
            </w:r>
          </w:p>
        </w:tc>
        <w:tc>
          <w:tcPr>
            <w:tcW w:w="1327" w:type="dxa"/>
            <w:vAlign w:val="center"/>
          </w:tcPr>
          <w:p>
            <w:pPr>
              <w:pStyle w:val="12"/>
            </w:pPr>
            <w:r>
              <w:t>有效</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促进社会发展</w:t>
            </w:r>
          </w:p>
        </w:tc>
        <w:tc>
          <w:tcPr>
            <w:tcW w:w="2654" w:type="dxa"/>
            <w:vAlign w:val="center"/>
          </w:tcPr>
          <w:p>
            <w:pPr>
              <w:pStyle w:val="12"/>
            </w:pPr>
            <w:r>
              <w:t>促进社会发展</w:t>
            </w:r>
          </w:p>
        </w:tc>
        <w:tc>
          <w:tcPr>
            <w:tcW w:w="1327" w:type="dxa"/>
            <w:vAlign w:val="center"/>
          </w:tcPr>
          <w:p>
            <w:pPr>
              <w:pStyle w:val="12"/>
            </w:pPr>
            <w:r>
              <w:t>有效</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提供统计服务</w:t>
            </w:r>
          </w:p>
        </w:tc>
        <w:tc>
          <w:tcPr>
            <w:tcW w:w="2654" w:type="dxa"/>
            <w:vAlign w:val="center"/>
          </w:tcPr>
          <w:p>
            <w:pPr>
              <w:pStyle w:val="12"/>
            </w:pPr>
            <w:r>
              <w:t>为政府和社会群众提供统计信息和咨询服务</w:t>
            </w:r>
          </w:p>
        </w:tc>
        <w:tc>
          <w:tcPr>
            <w:tcW w:w="1327" w:type="dxa"/>
            <w:vAlign w:val="center"/>
          </w:tcPr>
          <w:p>
            <w:pPr>
              <w:pStyle w:val="12"/>
            </w:pPr>
            <w:r>
              <w:t>提供的统计信息和咨询服务及时有效</w:t>
            </w:r>
          </w:p>
        </w:tc>
        <w:tc>
          <w:tcPr>
            <w:tcW w:w="5334" w:type="dxa"/>
            <w:vAlign w:val="center"/>
          </w:tcPr>
          <w:p>
            <w:pPr>
              <w:pStyle w:val="12"/>
            </w:pPr>
            <w:r>
              <w:t>依据阜政［2010］14号</w:t>
            </w:r>
          </w:p>
          <w:p>
            <w:pPr>
              <w:pStyle w:val="12"/>
            </w:pPr>
            <w:r>
              <w:t>〈阜平县人民政府关于进一步加强和改进统计工作的意见〉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工作对象满意度</w:t>
            </w:r>
          </w:p>
        </w:tc>
        <w:tc>
          <w:tcPr>
            <w:tcW w:w="2654" w:type="dxa"/>
            <w:vAlign w:val="center"/>
          </w:tcPr>
          <w:p>
            <w:pPr>
              <w:pStyle w:val="12"/>
            </w:pPr>
            <w:r>
              <w:t>工作对象满意度</w:t>
            </w:r>
          </w:p>
        </w:tc>
        <w:tc>
          <w:tcPr>
            <w:tcW w:w="1327" w:type="dxa"/>
            <w:vAlign w:val="center"/>
          </w:tcPr>
          <w:p>
            <w:pPr>
              <w:pStyle w:val="12"/>
            </w:pPr>
            <w:r>
              <w:t>≥98%</w:t>
            </w:r>
          </w:p>
        </w:tc>
        <w:tc>
          <w:tcPr>
            <w:tcW w:w="5334" w:type="dxa"/>
            <w:vAlign w:val="center"/>
          </w:tcPr>
          <w:p>
            <w:pPr>
              <w:pStyle w:val="12"/>
            </w:pPr>
            <w:r>
              <w:t>依据阜政［2010］14号</w:t>
            </w:r>
          </w:p>
          <w:p>
            <w:pPr>
              <w:pStyle w:val="12"/>
            </w:pPr>
            <w:r>
              <w:t>〈阜平县人民政府关于进一步加强和改进统计工作的意见〉</w:t>
            </w:r>
          </w:p>
        </w:tc>
      </w:tr>
    </w:tbl>
    <w:p/>
    <w:p>
      <w:pPr>
        <w:spacing w:before="0" w:after="0"/>
        <w:ind w:firstLine="560"/>
        <w:jc w:val="left"/>
        <w:outlineLvl w:val="3"/>
        <w:rPr>
          <w:rFonts w:ascii="方正仿宋_GBK" w:hAnsi="方正仿宋_GBK" w:eastAsia="方正仿宋_GBK" w:cs="方正仿宋_GBK"/>
          <w:color w:val="000000"/>
          <w:sz w:val="28"/>
        </w:rPr>
      </w:pPr>
      <w:bookmarkStart w:id="14" w:name="_Toc_4_4_0000000009"/>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jc w:val="left"/>
        <w:outlineLvl w:val="3"/>
      </w:pPr>
      <w:r>
        <w:rPr>
          <w:rFonts w:ascii="方正仿宋_GBK" w:hAnsi="方正仿宋_GBK" w:eastAsia="方正仿宋_GBK" w:cs="方正仿宋_GBK"/>
          <w:color w:val="000000"/>
          <w:sz w:val="28"/>
        </w:rPr>
        <w:t>6.月度失业率调查绩效目标表</w:t>
      </w:r>
      <w:bookmarkEnd w:id="14"/>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7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9"/>
            </w:pPr>
            <w:r>
              <w:t>410001阜平县统计局本级</w:t>
            </w:r>
          </w:p>
        </w:tc>
        <w:tc>
          <w:tcPr>
            <w:tcW w:w="5073" w:type="dxa"/>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项目编码</w:t>
            </w:r>
          </w:p>
        </w:tc>
        <w:tc>
          <w:tcPr>
            <w:tcW w:w="2654" w:type="dxa"/>
            <w:gridSpan w:val="2"/>
            <w:vAlign w:val="center"/>
          </w:tcPr>
          <w:p>
            <w:pPr>
              <w:pStyle w:val="12"/>
            </w:pPr>
            <w:r>
              <w:t>13062424P00815510001A</w:t>
            </w:r>
          </w:p>
        </w:tc>
        <w:tc>
          <w:tcPr>
            <w:tcW w:w="1327" w:type="dxa"/>
            <w:vAlign w:val="center"/>
          </w:tcPr>
          <w:p>
            <w:pPr>
              <w:pStyle w:val="11"/>
            </w:pPr>
            <w:r>
              <w:t>项目名称</w:t>
            </w:r>
          </w:p>
        </w:tc>
        <w:tc>
          <w:tcPr>
            <w:tcW w:w="7727" w:type="dxa"/>
            <w:gridSpan w:val="3"/>
            <w:vAlign w:val="center"/>
          </w:tcPr>
          <w:p>
            <w:pPr>
              <w:pStyle w:val="12"/>
            </w:pPr>
            <w:r>
              <w:t>月度失业率调查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预算规模及资金用途</w:t>
            </w:r>
          </w:p>
        </w:tc>
        <w:tc>
          <w:tcPr>
            <w:tcW w:w="1327" w:type="dxa"/>
            <w:vAlign w:val="center"/>
          </w:tcPr>
          <w:p>
            <w:pPr>
              <w:pStyle w:val="11"/>
            </w:pPr>
            <w:r>
              <w:t>预算数</w:t>
            </w:r>
          </w:p>
        </w:tc>
        <w:tc>
          <w:tcPr>
            <w:tcW w:w="1327" w:type="dxa"/>
            <w:vAlign w:val="center"/>
          </w:tcPr>
          <w:p>
            <w:pPr>
              <w:pStyle w:val="12"/>
            </w:pPr>
            <w:r>
              <w:t>3.00</w:t>
            </w:r>
          </w:p>
        </w:tc>
        <w:tc>
          <w:tcPr>
            <w:tcW w:w="1327" w:type="dxa"/>
            <w:vAlign w:val="center"/>
          </w:tcPr>
          <w:p>
            <w:pPr>
              <w:pStyle w:val="11"/>
            </w:pPr>
            <w:r>
              <w:t>其中：财政    资金</w:t>
            </w:r>
          </w:p>
        </w:tc>
        <w:tc>
          <w:tcPr>
            <w:tcW w:w="1327" w:type="dxa"/>
            <w:vAlign w:val="center"/>
          </w:tcPr>
          <w:p>
            <w:pPr>
              <w:pStyle w:val="12"/>
            </w:pPr>
            <w:r>
              <w:t>3.00</w:t>
            </w:r>
          </w:p>
        </w:tc>
        <w:tc>
          <w:tcPr>
            <w:tcW w:w="1327" w:type="dxa"/>
            <w:vAlign w:val="center"/>
          </w:tcPr>
          <w:p>
            <w:pPr>
              <w:pStyle w:val="11"/>
            </w:pPr>
            <w:r>
              <w:t>其他资金</w:t>
            </w:r>
          </w:p>
        </w:tc>
        <w:tc>
          <w:tcPr>
            <w:tcW w:w="5073"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08" w:type="dxa"/>
            <w:gridSpan w:val="6"/>
            <w:vAlign w:val="center"/>
          </w:tcPr>
          <w:p>
            <w:pPr>
              <w:pStyle w:val="12"/>
            </w:pPr>
            <w:r>
              <w:t>月度失业率调查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资金支出计划（%）</w:t>
            </w:r>
          </w:p>
        </w:tc>
        <w:tc>
          <w:tcPr>
            <w:tcW w:w="2654" w:type="dxa"/>
            <w:gridSpan w:val="2"/>
            <w:vAlign w:val="center"/>
          </w:tcPr>
          <w:p>
            <w:pPr>
              <w:pStyle w:val="11"/>
            </w:pPr>
            <w:r>
              <w:t>3月底</w:t>
            </w:r>
          </w:p>
        </w:tc>
        <w:tc>
          <w:tcPr>
            <w:tcW w:w="1327" w:type="dxa"/>
            <w:vAlign w:val="center"/>
          </w:tcPr>
          <w:p>
            <w:pPr>
              <w:pStyle w:val="11"/>
            </w:pPr>
            <w:r>
              <w:t>6月底</w:t>
            </w:r>
          </w:p>
        </w:tc>
        <w:tc>
          <w:tcPr>
            <w:tcW w:w="1327" w:type="dxa"/>
            <w:vAlign w:val="center"/>
          </w:tcPr>
          <w:p>
            <w:pPr>
              <w:pStyle w:val="11"/>
            </w:pPr>
            <w:r>
              <w:t>10月底</w:t>
            </w:r>
          </w:p>
        </w:tc>
        <w:tc>
          <w:tcPr>
            <w:tcW w:w="6400"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3"/>
            </w:pPr>
            <w:r>
              <w:t>0.75</w:t>
            </w:r>
          </w:p>
        </w:tc>
        <w:tc>
          <w:tcPr>
            <w:tcW w:w="1327" w:type="dxa"/>
            <w:vAlign w:val="center"/>
          </w:tcPr>
          <w:p>
            <w:pPr>
              <w:pStyle w:val="13"/>
            </w:pPr>
            <w:r>
              <w:t>1.50</w:t>
            </w:r>
          </w:p>
        </w:tc>
        <w:tc>
          <w:tcPr>
            <w:tcW w:w="1327" w:type="dxa"/>
            <w:vAlign w:val="center"/>
          </w:tcPr>
          <w:p>
            <w:pPr>
              <w:pStyle w:val="13"/>
            </w:pPr>
            <w:r>
              <w:t>2.25</w:t>
            </w:r>
          </w:p>
        </w:tc>
        <w:tc>
          <w:tcPr>
            <w:tcW w:w="6400" w:type="dxa"/>
            <w:gridSpan w:val="2"/>
            <w:vAlign w:val="center"/>
          </w:tcPr>
          <w:p>
            <w:pPr>
              <w:pStyle w:val="13"/>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绩效目标</w:t>
            </w:r>
          </w:p>
        </w:tc>
        <w:tc>
          <w:tcPr>
            <w:tcW w:w="11708" w:type="dxa"/>
            <w:gridSpan w:val="6"/>
            <w:vAlign w:val="center"/>
          </w:tcPr>
          <w:p>
            <w:pPr>
              <w:pStyle w:val="12"/>
            </w:pPr>
            <w:r>
              <w:t>1.全面反映我省就业失业状况，动态监测就业形势变化，为因地制宜实施稳就业政策措施提供统计信息支持，进一步提升就业管理水平</w:t>
            </w:r>
            <w:r>
              <w:tab/>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1"/>
            </w:pPr>
            <w:r>
              <w:t>一级指标</w:t>
            </w:r>
          </w:p>
        </w:tc>
        <w:tc>
          <w:tcPr>
            <w:tcW w:w="1327" w:type="dxa"/>
            <w:vAlign w:val="center"/>
          </w:tcPr>
          <w:p>
            <w:pPr>
              <w:pStyle w:val="11"/>
            </w:pPr>
            <w:r>
              <w:t>二级指标</w:t>
            </w:r>
          </w:p>
        </w:tc>
        <w:tc>
          <w:tcPr>
            <w:tcW w:w="1327" w:type="dxa"/>
            <w:vAlign w:val="center"/>
          </w:tcPr>
          <w:p>
            <w:pPr>
              <w:pStyle w:val="11"/>
            </w:pPr>
            <w:r>
              <w:t>三级指标</w:t>
            </w:r>
          </w:p>
        </w:tc>
        <w:tc>
          <w:tcPr>
            <w:tcW w:w="2654" w:type="dxa"/>
            <w:vAlign w:val="center"/>
          </w:tcPr>
          <w:p>
            <w:pPr>
              <w:pStyle w:val="11"/>
            </w:pPr>
            <w:r>
              <w:t>绩效指标描述</w:t>
            </w:r>
          </w:p>
        </w:tc>
        <w:tc>
          <w:tcPr>
            <w:tcW w:w="1327" w:type="dxa"/>
            <w:vAlign w:val="center"/>
          </w:tcPr>
          <w:p>
            <w:pPr>
              <w:pStyle w:val="11"/>
            </w:pPr>
            <w:r>
              <w:t>指标值</w:t>
            </w:r>
          </w:p>
        </w:tc>
        <w:tc>
          <w:tcPr>
            <w:tcW w:w="508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产出指标</w:t>
            </w:r>
          </w:p>
        </w:tc>
        <w:tc>
          <w:tcPr>
            <w:tcW w:w="1327" w:type="dxa"/>
            <w:vAlign w:val="center"/>
          </w:tcPr>
          <w:p>
            <w:pPr>
              <w:pStyle w:val="12"/>
            </w:pPr>
            <w:r>
              <w:t>数量指标</w:t>
            </w:r>
          </w:p>
        </w:tc>
        <w:tc>
          <w:tcPr>
            <w:tcW w:w="1327" w:type="dxa"/>
            <w:vAlign w:val="center"/>
          </w:tcPr>
          <w:p>
            <w:pPr>
              <w:pStyle w:val="12"/>
            </w:pPr>
            <w:r>
              <w:t>统计信息采用量</w:t>
            </w:r>
          </w:p>
        </w:tc>
        <w:tc>
          <w:tcPr>
            <w:tcW w:w="2654" w:type="dxa"/>
            <w:vAlign w:val="center"/>
          </w:tcPr>
          <w:p>
            <w:pPr>
              <w:pStyle w:val="12"/>
            </w:pPr>
            <w:r>
              <w:t>统计信息采用量</w:t>
            </w:r>
          </w:p>
        </w:tc>
        <w:tc>
          <w:tcPr>
            <w:tcW w:w="1327" w:type="dxa"/>
            <w:vAlign w:val="center"/>
          </w:tcPr>
          <w:p>
            <w:pPr>
              <w:pStyle w:val="12"/>
            </w:pPr>
            <w:r>
              <w:t>≥6篇</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质量指标</w:t>
            </w:r>
          </w:p>
        </w:tc>
        <w:tc>
          <w:tcPr>
            <w:tcW w:w="1327" w:type="dxa"/>
            <w:vAlign w:val="center"/>
          </w:tcPr>
          <w:p>
            <w:pPr>
              <w:pStyle w:val="12"/>
            </w:pPr>
            <w:r>
              <w:t>业务培训覆盖率</w:t>
            </w:r>
          </w:p>
        </w:tc>
        <w:tc>
          <w:tcPr>
            <w:tcW w:w="2654" w:type="dxa"/>
            <w:vAlign w:val="center"/>
          </w:tcPr>
          <w:p>
            <w:pPr>
              <w:pStyle w:val="12"/>
            </w:pPr>
            <w:r>
              <w:t>业务培训覆盖率</w:t>
            </w:r>
          </w:p>
        </w:tc>
        <w:tc>
          <w:tcPr>
            <w:tcW w:w="1327" w:type="dxa"/>
            <w:vAlign w:val="center"/>
          </w:tcPr>
          <w:p>
            <w:pPr>
              <w:pStyle w:val="12"/>
            </w:pPr>
            <w:r>
              <w:t>≥98%</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时效指标</w:t>
            </w:r>
          </w:p>
        </w:tc>
        <w:tc>
          <w:tcPr>
            <w:tcW w:w="1327" w:type="dxa"/>
            <w:vAlign w:val="center"/>
          </w:tcPr>
          <w:p>
            <w:pPr>
              <w:pStyle w:val="12"/>
            </w:pPr>
            <w:r>
              <w:t>统计任务完成率</w:t>
            </w:r>
          </w:p>
        </w:tc>
        <w:tc>
          <w:tcPr>
            <w:tcW w:w="2654" w:type="dxa"/>
            <w:vAlign w:val="center"/>
          </w:tcPr>
          <w:p>
            <w:pPr>
              <w:pStyle w:val="12"/>
            </w:pPr>
            <w:r>
              <w:t>已完成的专项统计任务占全部任务的比率</w:t>
            </w:r>
          </w:p>
        </w:tc>
        <w:tc>
          <w:tcPr>
            <w:tcW w:w="1327" w:type="dxa"/>
            <w:vAlign w:val="center"/>
          </w:tcPr>
          <w:p>
            <w:pPr>
              <w:pStyle w:val="12"/>
            </w:pPr>
            <w:r>
              <w:t>≥98%</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成本指标</w:t>
            </w:r>
          </w:p>
        </w:tc>
        <w:tc>
          <w:tcPr>
            <w:tcW w:w="1327" w:type="dxa"/>
            <w:vAlign w:val="center"/>
          </w:tcPr>
          <w:p>
            <w:pPr>
              <w:pStyle w:val="12"/>
            </w:pPr>
            <w:r>
              <w:t>节约成本</w:t>
            </w:r>
          </w:p>
        </w:tc>
        <w:tc>
          <w:tcPr>
            <w:tcW w:w="2654" w:type="dxa"/>
            <w:vAlign w:val="center"/>
          </w:tcPr>
          <w:p>
            <w:pPr>
              <w:pStyle w:val="12"/>
            </w:pPr>
            <w:r>
              <w:t>节约成本</w:t>
            </w:r>
          </w:p>
        </w:tc>
        <w:tc>
          <w:tcPr>
            <w:tcW w:w="1327" w:type="dxa"/>
            <w:vAlign w:val="center"/>
          </w:tcPr>
          <w:p>
            <w:pPr>
              <w:pStyle w:val="12"/>
            </w:pPr>
            <w:r>
              <w:t>有效</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3"/>
            </w:pPr>
            <w:r>
              <w:t>效益指标</w:t>
            </w:r>
          </w:p>
        </w:tc>
        <w:tc>
          <w:tcPr>
            <w:tcW w:w="1327" w:type="dxa"/>
            <w:vAlign w:val="center"/>
          </w:tcPr>
          <w:p>
            <w:pPr>
              <w:pStyle w:val="12"/>
            </w:pPr>
            <w:r>
              <w:t>经济效益指标</w:t>
            </w:r>
          </w:p>
        </w:tc>
        <w:tc>
          <w:tcPr>
            <w:tcW w:w="1327" w:type="dxa"/>
            <w:vAlign w:val="center"/>
          </w:tcPr>
          <w:p>
            <w:pPr>
              <w:pStyle w:val="12"/>
            </w:pPr>
            <w:r>
              <w:t>促进经济发展</w:t>
            </w:r>
          </w:p>
        </w:tc>
        <w:tc>
          <w:tcPr>
            <w:tcW w:w="2654" w:type="dxa"/>
            <w:vAlign w:val="center"/>
          </w:tcPr>
          <w:p>
            <w:pPr>
              <w:pStyle w:val="12"/>
            </w:pPr>
            <w:r>
              <w:t>促进经济发展</w:t>
            </w:r>
          </w:p>
        </w:tc>
        <w:tc>
          <w:tcPr>
            <w:tcW w:w="1327" w:type="dxa"/>
            <w:vAlign w:val="center"/>
          </w:tcPr>
          <w:p>
            <w:pPr>
              <w:pStyle w:val="12"/>
            </w:pPr>
            <w:r>
              <w:t>有效</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社会效益指标</w:t>
            </w:r>
          </w:p>
        </w:tc>
        <w:tc>
          <w:tcPr>
            <w:tcW w:w="1327" w:type="dxa"/>
            <w:vAlign w:val="center"/>
          </w:tcPr>
          <w:p>
            <w:pPr>
              <w:pStyle w:val="12"/>
            </w:pPr>
            <w:r>
              <w:t>促进社会发展</w:t>
            </w:r>
          </w:p>
        </w:tc>
        <w:tc>
          <w:tcPr>
            <w:tcW w:w="2654" w:type="dxa"/>
            <w:vAlign w:val="center"/>
          </w:tcPr>
          <w:p>
            <w:pPr>
              <w:pStyle w:val="12"/>
            </w:pPr>
            <w:r>
              <w:t>促进社会发展</w:t>
            </w:r>
          </w:p>
        </w:tc>
        <w:tc>
          <w:tcPr>
            <w:tcW w:w="1327" w:type="dxa"/>
            <w:vAlign w:val="center"/>
          </w:tcPr>
          <w:p>
            <w:pPr>
              <w:pStyle w:val="12"/>
            </w:pPr>
            <w:r>
              <w:t>有效</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2"/>
            </w:pPr>
            <w:r>
              <w:t>可持续影响指标</w:t>
            </w:r>
          </w:p>
        </w:tc>
        <w:tc>
          <w:tcPr>
            <w:tcW w:w="1327" w:type="dxa"/>
            <w:vAlign w:val="center"/>
          </w:tcPr>
          <w:p>
            <w:pPr>
              <w:pStyle w:val="12"/>
            </w:pPr>
            <w:r>
              <w:t>提供统计服务</w:t>
            </w:r>
          </w:p>
        </w:tc>
        <w:tc>
          <w:tcPr>
            <w:tcW w:w="2654" w:type="dxa"/>
            <w:vAlign w:val="center"/>
          </w:tcPr>
          <w:p>
            <w:pPr>
              <w:pStyle w:val="12"/>
            </w:pPr>
            <w:r>
              <w:t>为政府和社会群众提供统计信息和咨询服务</w:t>
            </w:r>
          </w:p>
        </w:tc>
        <w:tc>
          <w:tcPr>
            <w:tcW w:w="1327" w:type="dxa"/>
            <w:vAlign w:val="center"/>
          </w:tcPr>
          <w:p>
            <w:pPr>
              <w:pStyle w:val="12"/>
            </w:pPr>
            <w:r>
              <w:t>提供的统计信息和咨询服务及时有效</w:t>
            </w:r>
          </w:p>
        </w:tc>
        <w:tc>
          <w:tcPr>
            <w:tcW w:w="5087" w:type="dxa"/>
            <w:vAlign w:val="center"/>
          </w:tcPr>
          <w:p>
            <w:pPr>
              <w:pStyle w:val="12"/>
            </w:pPr>
            <w:r>
              <w:t>河北省人民政府办公厅</w:t>
            </w:r>
          </w:p>
          <w:p>
            <w:pPr>
              <w:pStyle w:val="12"/>
            </w:pPr>
            <w:r>
              <w:t>关于开展省级月度调查失业率统计工作的通知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3"/>
            </w:pPr>
            <w:r>
              <w:t>满意度指标</w:t>
            </w:r>
          </w:p>
        </w:tc>
        <w:tc>
          <w:tcPr>
            <w:tcW w:w="1327" w:type="dxa"/>
            <w:vAlign w:val="center"/>
          </w:tcPr>
          <w:p>
            <w:pPr>
              <w:pStyle w:val="12"/>
            </w:pPr>
            <w:r>
              <w:t>服务对象满意度指标</w:t>
            </w:r>
          </w:p>
        </w:tc>
        <w:tc>
          <w:tcPr>
            <w:tcW w:w="1327" w:type="dxa"/>
            <w:vAlign w:val="center"/>
          </w:tcPr>
          <w:p>
            <w:pPr>
              <w:pStyle w:val="12"/>
            </w:pPr>
            <w:r>
              <w:t>工作对象满意度</w:t>
            </w:r>
          </w:p>
        </w:tc>
        <w:tc>
          <w:tcPr>
            <w:tcW w:w="2654" w:type="dxa"/>
            <w:vAlign w:val="center"/>
          </w:tcPr>
          <w:p>
            <w:pPr>
              <w:pStyle w:val="12"/>
            </w:pPr>
            <w:r>
              <w:t>工作对象满意度</w:t>
            </w:r>
          </w:p>
        </w:tc>
        <w:tc>
          <w:tcPr>
            <w:tcW w:w="1327" w:type="dxa"/>
            <w:vAlign w:val="center"/>
          </w:tcPr>
          <w:p>
            <w:pPr>
              <w:pStyle w:val="12"/>
            </w:pPr>
            <w:r>
              <w:t>≥98%</w:t>
            </w:r>
          </w:p>
        </w:tc>
        <w:tc>
          <w:tcPr>
            <w:tcW w:w="5087" w:type="dxa"/>
            <w:vAlign w:val="center"/>
          </w:tcPr>
          <w:p>
            <w:pPr>
              <w:pStyle w:val="12"/>
            </w:pPr>
            <w:r>
              <w:t>河北省人民政府办公厅</w:t>
            </w:r>
          </w:p>
          <w:p>
            <w:pPr>
              <w:pStyle w:val="12"/>
            </w:pPr>
            <w:r>
              <w:t>关于开展省级月度调查失业率统计工作的通知</w:t>
            </w:r>
          </w:p>
        </w:tc>
      </w:tr>
    </w:tbl>
    <w:p/>
    <w:p/>
    <w:p/>
    <w:p/>
    <w:p/>
    <w:p/>
    <w:p/>
    <w:p/>
    <w:p/>
    <w:p/>
    <w:p/>
    <w:p/>
    <w:p/>
    <w:p/>
    <w:p/>
    <w:p/>
    <w:p>
      <w:pPr>
        <w:widowControl/>
        <w:spacing w:before="10" w:after="10"/>
        <w:jc w:val="left"/>
        <w:outlineLvl w:val="2"/>
        <w:rPr>
          <w:rFonts w:ascii="黑体" w:hAnsi="黑体" w:eastAsia="黑体" w:cs="黑体"/>
          <w:color w:val="000000"/>
          <w:kern w:val="0"/>
          <w:sz w:val="32"/>
          <w:lang w:eastAsia="uk-UA"/>
        </w:rPr>
      </w:pPr>
    </w:p>
    <w:p>
      <w:pPr>
        <w:widowControl/>
        <w:spacing w:before="10" w:after="10"/>
        <w:jc w:val="left"/>
        <w:outlineLvl w:val="2"/>
        <w:rPr>
          <w:rFonts w:ascii="Times New Roman" w:hAnsi="Times New Roman" w:eastAsia="Times New Roman" w:cs="Times New Roman"/>
          <w:kern w:val="0"/>
          <w:sz w:val="24"/>
          <w:lang w:eastAsia="uk-UA"/>
        </w:rPr>
      </w:pPr>
      <w:r>
        <w:rPr>
          <w:rFonts w:ascii="黑体" w:hAnsi="黑体" w:eastAsia="黑体" w:cs="黑体"/>
          <w:color w:val="000000"/>
          <w:kern w:val="0"/>
          <w:sz w:val="32"/>
          <w:lang w:eastAsia="uk-UA"/>
        </w:rPr>
        <w:t>六、政府采购预算情况</w:t>
      </w:r>
    </w:p>
    <w:p>
      <w:pPr>
        <w:widowControl/>
        <w:spacing w:line="500" w:lineRule="exact"/>
        <w:ind w:firstLine="560"/>
        <w:jc w:val="left"/>
        <w:rPr>
          <w:rFonts w:hint="eastAsia" w:ascii="Times New Roman" w:hAnsi="Times New Roman" w:eastAsia="方正仿宋_GBK" w:cs="Times New Roman"/>
          <w:color w:val="000000"/>
          <w:kern w:val="0"/>
          <w:sz w:val="28"/>
          <w:lang w:val="en-US" w:eastAsia="zh-CN"/>
        </w:rPr>
      </w:pPr>
      <w:r>
        <w:rPr>
          <w:rFonts w:ascii="Times New Roman" w:hAnsi="Times New Roman" w:eastAsia="方正仿宋_GBK" w:cs="Times New Roman"/>
          <w:color w:val="000000"/>
          <w:kern w:val="0"/>
          <w:sz w:val="28"/>
          <w:lang w:eastAsia="uk-UA"/>
        </w:rPr>
        <w:t>202</w:t>
      </w:r>
      <w:r>
        <w:rPr>
          <w:rFonts w:hint="eastAsia" w:ascii="Times New Roman" w:hAnsi="Times New Roman" w:eastAsia="方正仿宋_GBK" w:cs="Times New Roman"/>
          <w:color w:val="000000"/>
          <w:kern w:val="0"/>
          <w:sz w:val="28"/>
          <w:lang w:val="en-US" w:eastAsia="zh-CN"/>
        </w:rPr>
        <w:t>4</w:t>
      </w:r>
      <w:r>
        <w:rPr>
          <w:rFonts w:ascii="Times New Roman" w:hAnsi="Times New Roman" w:eastAsia="方正仿宋_GBK" w:cs="Times New Roman"/>
          <w:color w:val="000000"/>
          <w:kern w:val="0"/>
          <w:sz w:val="28"/>
          <w:lang w:eastAsia="uk-UA"/>
        </w:rPr>
        <w:t>年</w:t>
      </w:r>
      <w:r>
        <w:rPr>
          <w:rFonts w:hint="eastAsia" w:ascii="Times New Roman" w:hAnsi="Times New Roman" w:eastAsia="方正仿宋_GBK" w:cs="Times New Roman"/>
          <w:color w:val="000000"/>
          <w:kern w:val="0"/>
          <w:sz w:val="28"/>
        </w:rPr>
        <w:t>阜平县统计局无</w:t>
      </w:r>
      <w:r>
        <w:rPr>
          <w:rFonts w:ascii="Times New Roman" w:hAnsi="Times New Roman" w:eastAsia="方正仿宋_GBK" w:cs="Times New Roman"/>
          <w:color w:val="000000"/>
          <w:kern w:val="0"/>
          <w:sz w:val="28"/>
          <w:lang w:eastAsia="uk-UA"/>
        </w:rPr>
        <w:t>政府采购预算。</w:t>
      </w:r>
      <w:r>
        <w:rPr>
          <w:rFonts w:hint="eastAsia" w:ascii="Times New Roman" w:hAnsi="Times New Roman" w:eastAsia="方正仿宋_GBK" w:cs="Times New Roman"/>
          <w:color w:val="000000"/>
          <w:kern w:val="0"/>
          <w:sz w:val="28"/>
          <w:lang w:eastAsia="zh-CN"/>
        </w:rPr>
        <w:t>政府采购预算情况为空表；本年度拟采购情况无金额。</w:t>
      </w:r>
    </w:p>
    <w:p>
      <w:pPr>
        <w:jc w:val="center"/>
        <w:outlineLvl w:val="1"/>
        <w:rPr>
          <w:rFonts w:hint="eastAsia" w:ascii="Times New Roman" w:hAnsi="宋体" w:eastAsia="宋体" w:cs="Times New Roman"/>
          <w:sz w:val="32"/>
          <w:szCs w:val="22"/>
        </w:rPr>
      </w:pPr>
      <w:bookmarkStart w:id="15" w:name="_Toc65075304"/>
      <w:r>
        <w:rPr>
          <w:rFonts w:hint="eastAsia" w:ascii="方正小标宋_GBK" w:hAnsi="Times New Roman" w:eastAsia="方正小标宋_GBK" w:cs="Times New Roman"/>
          <w:sz w:val="32"/>
          <w:szCs w:val="22"/>
        </w:rPr>
        <w:t>部门政府采购预算</w:t>
      </w:r>
      <w:bookmarkEnd w:id="15"/>
    </w:p>
    <w:tbl>
      <w:tblPr>
        <w:tblStyle w:val="6"/>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664"/>
        <w:gridCol w:w="566"/>
        <w:gridCol w:w="129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jc w:val="left"/>
              <w:rPr>
                <w:rFonts w:ascii="方正小标宋_GBK" w:hAnsi="Times New Roman" w:eastAsia="方正小标宋_GBK" w:cs="Times New Roman"/>
                <w:sz w:val="24"/>
                <w:szCs w:val="22"/>
              </w:rPr>
            </w:pPr>
            <w:r>
              <w:rPr>
                <w:rFonts w:ascii="方正小标宋_GBK" w:hAnsi="Times New Roman" w:eastAsia="方正小标宋_GBK" w:cs="Times New Roman"/>
                <w:sz w:val="24"/>
                <w:szCs w:val="22"/>
              </w:rPr>
              <w:t>410</w:t>
            </w:r>
            <w:r>
              <w:rPr>
                <w:rFonts w:hint="eastAsia" w:ascii="方正小标宋_GBK" w:hAnsi="Times New Roman" w:eastAsia="方正小标宋_GBK" w:cs="Times New Roman"/>
                <w:sz w:val="24"/>
                <w:szCs w:val="22"/>
              </w:rPr>
              <w:t>阜平县统计局</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hAnsi="Times New Roman" w:eastAsia="方正书宋_GBK" w:cs="Times New Roman"/>
                <w:sz w:val="24"/>
                <w:szCs w:val="22"/>
              </w:rPr>
            </w:pPr>
            <w:r>
              <w:rPr>
                <w:rFonts w:hint="eastAsia" w:ascii="方正书宋_GBK" w:hAnsi="Times New Roman" w:eastAsia="方正书宋_GBK" w:cs="Times New Roman"/>
                <w:sz w:val="24"/>
                <w:szCs w:val="22"/>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政府采购项目来源</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采购物品名称</w:t>
            </w:r>
          </w:p>
        </w:tc>
        <w:tc>
          <w:tcPr>
            <w:tcW w:w="1531"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政府采购目录序号</w:t>
            </w:r>
          </w:p>
        </w:tc>
        <w:tc>
          <w:tcPr>
            <w:tcW w:w="664"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计量</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单位</w:t>
            </w:r>
          </w:p>
        </w:tc>
        <w:tc>
          <w:tcPr>
            <w:tcW w:w="566"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数量</w:t>
            </w:r>
          </w:p>
        </w:tc>
        <w:tc>
          <w:tcPr>
            <w:tcW w:w="1293" w:type="dxa"/>
            <w:vMerge w:val="restart"/>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单价</w:t>
            </w:r>
          </w:p>
        </w:tc>
        <w:tc>
          <w:tcPr>
            <w:tcW w:w="6804" w:type="dxa"/>
            <w:gridSpan w:val="6"/>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项目名称</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预算资金</w:t>
            </w: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531"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664"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566"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293" w:type="dxa"/>
            <w:vMerge w:val="continue"/>
            <w:noWrap w:val="0"/>
            <w:vAlign w:val="center"/>
          </w:tcPr>
          <w:p>
            <w:pPr>
              <w:spacing w:line="300" w:lineRule="exact"/>
              <w:jc w:val="left"/>
              <w:outlineLvl w:val="1"/>
              <w:rPr>
                <w:rFonts w:ascii="Times New Roman" w:hAnsi="Times New Roman" w:eastAsia="方正仿宋_GBK" w:cs="Times New Roman"/>
                <w:sz w:val="28"/>
                <w:szCs w:val="22"/>
              </w:rPr>
            </w:pP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合计</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一般公共预算拨款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基金预算拨款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国有资本经营预算拨款</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财政专户核拨</w:t>
            </w:r>
          </w:p>
        </w:tc>
        <w:tc>
          <w:tcPr>
            <w:tcW w:w="113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noWrap w:val="0"/>
            <w:vAlign w:val="center"/>
          </w:tcPr>
          <w:p>
            <w:pPr>
              <w:spacing w:line="300" w:lineRule="exact"/>
              <w:jc w:val="center"/>
              <w:rPr>
                <w:rFonts w:ascii="方正书宋_GBK" w:hAnsi="Times New Roman" w:eastAsia="方正书宋_GBK" w:cs="Times New Roman"/>
                <w:b/>
                <w:szCs w:val="22"/>
              </w:rPr>
            </w:pPr>
            <w:r>
              <w:rPr>
                <w:rFonts w:hint="eastAsia" w:ascii="方正书宋_GBK" w:hAnsi="Times New Roman" w:eastAsia="方正书宋_GBK" w:cs="Times New Roman"/>
                <w:b/>
                <w:szCs w:val="22"/>
              </w:rPr>
              <w:t>合</w:t>
            </w:r>
            <w:r>
              <w:rPr>
                <w:rFonts w:ascii="方正书宋_GBK" w:hAnsi="Times New Roman" w:eastAsia="方正书宋_GBK" w:cs="Times New Roman"/>
                <w:b/>
                <w:szCs w:val="22"/>
              </w:rPr>
              <w:t xml:space="preserve">  </w:t>
            </w:r>
            <w:r>
              <w:rPr>
                <w:rFonts w:hint="eastAsia" w:ascii="方正书宋_GBK" w:hAnsi="Times New Roman" w:eastAsia="方正书宋_GBK" w:cs="Times New Roman"/>
                <w:b/>
                <w:szCs w:val="22"/>
              </w:rPr>
              <w:t>计</w:t>
            </w: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eastAsia"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1531" w:type="dxa"/>
            <w:noWrap w:val="0"/>
            <w:vAlign w:val="center"/>
          </w:tcPr>
          <w:p>
            <w:pPr>
              <w:spacing w:line="300" w:lineRule="exact"/>
              <w:jc w:val="left"/>
              <w:rPr>
                <w:rFonts w:ascii="方正书宋_GBK" w:hAnsi="Times New Roman" w:eastAsia="方正书宋_GBK" w:cs="Times New Roman"/>
                <w:b/>
                <w:szCs w:val="22"/>
              </w:rPr>
            </w:pPr>
          </w:p>
        </w:tc>
        <w:tc>
          <w:tcPr>
            <w:tcW w:w="664" w:type="dxa"/>
            <w:noWrap w:val="0"/>
            <w:vAlign w:val="center"/>
          </w:tcPr>
          <w:p>
            <w:pPr>
              <w:spacing w:line="300" w:lineRule="exact"/>
              <w:jc w:val="center"/>
              <w:rPr>
                <w:rFonts w:ascii="方正书宋_GBK" w:hAnsi="Times New Roman" w:eastAsia="方正书宋_GBK" w:cs="Times New Roman"/>
                <w:b/>
                <w:szCs w:val="22"/>
              </w:rPr>
            </w:pPr>
          </w:p>
        </w:tc>
        <w:tc>
          <w:tcPr>
            <w:tcW w:w="566" w:type="dxa"/>
            <w:noWrap w:val="0"/>
            <w:vAlign w:val="center"/>
          </w:tcPr>
          <w:p>
            <w:pPr>
              <w:spacing w:line="300" w:lineRule="exact"/>
              <w:jc w:val="right"/>
              <w:rPr>
                <w:rFonts w:ascii="方正书宋_GBK" w:hAnsi="Times New Roman" w:eastAsia="方正书宋_GBK" w:cs="Times New Roman"/>
                <w:b/>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c>
          <w:tcPr>
            <w:tcW w:w="1134" w:type="dxa"/>
            <w:noWrap w:val="0"/>
            <w:vAlign w:val="center"/>
          </w:tcPr>
          <w:p>
            <w:pPr>
              <w:spacing w:line="300" w:lineRule="exact"/>
              <w:jc w:val="right"/>
              <w:rPr>
                <w:rFonts w:ascii="方正书宋_GBK" w:hAnsi="Times New Roman" w:eastAsia="方正书宋_GBK" w:cs="Times New Roman"/>
                <w:b/>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top"/>
          </w:tcPr>
          <w:p>
            <w:pPr>
              <w:spacing w:line="300" w:lineRule="exact"/>
              <w:jc w:val="right"/>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left"/>
              <w:rPr>
                <w:rFonts w:hint="eastAsia" w:ascii="方正书宋_GBK" w:hAnsi="Times New Roman" w:eastAsia="方正书宋_GBK" w:cs="Times New Roman"/>
                <w:szCs w:val="22"/>
              </w:rPr>
            </w:pPr>
          </w:p>
        </w:tc>
        <w:tc>
          <w:tcPr>
            <w:tcW w:w="1134" w:type="dxa"/>
            <w:noWrap w:val="0"/>
            <w:vAlign w:val="center"/>
          </w:tcPr>
          <w:p>
            <w:pPr>
              <w:spacing w:line="300" w:lineRule="exact"/>
              <w:jc w:val="both"/>
              <w:rPr>
                <w:rFonts w:ascii="方正书宋_GBK" w:hAnsi="Times New Roman" w:eastAsia="方正书宋_GBK" w:cs="Times New Roman"/>
                <w:szCs w:val="22"/>
              </w:rPr>
            </w:pPr>
          </w:p>
        </w:tc>
        <w:tc>
          <w:tcPr>
            <w:tcW w:w="1531" w:type="dxa"/>
            <w:noWrap w:val="0"/>
            <w:vAlign w:val="center"/>
          </w:tcPr>
          <w:p>
            <w:pPr>
              <w:spacing w:line="300" w:lineRule="exact"/>
              <w:jc w:val="left"/>
              <w:rPr>
                <w:rFonts w:hint="eastAsia" w:ascii="方正书宋_GBK" w:hAnsi="Times New Roman" w:eastAsia="方正书宋_GBK" w:cs="Times New Roman"/>
                <w:szCs w:val="22"/>
              </w:rPr>
            </w:pPr>
          </w:p>
        </w:tc>
        <w:tc>
          <w:tcPr>
            <w:tcW w:w="1531" w:type="dxa"/>
            <w:noWrap w:val="0"/>
            <w:vAlign w:val="center"/>
          </w:tcPr>
          <w:p>
            <w:pPr>
              <w:spacing w:line="300" w:lineRule="exact"/>
              <w:jc w:val="left"/>
              <w:rPr>
                <w:rFonts w:ascii="方正书宋_GBK" w:hAnsi="Times New Roman" w:eastAsia="方正书宋_GBK" w:cs="Times New Roman"/>
                <w:szCs w:val="22"/>
              </w:rPr>
            </w:pPr>
          </w:p>
        </w:tc>
        <w:tc>
          <w:tcPr>
            <w:tcW w:w="664" w:type="dxa"/>
            <w:noWrap w:val="0"/>
            <w:vAlign w:val="center"/>
          </w:tcPr>
          <w:p>
            <w:pPr>
              <w:spacing w:line="300" w:lineRule="exact"/>
              <w:jc w:val="center"/>
              <w:rPr>
                <w:rFonts w:ascii="方正书宋_GBK" w:hAnsi="Times New Roman" w:eastAsia="方正书宋_GBK" w:cs="Times New Roman"/>
                <w:szCs w:val="22"/>
              </w:rPr>
            </w:pPr>
          </w:p>
        </w:tc>
        <w:tc>
          <w:tcPr>
            <w:tcW w:w="566" w:type="dxa"/>
            <w:noWrap w:val="0"/>
            <w:vAlign w:val="center"/>
          </w:tcPr>
          <w:p>
            <w:pPr>
              <w:spacing w:line="300" w:lineRule="exact"/>
              <w:jc w:val="right"/>
              <w:rPr>
                <w:rFonts w:ascii="方正书宋_GBK" w:hAnsi="Times New Roman" w:eastAsia="方正书宋_GBK" w:cs="Times New Roman"/>
                <w:szCs w:val="22"/>
              </w:rPr>
            </w:pPr>
          </w:p>
        </w:tc>
        <w:tc>
          <w:tcPr>
            <w:tcW w:w="1293"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top"/>
          </w:tcPr>
          <w:p>
            <w:pPr>
              <w:spacing w:line="300" w:lineRule="exact"/>
              <w:jc w:val="center"/>
              <w:rPr>
                <w:rFonts w:hint="eastAsia" w:ascii="方正书宋_GBK" w:hAnsi="Times New Roman" w:eastAsia="方正书宋_GBK" w:cs="Times New Roman"/>
                <w:szCs w:val="22"/>
              </w:rPr>
            </w:pPr>
          </w:p>
        </w:tc>
        <w:tc>
          <w:tcPr>
            <w:tcW w:w="1134" w:type="dxa"/>
            <w:noWrap w:val="0"/>
            <w:vAlign w:val="top"/>
          </w:tcPr>
          <w:p>
            <w:pPr>
              <w:spacing w:line="300" w:lineRule="exact"/>
              <w:jc w:val="both"/>
              <w:rPr>
                <w:rFonts w:hint="eastAsia"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c>
          <w:tcPr>
            <w:tcW w:w="1134" w:type="dxa"/>
            <w:noWrap w:val="0"/>
            <w:vAlign w:val="center"/>
          </w:tcPr>
          <w:p>
            <w:pPr>
              <w:spacing w:line="300" w:lineRule="exact"/>
              <w:jc w:val="right"/>
              <w:rPr>
                <w:rFonts w:ascii="方正书宋_GBK" w:hAnsi="Times New Roman" w:eastAsia="方正书宋_GBK" w:cs="Times New Roman"/>
                <w:szCs w:val="22"/>
              </w:rPr>
            </w:pPr>
          </w:p>
        </w:tc>
      </w:tr>
    </w:tbl>
    <w:p>
      <w:pPr>
        <w:widowControl/>
        <w:jc w:val="left"/>
        <w:outlineLvl w:val="1"/>
        <w:rPr>
          <w:rFonts w:ascii="方正书宋_GBK" w:hAnsi="方正书宋_GBK" w:eastAsia="方正书宋_GBK" w:cs="方正书宋_GBK"/>
          <w:color w:val="000000"/>
          <w:kern w:val="0"/>
          <w:lang w:eastAsia="uk-UA"/>
        </w:rPr>
      </w:pPr>
      <w:r>
        <w:rPr>
          <w:rFonts w:ascii="方正书宋_GBK" w:hAnsi="方正书宋_GBK" w:eastAsia="方正书宋_GBK" w:cs="方正书宋_GBK"/>
          <w:color w:val="000000"/>
          <w:kern w:val="0"/>
          <w:lang w:eastAsia="uk-UA"/>
        </w:rPr>
        <w:t>注</w:t>
      </w:r>
      <w:r>
        <w:rPr>
          <w:rFonts w:hint="eastAsia" w:ascii="方正书宋_GBK" w:hAnsi="方正书宋_GBK" w:eastAsia="方正书宋_GBK" w:cs="方正书宋_GBK"/>
          <w:color w:val="000000"/>
          <w:kern w:val="0"/>
          <w:lang w:eastAsia="zh-CN"/>
        </w:rPr>
        <w:t>：无政府采购</w:t>
      </w:r>
      <w:r>
        <w:rPr>
          <w:rFonts w:ascii="方正书宋_GBK" w:hAnsi="方正书宋_GBK" w:eastAsia="方正书宋_GBK" w:cs="方正书宋_GBK"/>
          <w:color w:val="000000"/>
          <w:kern w:val="0"/>
          <w:lang w:eastAsia="uk-UA"/>
        </w:rPr>
        <w:t>预算，空表列示。</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line="500" w:lineRule="exact"/>
        <w:jc w:val="left"/>
        <w:rPr>
          <w:rFonts w:ascii="Times New Roman" w:hAnsi="Times New Roman" w:eastAsia="方正仿宋_GBK" w:cs="Times New Roman"/>
          <w:color w:val="000000"/>
          <w:kern w:val="0"/>
          <w:sz w:val="28"/>
          <w:lang w:eastAsia="uk-UA"/>
        </w:rPr>
      </w:pPr>
    </w:p>
    <w:p>
      <w:pPr>
        <w:widowControl/>
        <w:spacing w:before="10" w:after="10"/>
        <w:ind w:firstLine="320" w:firstLineChars="100"/>
        <w:jc w:val="left"/>
        <w:outlineLvl w:val="2"/>
        <w:rPr>
          <w:rFonts w:ascii="Times New Roman" w:hAnsi="Times New Roman" w:eastAsia="Times New Roman" w:cs="Times New Roman"/>
          <w:kern w:val="0"/>
          <w:sz w:val="24"/>
          <w:lang w:eastAsia="uk-UA"/>
        </w:rPr>
      </w:pPr>
      <w:bookmarkStart w:id="16" w:name="_Toc_3_3_0000000016"/>
      <w:r>
        <w:rPr>
          <w:rFonts w:ascii="黑体" w:hAnsi="黑体" w:eastAsia="黑体" w:cs="黑体"/>
          <w:color w:val="000000"/>
          <w:kern w:val="0"/>
          <w:sz w:val="32"/>
          <w:lang w:eastAsia="uk-UA"/>
        </w:rPr>
        <w:t>七、国有资产信息</w:t>
      </w:r>
      <w:bookmarkEnd w:id="16"/>
    </w:p>
    <w:p>
      <w:pPr>
        <w:widowControl/>
        <w:spacing w:line="500" w:lineRule="exact"/>
        <w:ind w:firstLine="560"/>
        <w:jc w:val="left"/>
        <w:rPr>
          <w:rFonts w:hint="default" w:ascii="Times New Roman" w:hAnsi="Times New Roman" w:eastAsia="方正仿宋_GBK" w:cs="Times New Roman"/>
          <w:color w:val="000000"/>
          <w:kern w:val="0"/>
          <w:sz w:val="28"/>
          <w:lang w:val="en-US" w:eastAsia="zh-CN"/>
        </w:rPr>
      </w:pPr>
      <w:r>
        <w:rPr>
          <w:rFonts w:hint="eastAsia" w:ascii="Times New Roman" w:hAnsi="Times New Roman" w:eastAsia="方正仿宋_GBK" w:cs="Times New Roman"/>
          <w:color w:val="000000"/>
          <w:kern w:val="0"/>
          <w:sz w:val="28"/>
        </w:rPr>
        <w:t>阜平县统计局</w:t>
      </w:r>
      <w:r>
        <w:rPr>
          <w:rFonts w:ascii="Times New Roman" w:hAnsi="Times New Roman" w:eastAsia="方正仿宋_GBK" w:cs="Times New Roman"/>
          <w:color w:val="000000"/>
          <w:kern w:val="0"/>
          <w:sz w:val="28"/>
          <w:lang w:eastAsia="uk-UA"/>
        </w:rPr>
        <w:t>年末固定资产金额为</w:t>
      </w:r>
      <w:r>
        <w:rPr>
          <w:rFonts w:hint="eastAsia" w:ascii="Times New Roman" w:hAnsi="Times New Roman" w:eastAsia="方正仿宋_GBK" w:cs="Times New Roman"/>
          <w:color w:val="000000"/>
          <w:kern w:val="0"/>
          <w:sz w:val="28"/>
          <w:lang w:val="en-US" w:eastAsia="zh-CN"/>
        </w:rPr>
        <w:t>125.85</w:t>
      </w:r>
      <w:r>
        <w:rPr>
          <w:rFonts w:ascii="Times New Roman" w:hAnsi="Times New Roman" w:eastAsia="方正仿宋_GBK" w:cs="Times New Roman"/>
          <w:color w:val="000000"/>
          <w:kern w:val="0"/>
          <w:sz w:val="28"/>
          <w:lang w:eastAsia="uk-UA"/>
        </w:rPr>
        <w:t>万元（详见下表）。</w:t>
      </w:r>
      <w:r>
        <w:rPr>
          <w:rFonts w:hint="eastAsia" w:ascii="Times New Roman" w:hAnsi="Times New Roman" w:eastAsia="方正仿宋_GBK" w:cs="Times New Roman"/>
          <w:color w:val="000000"/>
          <w:kern w:val="0"/>
          <w:sz w:val="28"/>
          <w:lang w:eastAsia="zh-CN"/>
        </w:rPr>
        <w:t>我单位</w:t>
      </w:r>
      <w:r>
        <w:rPr>
          <w:rFonts w:hint="eastAsia" w:ascii="Times New Roman" w:hAnsi="Times New Roman" w:eastAsia="方正仿宋_GBK" w:cs="Times New Roman"/>
          <w:color w:val="000000"/>
          <w:kern w:val="0"/>
          <w:sz w:val="28"/>
          <w:lang w:val="en-US" w:eastAsia="zh-CN"/>
        </w:rPr>
        <w:t>2024年无拟购置固定资产计划。</w:t>
      </w:r>
    </w:p>
    <w:p>
      <w:pPr>
        <w:widowControl/>
        <w:spacing w:line="500" w:lineRule="exact"/>
        <w:ind w:firstLine="560"/>
        <w:jc w:val="left"/>
        <w:rPr>
          <w:rFonts w:ascii="Times New Roman" w:hAnsi="Times New Roman" w:eastAsia="方正仿宋_GBK" w:cs="Times New Roman"/>
          <w:color w:val="000000"/>
          <w:kern w:val="0"/>
          <w:sz w:val="28"/>
          <w:lang w:eastAsia="uk-UA"/>
        </w:rPr>
      </w:pPr>
    </w:p>
    <w:p>
      <w:pPr>
        <w:widowControl/>
        <w:jc w:val="center"/>
        <w:rPr>
          <w:rFonts w:ascii="Times New Roman" w:hAnsi="Times New Roman" w:eastAsia="Times New Roman" w:cs="Times New Roman"/>
          <w:kern w:val="0"/>
          <w:sz w:val="24"/>
          <w:lang w:eastAsia="uk-UA"/>
        </w:rPr>
      </w:pPr>
      <w:r>
        <w:rPr>
          <w:rFonts w:ascii="方正小标宋_GBK" w:hAnsi="方正小标宋_GBK" w:eastAsia="方正小标宋_GBK" w:cs="方正小标宋_GBK"/>
          <w:color w:val="000000"/>
          <w:kern w:val="0"/>
          <w:sz w:val="36"/>
          <w:lang w:eastAsia="uk-UA"/>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4</w:t>
            </w:r>
            <w:r>
              <w:rPr>
                <w:rFonts w:hint="eastAsia" w:ascii="方正小标宋_GBK" w:hAnsi="方正小标宋_GBK" w:eastAsia="方正小标宋_GBK" w:cs="方正小标宋_GBK"/>
                <w:kern w:val="0"/>
                <w:sz w:val="24"/>
              </w:rPr>
              <w:t>10阜平县统计局</w:t>
            </w:r>
          </w:p>
        </w:tc>
        <w:tc>
          <w:tcPr>
            <w:tcW w:w="5669" w:type="dxa"/>
            <w:gridSpan w:val="2"/>
            <w:tcBorders>
              <w:top w:val="single" w:color="FFFFFF" w:sz="6" w:space="0"/>
              <w:left w:val="single" w:color="FFFFFF" w:sz="6" w:space="0"/>
              <w:right w:val="single" w:color="FFFFFF" w:sz="6" w:space="0"/>
            </w:tcBorders>
            <w:vAlign w:val="center"/>
          </w:tcPr>
          <w:p>
            <w:pPr>
              <w:jc w:val="right"/>
              <w:rPr>
                <w:rFonts w:ascii="方正小标宋_GBK" w:hAnsi="方正小标宋_GBK" w:eastAsia="方正小标宋_GBK" w:cs="方正小标宋_GBK"/>
                <w:kern w:val="0"/>
                <w:sz w:val="24"/>
                <w:lang w:eastAsia="uk-UA"/>
              </w:rPr>
            </w:pPr>
            <w:r>
              <w:rPr>
                <w:rFonts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lang w:val="en-US" w:eastAsia="zh-CN"/>
              </w:rPr>
              <w:t>3</w:t>
            </w:r>
            <w:r>
              <w:rPr>
                <w:rFonts w:ascii="方正小标宋_GBK" w:hAnsi="方正小标宋_GBK" w:eastAsia="方正小标宋_GBK" w:cs="方正小标宋_GBK"/>
                <w:kern w:val="0"/>
                <w:sz w:val="24"/>
                <w:lang w:eastAsia="uk-UA"/>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项   目</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数量</w:t>
            </w:r>
          </w:p>
        </w:tc>
        <w:tc>
          <w:tcPr>
            <w:tcW w:w="2835" w:type="dxa"/>
            <w:vAlign w:val="center"/>
          </w:tcPr>
          <w:p>
            <w:pPr>
              <w:snapToGrid w:val="0"/>
              <w:jc w:val="center"/>
              <w:rPr>
                <w:rFonts w:ascii="方正书宋_GBK" w:hAnsi="方正书宋_GBK" w:eastAsia="方正书宋_GBK" w:cs="方正书宋_GBK"/>
                <w:b/>
                <w:kern w:val="0"/>
                <w:lang w:eastAsia="uk-UA"/>
              </w:rPr>
            </w:pPr>
            <w:r>
              <w:rPr>
                <w:rFonts w:ascii="方正书宋_GBK" w:hAnsi="方正书宋_GBK" w:eastAsia="方正书宋_GBK" w:cs="方正书宋_GBK"/>
                <w:b/>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资产总额</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125.85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1、房屋（平方米）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　　其中：办公用房（平方米）</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2、车辆（台、辆）</w:t>
            </w: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w:t>
            </w:r>
          </w:p>
        </w:tc>
        <w:tc>
          <w:tcPr>
            <w:tcW w:w="2835" w:type="dxa"/>
            <w:vAlign w:val="center"/>
          </w:tcPr>
          <w:p>
            <w:pPr>
              <w:snapToGrid w:val="0"/>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3、单价在20万元以上的设备</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ascii="方正书宋_GBK" w:hAnsi="方正书宋_GBK" w:eastAsia="方正书宋_GBK" w:cs="方正书宋_GBK"/>
                <w:kern w:val="0"/>
                <w:lang w:eastAsia="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snapToGrid w:val="0"/>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4、其他固定资产</w:t>
            </w:r>
          </w:p>
        </w:tc>
        <w:tc>
          <w:tcPr>
            <w:tcW w:w="2835" w:type="dxa"/>
            <w:vAlign w:val="center"/>
          </w:tcPr>
          <w:p>
            <w:pPr>
              <w:snapToGrid w:val="0"/>
              <w:jc w:val="center"/>
              <w:rPr>
                <w:rFonts w:ascii="方正书宋_GBK" w:hAnsi="方正书宋_GBK" w:eastAsia="方正书宋_GBK" w:cs="方正书宋_GBK"/>
                <w:kern w:val="0"/>
                <w:lang w:eastAsia="uk-UA"/>
              </w:rPr>
            </w:pPr>
          </w:p>
        </w:tc>
        <w:tc>
          <w:tcPr>
            <w:tcW w:w="2835" w:type="dxa"/>
            <w:vAlign w:val="center"/>
          </w:tcPr>
          <w:p>
            <w:pPr>
              <w:snapToGrid w:val="0"/>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122.85</w:t>
            </w:r>
          </w:p>
        </w:tc>
      </w:tr>
    </w:tbl>
    <w:p>
      <w:pPr>
        <w:widowControl/>
        <w:spacing w:before="10" w:after="10"/>
        <w:ind w:firstLine="640"/>
        <w:jc w:val="left"/>
        <w:outlineLvl w:val="2"/>
        <w:rPr>
          <w:rFonts w:ascii="黑体" w:hAnsi="黑体" w:eastAsia="黑体" w:cs="黑体"/>
          <w:color w:val="000000"/>
          <w:kern w:val="0"/>
          <w:sz w:val="32"/>
          <w:lang w:eastAsia="uk-UA"/>
        </w:rPr>
      </w:pPr>
      <w:bookmarkStart w:id="17" w:name="_Toc_3_3_0000000017"/>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黑体" w:hAnsi="黑体" w:eastAsia="黑体" w:cs="黑体"/>
          <w:color w:val="000000"/>
          <w:kern w:val="0"/>
          <w:sz w:val="32"/>
          <w:lang w:eastAsia="uk-UA"/>
        </w:rPr>
      </w:pPr>
    </w:p>
    <w:p>
      <w:pPr>
        <w:widowControl/>
        <w:spacing w:before="10" w:after="10"/>
        <w:ind w:firstLine="640"/>
        <w:jc w:val="left"/>
        <w:outlineLvl w:val="2"/>
        <w:rPr>
          <w:rFonts w:ascii="Calibri" w:hAnsi="Calibri" w:eastAsia="黑体" w:cs="黑体"/>
          <w:color w:val="000000"/>
          <w:kern w:val="0"/>
          <w:sz w:val="32"/>
          <w:lang w:val="uk-UA" w:eastAsia="uk-UA"/>
        </w:rPr>
      </w:pPr>
      <w:r>
        <w:rPr>
          <w:rFonts w:ascii="黑体" w:hAnsi="黑体" w:eastAsia="黑体" w:cs="黑体"/>
          <w:color w:val="000000"/>
          <w:kern w:val="0"/>
          <w:sz w:val="32"/>
          <w:lang w:eastAsia="uk-UA"/>
        </w:rPr>
        <w:t>八、名词解释</w:t>
      </w:r>
      <w:bookmarkEnd w:id="17"/>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1</w:t>
      </w:r>
      <w:r>
        <w:rPr>
          <w:rFonts w:hint="eastAsia" w:ascii="Times New Roman" w:hAnsi="Times New Roman" w:eastAsia="方正仿宋_GBK" w:cs="Times New Roman"/>
          <w:b/>
          <w:color w:val="000000"/>
          <w:kern w:val="0"/>
          <w:sz w:val="28"/>
          <w:lang w:eastAsia="uk-UA"/>
        </w:rPr>
        <w:t>、财政拨款收入</w:t>
      </w:r>
      <w:r>
        <w:rPr>
          <w:rFonts w:hint="eastAsia" w:ascii="Times New Roman" w:hAnsi="Times New Roman" w:eastAsia="方正仿宋_GBK" w:cs="Times New Roman"/>
          <w:color w:val="000000"/>
          <w:kern w:val="0"/>
          <w:sz w:val="28"/>
          <w:lang w:eastAsia="uk-UA"/>
        </w:rPr>
        <w:t>：指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级财政当年拨付的资金。</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2</w:t>
      </w:r>
      <w:r>
        <w:rPr>
          <w:rFonts w:hint="eastAsia" w:ascii="Times New Roman" w:hAnsi="Times New Roman" w:eastAsia="方正仿宋_GBK" w:cs="Times New Roman"/>
          <w:b/>
          <w:color w:val="000000"/>
          <w:kern w:val="0"/>
          <w:sz w:val="28"/>
          <w:lang w:eastAsia="uk-UA"/>
        </w:rPr>
        <w:t>、其他收入：</w:t>
      </w:r>
      <w:r>
        <w:rPr>
          <w:rFonts w:hint="eastAsia" w:ascii="Times New Roman" w:hAnsi="Times New Roman" w:eastAsia="方正仿宋_GBK" w:cs="Times New Roman"/>
          <w:color w:val="000000"/>
          <w:kern w:val="0"/>
          <w:sz w:val="28"/>
          <w:lang w:eastAsia="uk-UA"/>
        </w:rPr>
        <w:t>指除上述</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财政拨款收入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事业收入</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等以外的收入。</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3</w:t>
      </w:r>
      <w:r>
        <w:rPr>
          <w:rFonts w:hint="eastAsia" w:ascii="Times New Roman" w:hAnsi="Times New Roman" w:eastAsia="方正仿宋_GBK" w:cs="Times New Roman"/>
          <w:b/>
          <w:color w:val="000000"/>
          <w:kern w:val="0"/>
          <w:sz w:val="28"/>
          <w:lang w:eastAsia="uk-UA"/>
        </w:rPr>
        <w:t>、基本支出：</w:t>
      </w:r>
      <w:r>
        <w:rPr>
          <w:rFonts w:hint="eastAsia" w:ascii="Times New Roman" w:hAnsi="Times New Roman" w:eastAsia="方正仿宋_GBK" w:cs="Times New Roman"/>
          <w:color w:val="000000"/>
          <w:kern w:val="0"/>
          <w:sz w:val="28"/>
          <w:lang w:eastAsia="uk-UA"/>
        </w:rPr>
        <w:t>指为保障机构正常运转、完成日常工作任务而发生的人员支出和公用支出。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4</w:t>
      </w:r>
      <w:r>
        <w:rPr>
          <w:rFonts w:hint="eastAsia" w:ascii="Times New Roman" w:hAnsi="Times New Roman" w:eastAsia="方正仿宋_GBK" w:cs="Times New Roman"/>
          <w:b/>
          <w:color w:val="000000"/>
          <w:kern w:val="0"/>
          <w:sz w:val="28"/>
          <w:lang w:eastAsia="uk-UA"/>
        </w:rPr>
        <w:t>、项目支出：</w:t>
      </w:r>
      <w:r>
        <w:rPr>
          <w:rFonts w:hint="eastAsia" w:ascii="Times New Roman" w:hAnsi="Times New Roman" w:eastAsia="方正仿宋_GBK" w:cs="Times New Roman"/>
          <w:color w:val="000000"/>
          <w:kern w:val="0"/>
          <w:sz w:val="28"/>
          <w:lang w:eastAsia="uk-UA"/>
        </w:rPr>
        <w:t>指在基本支出之外为完成特定行政任务和事业发展目标所发生的支出。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5</w:t>
      </w:r>
      <w:r>
        <w:rPr>
          <w:rFonts w:hint="eastAsia" w:ascii="Times New Roman" w:hAnsi="Times New Roman" w:eastAsia="方正仿宋_GBK" w:cs="Times New Roman"/>
          <w:b/>
          <w:color w:val="000000"/>
          <w:kern w:val="0"/>
          <w:sz w:val="28"/>
          <w:lang w:eastAsia="uk-UA"/>
        </w:rPr>
        <w:t>、</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三公</w:t>
      </w:r>
      <w:r>
        <w:rPr>
          <w:rFonts w:ascii="Times New Roman" w:hAnsi="Times New Roman" w:eastAsia="方正仿宋_GBK" w:cs="Times New Roman"/>
          <w:b/>
          <w:color w:val="000000"/>
          <w:kern w:val="0"/>
          <w:sz w:val="28"/>
          <w:lang w:eastAsia="uk-UA"/>
        </w:rPr>
        <w:t>”</w:t>
      </w:r>
      <w:r>
        <w:rPr>
          <w:rFonts w:hint="eastAsia" w:ascii="Times New Roman" w:hAnsi="Times New Roman" w:eastAsia="方正仿宋_GBK" w:cs="Times New Roman"/>
          <w:b/>
          <w:color w:val="000000"/>
          <w:kern w:val="0"/>
          <w:sz w:val="28"/>
          <w:lang w:eastAsia="uk-UA"/>
        </w:rPr>
        <w:t>经费：</w:t>
      </w:r>
      <w:r>
        <w:rPr>
          <w:rFonts w:hint="eastAsia" w:ascii="Times New Roman" w:hAnsi="Times New Roman" w:eastAsia="方正仿宋_GBK" w:cs="Times New Roman"/>
          <w:color w:val="000000"/>
          <w:kern w:val="0"/>
          <w:sz w:val="28"/>
          <w:lang w:eastAsia="uk-UA"/>
        </w:rPr>
        <w:t>纳入</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级财政预算管理的</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三公</w:t>
      </w:r>
      <w:r>
        <w:rPr>
          <w:rFonts w:ascii="Times New Roman" w:hAnsi="Times New Roman" w:eastAsia="方正仿宋_GBK" w:cs="Times New Roman"/>
          <w:color w:val="000000"/>
          <w:kern w:val="0"/>
          <w:sz w:val="28"/>
          <w:lang w:eastAsia="uk-UA"/>
        </w:rPr>
        <w:t>”</w:t>
      </w:r>
      <w:r>
        <w:rPr>
          <w:rFonts w:hint="eastAsia" w:ascii="Times New Roman" w:hAnsi="Times New Roman" w:eastAsia="方正仿宋_GBK" w:cs="Times New Roman"/>
          <w:color w:val="000000"/>
          <w:kern w:val="0"/>
          <w:sz w:val="28"/>
          <w:lang w:eastAsia="uk-UA"/>
        </w:rPr>
        <w:t>经费，是指</w:t>
      </w:r>
      <w:r>
        <w:rPr>
          <w:rFonts w:hint="eastAsia" w:ascii="Times New Roman" w:hAnsi="Times New Roman" w:eastAsia="方正仿宋_GBK" w:cs="Times New Roman"/>
          <w:color w:val="000000"/>
          <w:kern w:val="0"/>
          <w:sz w:val="28"/>
        </w:rPr>
        <w:t>县</w:t>
      </w:r>
      <w:r>
        <w:rPr>
          <w:rFonts w:hint="eastAsia" w:ascii="Times New Roman" w:hAnsi="Times New Roman" w:eastAsia="方正仿宋_GBK" w:cs="Times New Roman"/>
          <w:color w:val="000000"/>
          <w:kern w:val="0"/>
          <w:sz w:val="28"/>
          <w:lang w:eastAsia="uk-UA"/>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6</w:t>
      </w:r>
      <w:r>
        <w:rPr>
          <w:rFonts w:hint="eastAsia" w:ascii="Times New Roman" w:hAnsi="Times New Roman" w:eastAsia="方正仿宋_GBK" w:cs="Times New Roman"/>
          <w:b/>
          <w:color w:val="000000"/>
          <w:kern w:val="0"/>
          <w:sz w:val="28"/>
          <w:lang w:eastAsia="uk-UA"/>
        </w:rPr>
        <w:t>、机关运行费：</w:t>
      </w:r>
      <w:r>
        <w:rPr>
          <w:rFonts w:hint="eastAsia" w:ascii="Times New Roman" w:hAnsi="Times New Roman" w:eastAsia="方正仿宋_GBK" w:cs="Times New Roman"/>
          <w:color w:val="000000"/>
          <w:kern w:val="0"/>
          <w:sz w:val="28"/>
          <w:lang w:eastAsia="uk-UA"/>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500" w:lineRule="exact"/>
        <w:ind w:firstLine="560"/>
        <w:jc w:val="left"/>
        <w:rPr>
          <w:rFonts w:ascii="Times New Roman" w:hAnsi="Times New Roman" w:eastAsia="方正仿宋_GBK" w:cs="Times New Roman"/>
          <w:color w:val="000000"/>
          <w:kern w:val="0"/>
          <w:sz w:val="28"/>
          <w:lang w:eastAsia="uk-UA"/>
        </w:rPr>
      </w:pPr>
      <w:r>
        <w:rPr>
          <w:rFonts w:ascii="Times New Roman" w:hAnsi="Times New Roman" w:eastAsia="方正仿宋_GBK" w:cs="Times New Roman"/>
          <w:b/>
          <w:color w:val="000000"/>
          <w:kern w:val="0"/>
          <w:sz w:val="28"/>
          <w:lang w:eastAsia="uk-UA"/>
        </w:rPr>
        <w:t>7</w:t>
      </w:r>
      <w:r>
        <w:rPr>
          <w:rFonts w:hint="eastAsia" w:ascii="Times New Roman" w:hAnsi="Times New Roman" w:eastAsia="方正仿宋_GBK" w:cs="Times New Roman"/>
          <w:b/>
          <w:color w:val="000000"/>
          <w:kern w:val="0"/>
          <w:sz w:val="28"/>
          <w:lang w:eastAsia="uk-UA"/>
        </w:rPr>
        <w:t>、公务费：</w:t>
      </w:r>
      <w:r>
        <w:rPr>
          <w:rFonts w:hint="eastAsia" w:ascii="Times New Roman" w:hAnsi="Times New Roman" w:eastAsia="方正仿宋_GBK" w:cs="Times New Roman"/>
          <w:color w:val="000000"/>
          <w:kern w:val="0"/>
          <w:sz w:val="28"/>
          <w:lang w:eastAsia="uk-UA"/>
        </w:rPr>
        <w:t>包括办公费、水电费、邮电费、取暖费、交通费、一般会议费和物业管理费之和。</w:t>
      </w:r>
    </w:p>
    <w:p>
      <w:pPr>
        <w:widowControl/>
        <w:spacing w:before="10" w:after="10"/>
        <w:ind w:firstLine="640"/>
        <w:jc w:val="left"/>
        <w:outlineLvl w:val="2"/>
        <w:rPr>
          <w:rFonts w:ascii="Times New Roman" w:hAnsi="Times New Roman" w:eastAsia="Times New Roman" w:cs="Times New Roman"/>
          <w:kern w:val="0"/>
          <w:sz w:val="24"/>
          <w:lang w:eastAsia="uk-UA"/>
        </w:rPr>
      </w:pPr>
      <w:bookmarkStart w:id="18" w:name="_Toc_3_3_0000000018"/>
      <w:r>
        <w:rPr>
          <w:rFonts w:ascii="黑体" w:hAnsi="黑体" w:eastAsia="黑体" w:cs="黑体"/>
          <w:color w:val="000000"/>
          <w:kern w:val="0"/>
          <w:sz w:val="32"/>
          <w:lang w:eastAsia="uk-UA"/>
        </w:rPr>
        <w:t>九、其他需要说明的事项</w:t>
      </w:r>
      <w:bookmarkEnd w:id="18"/>
    </w:p>
    <w:p>
      <w:pPr>
        <w:widowControl/>
        <w:spacing w:line="500" w:lineRule="exact"/>
        <w:ind w:firstLine="560"/>
        <w:jc w:val="left"/>
        <w:rPr>
          <w:rFonts w:ascii="Times New Roman" w:hAnsi="Times New Roman" w:eastAsia="宋体" w:cs="Times New Roman"/>
          <w:kern w:val="0"/>
          <w:sz w:val="24"/>
        </w:rPr>
      </w:pPr>
      <w:r>
        <w:rPr>
          <w:rFonts w:ascii="Times New Roman" w:hAnsi="Times New Roman" w:eastAsia="方正仿宋_GBK" w:cs="Times New Roman"/>
          <w:color w:val="000000"/>
          <w:kern w:val="0"/>
          <w:sz w:val="28"/>
          <w:lang w:eastAsia="uk-UA"/>
        </w:rPr>
        <w:t>我部门无其他需要说明的事项</w:t>
      </w:r>
      <w:r>
        <w:rPr>
          <w:rFonts w:hint="eastAsia" w:ascii="Times New Roman" w:hAnsi="Times New Roman" w:eastAsia="方正仿宋_GBK" w:cs="Times New Roman"/>
          <w:color w:val="000000"/>
          <w:kern w:val="0"/>
          <w:sz w:val="28"/>
        </w:rPr>
        <w:t>。</w:t>
      </w:r>
    </w:p>
    <w:p>
      <w:pPr>
        <w:rPr>
          <w:rFonts w:ascii="Times New Roman" w:hAnsi="Times New Roman" w:eastAsia="方正仿宋_GBK" w:cs="Times New Roman"/>
          <w:kern w:val="0"/>
          <w:sz w:val="28"/>
          <w:lang w:eastAsia="uk-UA"/>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614C00"/>
    <w:multiLevelType w:val="singleLevel"/>
    <w:tmpl w:val="93614C00"/>
    <w:lvl w:ilvl="0" w:tentative="0">
      <w:start w:val="4"/>
      <w:numFmt w:val="decimal"/>
      <w:lvlText w:val="%1."/>
      <w:lvlJc w:val="left"/>
      <w:pPr>
        <w:tabs>
          <w:tab w:val="left" w:pos="312"/>
        </w:tabs>
      </w:pPr>
    </w:lvl>
  </w:abstractNum>
  <w:abstractNum w:abstractNumId="1">
    <w:nsid w:val="F4EED574"/>
    <w:multiLevelType w:val="singleLevel"/>
    <w:tmpl w:val="F4EED574"/>
    <w:lvl w:ilvl="0" w:tentative="0">
      <w:start w:val="2"/>
      <w:numFmt w:val="chineseCounting"/>
      <w:suff w:val="space"/>
      <w:lvlText w:val="第%1部分"/>
      <w:lvlJc w:val="left"/>
      <w:rPr>
        <w:rFonts w:hint="eastAsia"/>
      </w:rPr>
    </w:lvl>
  </w:abstractNum>
  <w:abstractNum w:abstractNumId="2">
    <w:nsid w:val="2BAFE8A8"/>
    <w:multiLevelType w:val="singleLevel"/>
    <w:tmpl w:val="2BAFE8A8"/>
    <w:lvl w:ilvl="0" w:tentative="0">
      <w:start w:val="3"/>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yMmJjZDVjOThhNzI5MTU1OGE5M2Q0Y2U3MWNjZDUifQ=="/>
  </w:docVars>
  <w:rsids>
    <w:rsidRoot w:val="0012309B"/>
    <w:rsid w:val="0012309B"/>
    <w:rsid w:val="00913BEE"/>
    <w:rsid w:val="02BE7A8A"/>
    <w:rsid w:val="03515891"/>
    <w:rsid w:val="0449381C"/>
    <w:rsid w:val="048A73B7"/>
    <w:rsid w:val="053A4C5E"/>
    <w:rsid w:val="08122781"/>
    <w:rsid w:val="0A8E71CD"/>
    <w:rsid w:val="0BF86301"/>
    <w:rsid w:val="0C401BD1"/>
    <w:rsid w:val="0D6B1B4F"/>
    <w:rsid w:val="0D713F1D"/>
    <w:rsid w:val="0D803821"/>
    <w:rsid w:val="0DDD603D"/>
    <w:rsid w:val="0E665F1A"/>
    <w:rsid w:val="0EC65422"/>
    <w:rsid w:val="0F5F4095"/>
    <w:rsid w:val="102E38C6"/>
    <w:rsid w:val="113A1288"/>
    <w:rsid w:val="11ED1850"/>
    <w:rsid w:val="12275E37"/>
    <w:rsid w:val="123A6ED0"/>
    <w:rsid w:val="15472FB3"/>
    <w:rsid w:val="162E6D95"/>
    <w:rsid w:val="17B0031C"/>
    <w:rsid w:val="185D4ED9"/>
    <w:rsid w:val="190C0127"/>
    <w:rsid w:val="19747A66"/>
    <w:rsid w:val="197F4AF3"/>
    <w:rsid w:val="198D5B01"/>
    <w:rsid w:val="1A812B6C"/>
    <w:rsid w:val="1A9D1D74"/>
    <w:rsid w:val="1ABB4ECF"/>
    <w:rsid w:val="1B061E16"/>
    <w:rsid w:val="1E9F0848"/>
    <w:rsid w:val="1F1F5221"/>
    <w:rsid w:val="1FAD7770"/>
    <w:rsid w:val="201A050B"/>
    <w:rsid w:val="21783774"/>
    <w:rsid w:val="227826C3"/>
    <w:rsid w:val="244E7920"/>
    <w:rsid w:val="2547730B"/>
    <w:rsid w:val="25545111"/>
    <w:rsid w:val="256C671F"/>
    <w:rsid w:val="261151EB"/>
    <w:rsid w:val="263E08AF"/>
    <w:rsid w:val="27A5353F"/>
    <w:rsid w:val="27EF434C"/>
    <w:rsid w:val="282D69FF"/>
    <w:rsid w:val="28407D99"/>
    <w:rsid w:val="286363AA"/>
    <w:rsid w:val="29B5168F"/>
    <w:rsid w:val="2B982246"/>
    <w:rsid w:val="2CA62D0A"/>
    <w:rsid w:val="2DBB4E9F"/>
    <w:rsid w:val="2F2C1106"/>
    <w:rsid w:val="2F6635C7"/>
    <w:rsid w:val="30ED3359"/>
    <w:rsid w:val="310456B0"/>
    <w:rsid w:val="3261749C"/>
    <w:rsid w:val="32CA2026"/>
    <w:rsid w:val="32DD02BB"/>
    <w:rsid w:val="33153783"/>
    <w:rsid w:val="34771519"/>
    <w:rsid w:val="347E636E"/>
    <w:rsid w:val="349B0770"/>
    <w:rsid w:val="35B11A81"/>
    <w:rsid w:val="379751FF"/>
    <w:rsid w:val="3A1F57E9"/>
    <w:rsid w:val="3A965CCF"/>
    <w:rsid w:val="3C34647B"/>
    <w:rsid w:val="3DA43C69"/>
    <w:rsid w:val="3DAE266E"/>
    <w:rsid w:val="3E8071CA"/>
    <w:rsid w:val="3EBB2ED1"/>
    <w:rsid w:val="3F1C3CFC"/>
    <w:rsid w:val="3FCA0CC4"/>
    <w:rsid w:val="4106060A"/>
    <w:rsid w:val="411F4EE1"/>
    <w:rsid w:val="41393CF5"/>
    <w:rsid w:val="430B6CC7"/>
    <w:rsid w:val="43620A13"/>
    <w:rsid w:val="4399611E"/>
    <w:rsid w:val="44063B75"/>
    <w:rsid w:val="4489149A"/>
    <w:rsid w:val="44921F6F"/>
    <w:rsid w:val="450D414D"/>
    <w:rsid w:val="4529550D"/>
    <w:rsid w:val="45AA1703"/>
    <w:rsid w:val="46B83FAC"/>
    <w:rsid w:val="473311D8"/>
    <w:rsid w:val="47461067"/>
    <w:rsid w:val="49984DE1"/>
    <w:rsid w:val="49A03358"/>
    <w:rsid w:val="4B137364"/>
    <w:rsid w:val="4C9348B0"/>
    <w:rsid w:val="4CEC03F9"/>
    <w:rsid w:val="4D250133"/>
    <w:rsid w:val="4D4B4E36"/>
    <w:rsid w:val="4D956528"/>
    <w:rsid w:val="4DB108AA"/>
    <w:rsid w:val="4DE625A6"/>
    <w:rsid w:val="4E902436"/>
    <w:rsid w:val="50B044F1"/>
    <w:rsid w:val="51EB1176"/>
    <w:rsid w:val="55F97104"/>
    <w:rsid w:val="565E0B02"/>
    <w:rsid w:val="582330AF"/>
    <w:rsid w:val="5876031F"/>
    <w:rsid w:val="58D60189"/>
    <w:rsid w:val="58DF75E1"/>
    <w:rsid w:val="5B103F8D"/>
    <w:rsid w:val="5CA644DC"/>
    <w:rsid w:val="5CBA6EDA"/>
    <w:rsid w:val="5EDF740B"/>
    <w:rsid w:val="5F8505EF"/>
    <w:rsid w:val="655C0C71"/>
    <w:rsid w:val="67AC671F"/>
    <w:rsid w:val="68CF0917"/>
    <w:rsid w:val="69F657C8"/>
    <w:rsid w:val="6B3929BF"/>
    <w:rsid w:val="6CD1469D"/>
    <w:rsid w:val="6E354532"/>
    <w:rsid w:val="6FBE79B7"/>
    <w:rsid w:val="6FE73181"/>
    <w:rsid w:val="707F0E75"/>
    <w:rsid w:val="709D3A31"/>
    <w:rsid w:val="709F2EE8"/>
    <w:rsid w:val="70F23279"/>
    <w:rsid w:val="7169640C"/>
    <w:rsid w:val="717E207E"/>
    <w:rsid w:val="72D8467C"/>
    <w:rsid w:val="747C6E35"/>
    <w:rsid w:val="75BF7D6D"/>
    <w:rsid w:val="77353D71"/>
    <w:rsid w:val="77EF4C76"/>
    <w:rsid w:val="79663AB4"/>
    <w:rsid w:val="7B203254"/>
    <w:rsid w:val="7B872510"/>
    <w:rsid w:val="7BC64E6D"/>
    <w:rsid w:val="7C034407"/>
    <w:rsid w:val="7D0A4B32"/>
    <w:rsid w:val="7E1B7424"/>
    <w:rsid w:val="7E3C2D09"/>
    <w:rsid w:val="7F797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oc 1"/>
    <w:basedOn w:val="1"/>
    <w:next w:val="1"/>
    <w:qFormat/>
    <w:uiPriority w:val="0"/>
    <w:pPr>
      <w:spacing w:before="120"/>
      <w:ind w:firstLine="560"/>
    </w:pPr>
    <w:rPr>
      <w:rFonts w:eastAsia="方正仿宋_GBK"/>
      <w:color w:val="000000"/>
      <w:sz w:val="2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customStyle="1" w:styleId="8">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9">
    <w:name w:val="单元格样式5"/>
    <w:qFormat/>
    <w:uiPriority w:val="0"/>
    <w:rPr>
      <w:rFonts w:ascii="方正书宋_GBK" w:hAnsi="方正书宋_GBK" w:eastAsia="方正书宋_GBK" w:cs="方正书宋_GBK"/>
      <w:b/>
      <w:sz w:val="21"/>
      <w:szCs w:val="24"/>
      <w:lang w:val="en-US" w:eastAsia="uk-UA" w:bidi="ar-SA"/>
    </w:rPr>
  </w:style>
  <w:style w:type="paragraph" w:customStyle="1" w:styleId="10">
    <w:name w:val="单元格样式4"/>
    <w:qFormat/>
    <w:uiPriority w:val="0"/>
    <w:pPr>
      <w:jc w:val="right"/>
    </w:pPr>
    <w:rPr>
      <w:rFonts w:ascii="方正书宋_GBK" w:hAnsi="方正书宋_GBK" w:eastAsia="方正书宋_GBK" w:cs="方正书宋_GBK"/>
      <w:sz w:val="21"/>
      <w:szCs w:val="24"/>
      <w:lang w:val="en-US" w:eastAsia="uk-UA" w:bidi="ar-SA"/>
    </w:rPr>
  </w:style>
  <w:style w:type="paragraph" w:customStyle="1" w:styleId="11">
    <w:name w:val="单元格样式1"/>
    <w:qFormat/>
    <w:uiPriority w:val="0"/>
    <w:pPr>
      <w:jc w:val="center"/>
    </w:pPr>
    <w:rPr>
      <w:rFonts w:ascii="方正书宋_GBK" w:hAnsi="方正书宋_GBK" w:eastAsia="方正书宋_GBK" w:cs="方正书宋_GBK"/>
      <w:b/>
      <w:sz w:val="21"/>
      <w:szCs w:val="24"/>
      <w:lang w:val="en-US" w:eastAsia="uk-UA" w:bidi="ar-SA"/>
    </w:rPr>
  </w:style>
  <w:style w:type="paragraph" w:customStyle="1" w:styleId="12">
    <w:name w:val="单元格样式2"/>
    <w:qFormat/>
    <w:uiPriority w:val="0"/>
    <w:rPr>
      <w:rFonts w:ascii="方正书宋_GBK" w:hAnsi="方正书宋_GBK" w:eastAsia="方正书宋_GBK" w:cs="方正书宋_GBK"/>
      <w:sz w:val="21"/>
      <w:szCs w:val="24"/>
      <w:lang w:val="en-US" w:eastAsia="uk-UA" w:bidi="ar-SA"/>
    </w:rPr>
  </w:style>
  <w:style w:type="paragraph" w:customStyle="1" w:styleId="13">
    <w:name w:val="单元格样式3"/>
    <w:qFormat/>
    <w:uiPriority w:val="0"/>
    <w:pPr>
      <w:jc w:val="center"/>
    </w:pPr>
    <w:rPr>
      <w:rFonts w:ascii="方正书宋_GBK" w:hAnsi="方正书宋_GBK" w:eastAsia="方正书宋_GBK" w:cs="方正书宋_GBK"/>
      <w:sz w:val="21"/>
      <w:szCs w:val="24"/>
      <w:lang w:val="en-US" w:eastAsia="uk-UA" w:bidi="ar-SA"/>
    </w:rPr>
  </w:style>
  <w:style w:type="paragraph" w:customStyle="1" w:styleId="14">
    <w:name w:val="插入文本样式-插入部门职责文件"/>
    <w:basedOn w:val="1"/>
    <w:qFormat/>
    <w:uiPriority w:val="0"/>
    <w:pPr>
      <w:spacing w:line="500" w:lineRule="exact"/>
      <w:ind w:firstLine="560"/>
    </w:pPr>
    <w:rPr>
      <w:rFonts w:eastAsia="方正仿宋_GBK"/>
      <w:sz w:val="28"/>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21"/>
    <w:basedOn w:val="1"/>
    <w:qFormat/>
    <w:uiPriority w:val="0"/>
    <w:pPr>
      <w:jc w:val="center"/>
    </w:pPr>
    <w:rPr>
      <w:rFonts w:ascii="方正小标宋_GBK" w:hAnsi="方正小标宋_GBK" w:eastAsia="方正小标宋_GBK" w:cs="方正小标宋_GBK"/>
    </w:r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34</Pages>
  <Words>12825</Words>
  <Characters>17672</Characters>
  <Lines>73</Lines>
  <Paragraphs>43</Paragraphs>
  <TotalTime>3</TotalTime>
  <ScaleCrop>false</ScaleCrop>
  <LinksUpToDate>false</LinksUpToDate>
  <CharactersWithSpaces>18418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2022-02-28T01:59:00Z</dcterms:created>
  <dc:creator>Administrator</dc:creator>
  <cp:lastModifiedBy>Administrator</cp:lastModifiedBy>
  <cp:lastPrinted>2023-03-03T01:12:00Z</cp:lastPrinted>
  <dcterms:modified xsi:type="dcterms:W3CDTF">2025-03-19T06:28:20Z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52464366C57E46D5ABC7559AE45E95B9</vt:lpwstr>
  </property>
</Properties>
</file>