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C3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阜平县砂窝镇河彩村、大柳树村村庄规划</w:t>
      </w:r>
    </w:p>
    <w:p w14:paraId="4ED36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批后公告</w:t>
      </w:r>
    </w:p>
    <w:p w14:paraId="76A1F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</w:pPr>
    </w:p>
    <w:p w14:paraId="5A156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为贯彻落实省委、省政府推进乡村振兴战略的工作部署，加快编制“多规合一”的实用性村庄规划，根据《中共中央国务院关于建立国土空间规划体系并监督实施的若干意见》、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zh-CN" w:eastAsia="zh-CN"/>
        </w:rPr>
        <w:t>《河北省村庄规划编制导则》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等有关文件要求，依据《阜平县国土空间总体规划（2021-2035年）》和《阜平县砂窝镇国土空间总体规划（2021-2035年）》，结合村庄的实际情况，我镇已组织编制完成河彩村、大柳树村2个行政村村庄规划，该规划已获阜平县人民政府正式批复，现予以公告。</w:t>
      </w:r>
    </w:p>
    <w:p w14:paraId="194BA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ascii="黑体" w:hAnsi="黑体" w:eastAsia="黑体" w:cs="黑体"/>
          <w:spacing w:val="-2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一、规划范围和规划期限</w:t>
      </w:r>
    </w:p>
    <w:p w14:paraId="570B5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napToGrid/>
          <w:kern w:val="2"/>
          <w:sz w:val="32"/>
          <w:szCs w:val="32"/>
          <w:lang w:val="en-US" w:eastAsia="zh-CN"/>
        </w:rPr>
        <w:t>（一）规划范围</w:t>
      </w:r>
    </w:p>
    <w:p w14:paraId="17858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本次村庄规划范围为大柳树村村域全部国土空间。</w:t>
      </w:r>
    </w:p>
    <w:p w14:paraId="44BCB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napToGrid/>
          <w:kern w:val="2"/>
          <w:sz w:val="32"/>
          <w:szCs w:val="32"/>
          <w:lang w:val="en-US" w:eastAsia="zh-CN"/>
        </w:rPr>
        <w:t>（二）规划期限</w:t>
      </w:r>
    </w:p>
    <w:p w14:paraId="29F5D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本次村庄规划期限为2021-2035年，近期至2030年，远期至2035年。</w:t>
      </w:r>
    </w:p>
    <w:p w14:paraId="5BC36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ascii="黑体" w:hAnsi="黑体" w:eastAsia="黑体" w:cs="黑体"/>
          <w:spacing w:val="-2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二、规划目标</w:t>
      </w:r>
    </w:p>
    <w:p w14:paraId="58D95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将大柳树村村庄发展定位为：以特色小杂粮、花青素玉米种植为主，延伸农产品加工和绿色能源、休闲旅游产业的集聚提升类村庄。</w:t>
      </w:r>
    </w:p>
    <w:p w14:paraId="43340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  <w:t>三、国土空间布局</w:t>
      </w:r>
    </w:p>
    <w:p w14:paraId="7CAEE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napToGrid/>
          <w:kern w:val="2"/>
          <w:sz w:val="32"/>
          <w:szCs w:val="32"/>
          <w:lang w:val="en-US" w:eastAsia="zh-CN"/>
        </w:rPr>
        <w:t>（一）落实三条控制线</w:t>
      </w:r>
    </w:p>
    <w:p w14:paraId="5463F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筑牢国土空间底线，到2035年，落实上位规划确定的耕地保有量，落实永久基本农田保护红线；落实上位规划确定的生态保护红线；不涉及城镇开发边界。落实上位规划确定的村庄建设边界。</w:t>
      </w:r>
    </w:p>
    <w:p w14:paraId="62150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napToGrid/>
          <w:kern w:val="2"/>
          <w:sz w:val="32"/>
          <w:szCs w:val="32"/>
          <w:lang w:val="en-US" w:eastAsia="zh-CN"/>
        </w:rPr>
        <w:t>（二）产业布局</w:t>
      </w:r>
    </w:p>
    <w:p w14:paraId="73D86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规划依托S203省道形成的产业发展轴，串联绿色能源发展区、山林生态涵养区、农村综合服务区及特色农业种植区，整体上形成“一轴四区”的产业布局结构。</w:t>
      </w:r>
    </w:p>
    <w:p w14:paraId="21967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绿色能源发展区：利用村庄北部的浅山荒坡区域发展光伏产业，采用板上发电、板下种植立体开发模式，光伏阵列下套种谷子、豆类等本土小杂粮及耐阴中药材，实现土地复合利用。</w:t>
      </w:r>
    </w:p>
    <w:p w14:paraId="45123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山林生态涵养区：主要位于村域南部，作为全村的自然休养空间，打造系列度假产品、休闲产品、体验产品组团。为村民和游客提供优良的生态养生服务。</w:t>
      </w:r>
    </w:p>
    <w:p w14:paraId="045F1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农村综合服务区：主要位于村域中部，为村民生活聚集区，配置公共服务设施、基础设施以及蔬果生产服务点等，满足村民日常生活需求。利用自然资源和农业产业优势，发展果蔬规模采摘、体验等休闲旅游服务。</w:t>
      </w:r>
    </w:p>
    <w:p w14:paraId="7E52D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特色农业种植区：主要位于村域中部，利用现状农业种植基础，打造大柳树村特色农产品。通过建设现代农业，促进农业增长方式转变，优化农业农村经济结构，集约使用农业资源，提高农业竞争力，实现农业又好又快发展，带动产业升级。</w:t>
      </w:r>
    </w:p>
    <w:p w14:paraId="13871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  <w:t>四、专项统筹</w:t>
      </w:r>
    </w:p>
    <w:p w14:paraId="60DF5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napToGrid/>
          <w:kern w:val="2"/>
          <w:sz w:val="32"/>
          <w:szCs w:val="32"/>
          <w:lang w:val="en-US" w:eastAsia="zh-CN"/>
        </w:rPr>
        <w:t>（一）公共服务设施布局</w:t>
      </w:r>
    </w:p>
    <w:p w14:paraId="77725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按照集中共享按需配建原则，统筹考虑村庄人口规模、社区生活圈和村民实际需求等因素，合理布局文化教育、体育健身、医疗卫生、福利养老等各类公共服务设施，明确设施位置、规模和服务范围。</w:t>
      </w:r>
      <w:bookmarkStart w:id="0" w:name="_GoBack"/>
      <w:bookmarkEnd w:id="0"/>
    </w:p>
    <w:p w14:paraId="23AD1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napToGrid/>
          <w:kern w:val="2"/>
          <w:sz w:val="32"/>
          <w:szCs w:val="32"/>
          <w:lang w:val="en-US" w:eastAsia="zh-CN"/>
        </w:rPr>
        <w:t>（二）道路交通和公用设施布局</w:t>
      </w:r>
    </w:p>
    <w:p w14:paraId="2ECE0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道路交通：落实上位规划确定的区域交通设施。完善村庄道路交通体系，以现状为基础，顺应现有村庄格局，优化村庄道路布局，明确道路宽度、断面形式及建设标准。</w:t>
      </w:r>
    </w:p>
    <w:p w14:paraId="43CCC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公用设施：落实上位规划确定的各项公用设施，明确各项工程的来源、设施布局、建设标准等。</w:t>
      </w:r>
    </w:p>
    <w:p w14:paraId="342FB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napToGrid/>
          <w:kern w:val="2"/>
          <w:sz w:val="32"/>
          <w:szCs w:val="32"/>
          <w:lang w:val="en-US" w:eastAsia="zh-CN"/>
        </w:rPr>
        <w:t>（三）安全防灾</w:t>
      </w:r>
    </w:p>
    <w:p w14:paraId="3E8B1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落实上位规划确定的消防、抗震、防洪排涝、地质灾害等主要灾害设防标准。完善综合风险防控与应急响应体系，提升生命线安全监控和抗灾能力，增强应急供应和快速恢复韧性。严格执行防灾减灾标准，健全防灾减灾救灾设施。</w:t>
      </w:r>
    </w:p>
    <w:p w14:paraId="38928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  <w:t>五、居民点建设管控</w:t>
      </w:r>
    </w:p>
    <w:p w14:paraId="2342E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农村宅基地的建筑密度、高度、建筑退让距离、日照间距等规划管控指标应参照《城市居住区规划设计标准》（GB50180-2018）、《阜平县农村宅基地管理实施细则》（试行）综合确定。农村社区服务设施、产业用地、公共建筑等其它建设用地的容积率、建筑密度、高度等控制指标参照《河北省建设用地使用标准》(冀自然资发[2024]3号)以及当地城乡规划管理技术规定。</w:t>
      </w:r>
    </w:p>
    <w:p w14:paraId="1D7A2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  <w:t>六、实施保障</w:t>
      </w:r>
    </w:p>
    <w:p w14:paraId="61999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加强规划对土地利用的整体控制，健全规划实施管理制度，强化经济激励约束措施，完善规划基础建设，确保规划目标的实现。</w:t>
      </w:r>
    </w:p>
    <w:p w14:paraId="29D75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type="lines" w:linePitch="312" w:charSpace="0"/>
        </w:sectPr>
      </w:pPr>
    </w:p>
    <w:p w14:paraId="5CE54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  <w:t>七、附图</w:t>
      </w:r>
    </w:p>
    <w:p w14:paraId="1CAE32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0" w:line="360" w:lineRule="auto"/>
        <w:ind w:left="0"/>
        <w:textAlignment w:val="baseline"/>
        <w:outlineLvl w:val="0"/>
        <w:rPr>
          <w:rFonts w:hint="default" w:ascii="黑体" w:hAnsi="黑体" w:eastAsia="黑体" w:cs="黑体"/>
          <w:spacing w:val="-2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pacing w:val="-2"/>
          <w:sz w:val="28"/>
          <w:szCs w:val="28"/>
          <w:lang w:val="en-US" w:eastAsia="zh-CN"/>
        </w:rPr>
        <w:drawing>
          <wp:inline distT="0" distB="0" distL="114300" distR="114300">
            <wp:extent cx="5234940" cy="3698240"/>
            <wp:effectExtent l="0" t="0" r="3810" b="16510"/>
            <wp:docPr id="1" name="图片 1" descr="04-村域国土空间管控分区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4-村域国土空间管控分区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E72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0" w:line="360" w:lineRule="auto"/>
        <w:ind w:left="0"/>
        <w:textAlignment w:val="baseline"/>
        <w:outlineLvl w:val="0"/>
        <w:rPr>
          <w:rFonts w:hint="default" w:ascii="黑体" w:hAnsi="黑体" w:eastAsia="黑体" w:cs="黑体"/>
          <w:spacing w:val="-2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pacing w:val="-2"/>
          <w:sz w:val="28"/>
          <w:szCs w:val="28"/>
          <w:lang w:val="en-US" w:eastAsia="zh-CN"/>
        </w:rPr>
        <w:drawing>
          <wp:inline distT="0" distB="0" distL="114300" distR="114300">
            <wp:extent cx="5234940" cy="3698240"/>
            <wp:effectExtent l="0" t="0" r="3810" b="16510"/>
            <wp:docPr id="2" name="图片 2" descr="05-村域产业布局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5-村域产业布局规划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D4F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0" w:line="360" w:lineRule="auto"/>
        <w:ind w:left="0"/>
        <w:textAlignment w:val="baseline"/>
        <w:outlineLvl w:val="0"/>
        <w:rPr>
          <w:rFonts w:hint="default" w:ascii="黑体" w:hAnsi="黑体" w:eastAsia="黑体" w:cs="黑体"/>
          <w:spacing w:val="-2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pacing w:val="-2"/>
          <w:sz w:val="28"/>
          <w:szCs w:val="28"/>
          <w:lang w:val="en-US" w:eastAsia="zh-CN"/>
        </w:rPr>
        <w:drawing>
          <wp:inline distT="0" distB="0" distL="114300" distR="114300">
            <wp:extent cx="5234940" cy="3698240"/>
            <wp:effectExtent l="0" t="0" r="3810" b="16510"/>
            <wp:docPr id="3" name="图片 3" descr="10-居民点规划总平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0-居民点规划总平图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02C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0" w:line="240" w:lineRule="auto"/>
        <w:ind w:left="0"/>
        <w:jc w:val="right"/>
        <w:textAlignment w:val="baseline"/>
        <w:outlineLvl w:val="0"/>
        <w:rPr>
          <w:rFonts w:hint="eastAsia" w:ascii="华文仿宋" w:hAnsi="华文仿宋" w:eastAsia="华文仿宋" w:cs="华文仿宋"/>
          <w:spacing w:val="-2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pacing w:val="-2"/>
          <w:sz w:val="28"/>
          <w:szCs w:val="28"/>
          <w:lang w:val="en-US" w:eastAsia="zh-CN"/>
        </w:rPr>
        <w:drawing>
          <wp:inline distT="0" distB="0" distL="114300" distR="114300">
            <wp:extent cx="5234940" cy="3698240"/>
            <wp:effectExtent l="0" t="0" r="3810" b="16510"/>
            <wp:docPr id="4" name="图片 4" descr="11-农村居民点基础设施规划图-道路交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1-农村居民点基础设施规划图-道路交通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华文仿宋" w:hAnsi="华文仿宋" w:eastAsia="华文仿宋" w:cs="华文仿宋"/>
          <w:spacing w:val="-2"/>
          <w:sz w:val="32"/>
          <w:szCs w:val="32"/>
          <w:lang w:val="en-US" w:eastAsia="zh-CN"/>
        </w:rPr>
        <w:t>砂窝镇人民政府</w:t>
      </w:r>
    </w:p>
    <w:p w14:paraId="55AFE8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0" w:line="240" w:lineRule="auto"/>
        <w:ind w:left="0"/>
        <w:jc w:val="right"/>
        <w:textAlignment w:val="baseline"/>
        <w:outlineLvl w:val="0"/>
        <w:rPr>
          <w:rFonts w:hint="eastAsia" w:ascii="华文仿宋" w:hAnsi="华文仿宋" w:eastAsia="华文仿宋" w:cs="华文仿宋"/>
          <w:spacing w:val="-2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pacing w:val="-2"/>
          <w:sz w:val="32"/>
          <w:szCs w:val="32"/>
          <w:lang w:val="en-US" w:eastAsia="zh-CN"/>
        </w:rPr>
        <w:t>2026年8月7日</w:t>
      </w: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宋体-GB13000">
    <w:panose1 w:val="02000500000000000000"/>
    <w:charset w:val="86"/>
    <w:family w:val="auto"/>
    <w:pitch w:val="default"/>
    <w:sig w:usb0="800002BF" w:usb1="18C77CF8" w:usb2="00000016" w:usb3="00000000" w:csb0="0004000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77DA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00C24">
                          <w:pPr>
                            <w:pStyle w:val="6"/>
                            <w:rPr>
                              <w:rFonts w:hint="eastAsia" w:ascii="CESI宋体-GB13000" w:hAnsi="CESI宋体-GB13000" w:eastAsia="CESI宋体-GB13000" w:cs="CESI宋体-GB13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CESI宋体-GB13000" w:hAnsi="CESI宋体-GB13000" w:eastAsia="CESI宋体-GB13000" w:cs="CESI宋体-GB13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CESI宋体-GB13000" w:hAnsi="CESI宋体-GB13000" w:eastAsia="CESI宋体-GB13000" w:cs="CESI宋体-GB1300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宋体-GB13000" w:hAnsi="CESI宋体-GB13000" w:eastAsia="CESI宋体-GB13000" w:cs="CESI宋体-GB13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CESI宋体-GB13000" w:hAnsi="CESI宋体-GB13000" w:eastAsia="CESI宋体-GB13000" w:cs="CESI宋体-GB1300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CESI宋体-GB13000" w:hAnsi="CESI宋体-GB13000" w:eastAsia="CESI宋体-GB13000" w:cs="CESI宋体-GB1300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900C24">
                    <w:pPr>
                      <w:pStyle w:val="6"/>
                      <w:rPr>
                        <w:rFonts w:hint="eastAsia" w:ascii="CESI宋体-GB13000" w:hAnsi="CESI宋体-GB13000" w:eastAsia="CESI宋体-GB13000" w:cs="CESI宋体-GB13000"/>
                        <w:sz w:val="28"/>
                        <w:szCs w:val="28"/>
                      </w:rPr>
                    </w:pPr>
                    <w:r>
                      <w:rPr>
                        <w:rFonts w:hint="eastAsia" w:ascii="CESI宋体-GB13000" w:hAnsi="CESI宋体-GB13000" w:eastAsia="CESI宋体-GB13000" w:cs="CESI宋体-GB13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CESI宋体-GB13000" w:hAnsi="CESI宋体-GB13000" w:eastAsia="CESI宋体-GB13000" w:cs="CESI宋体-GB1300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CESI宋体-GB13000" w:hAnsi="CESI宋体-GB13000" w:eastAsia="CESI宋体-GB13000" w:cs="CESI宋体-GB13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CESI宋体-GB13000" w:hAnsi="CESI宋体-GB13000" w:eastAsia="CESI宋体-GB13000" w:cs="CESI宋体-GB1300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CESI宋体-GB13000" w:hAnsi="CESI宋体-GB13000" w:eastAsia="CESI宋体-GB13000" w:cs="CESI宋体-GB1300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4E0F6D"/>
    <w:rsid w:val="0B2D1DD2"/>
    <w:rsid w:val="0F4C4A6F"/>
    <w:rsid w:val="1A9E4D00"/>
    <w:rsid w:val="23EA517B"/>
    <w:rsid w:val="28402B13"/>
    <w:rsid w:val="2884749C"/>
    <w:rsid w:val="28E47D71"/>
    <w:rsid w:val="30FC1396"/>
    <w:rsid w:val="34DB108A"/>
    <w:rsid w:val="354B5E43"/>
    <w:rsid w:val="37A01319"/>
    <w:rsid w:val="39845D3B"/>
    <w:rsid w:val="3AAB5610"/>
    <w:rsid w:val="4B38529B"/>
    <w:rsid w:val="64F12834"/>
    <w:rsid w:val="6547504E"/>
    <w:rsid w:val="6A610835"/>
    <w:rsid w:val="6B272D54"/>
    <w:rsid w:val="6B4E0F6D"/>
    <w:rsid w:val="74B54B02"/>
    <w:rsid w:val="76413721"/>
    <w:rsid w:val="77DB80B4"/>
    <w:rsid w:val="77FD0F07"/>
    <w:rsid w:val="7AD9598F"/>
    <w:rsid w:val="AA2BB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75" w:beforeLines="75" w:after="75" w:afterLines="75" w:line="240" w:lineRule="auto"/>
      <w:jc w:val="left"/>
      <w:outlineLvl w:val="1"/>
    </w:pPr>
    <w:rPr>
      <w:rFonts w:ascii="黑体" w:hAnsi="黑体" w:eastAsia="黑体" w:cs="黑体"/>
      <w:bCs/>
      <w:snapToGrid w:val="0"/>
      <w:color w:val="000000"/>
      <w:sz w:val="32"/>
      <w:szCs w:val="32"/>
      <w:lang w:eastAsia="en-US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100" w:beforeLines="100" w:beforeAutospacing="0" w:after="100" w:afterLines="100" w:afterAutospacing="0" w:line="560" w:lineRule="exact"/>
      <w:ind w:firstLine="0" w:firstLineChars="0"/>
      <w:jc w:val="center"/>
      <w:outlineLvl w:val="1"/>
    </w:pPr>
    <w:rPr>
      <w:rFonts w:eastAsia="黑体"/>
      <w:b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customStyle="1" w:styleId="5">
    <w:name w:val="_Style 2"/>
    <w:basedOn w:val="1"/>
    <w:next w:val="1"/>
    <w:qFormat/>
    <w:uiPriority w:val="99"/>
    <w:pPr>
      <w:ind w:firstLine="420" w:firstLineChars="20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A正文"/>
    <w:basedOn w:val="1"/>
    <w:qFormat/>
    <w:uiPriority w:val="0"/>
    <w:pPr>
      <w:spacing w:line="312" w:lineRule="auto"/>
      <w:ind w:firstLine="200" w:firstLineChars="200"/>
      <w:jc w:val="both"/>
    </w:pPr>
    <w:rPr>
      <w:rFonts w:ascii="Calibri" w:hAnsi="Calibri" w:cs="Calibri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1463</Words>
  <Characters>1532</Characters>
  <Lines>0</Lines>
  <Paragraphs>0</Paragraphs>
  <TotalTime>28</TotalTime>
  <ScaleCrop>false</ScaleCrop>
  <LinksUpToDate>false</LinksUpToDate>
  <CharactersWithSpaces>1532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2026-07-03T00:41:00Z</dcterms:created>
  <dc:creator>WPS_1648795967</dc:creator>
  <cp:lastModifiedBy>kylinos</cp:lastModifiedBy>
  <cp:lastPrinted>2026-08-07T18:16:00Z</cp:lastPrinted>
  <dcterms:modified xsi:type="dcterms:W3CDTF">2026-08-11T16:02:53Z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16679D1378A94AC57F3F756A9D220BBD_43</vt:lpwstr>
  </property>
  <property fmtid="{D5CDD505-2E9C-101B-9397-08002B2CF9AE}" pid="4" name="KSOTemplateDocerSaveRecord">
    <vt:lpwstr>eyJoZGlkIjoiYjNjZDEwNGZlNmNhZDhkNjhlNjhmYzcxNjM2MzI4NzAiLCJ1c2VySWQiOiIxNjc5MjQ1Njk0In0=</vt:lpwstr>
  </property>
</Properties>
</file>