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782E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lang w:val="en-US" w:eastAsia="zh-CN"/>
        </w:rPr>
      </w:pPr>
      <w:bookmarkStart w:id="0" w:name="_GoBack"/>
      <w:r>
        <w:rPr>
          <w:rFonts w:hint="eastAsia" w:ascii="方正小标宋简体" w:hAnsi="方正小标宋简体" w:eastAsia="方正小标宋简体" w:cs="方正小标宋简体"/>
          <w:b w:val="0"/>
          <w:bCs/>
          <w:color w:val="000000"/>
          <w:spacing w:val="-11"/>
          <w:sz w:val="44"/>
          <w:szCs w:val="44"/>
          <w:lang w:val="en-US" w:eastAsia="zh-CN"/>
        </w:rPr>
        <w:t>阜平县教育和体育局</w:t>
      </w:r>
    </w:p>
    <w:p w14:paraId="7E097C0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5</w:t>
      </w:r>
      <w:r>
        <w:rPr>
          <w:rFonts w:hint="eastAsia" w:ascii="方正小标宋简体" w:hAnsi="方正小标宋简体" w:eastAsia="方正小标宋简体" w:cs="方正小标宋简体"/>
          <w:b w:val="0"/>
          <w:bCs/>
          <w:color w:val="000000"/>
          <w:spacing w:val="-11"/>
          <w:sz w:val="44"/>
          <w:szCs w:val="44"/>
        </w:rPr>
        <w:t>年政府信息公开工作年度报告</w:t>
      </w:r>
    </w:p>
    <w:bookmarkEnd w:id="0"/>
    <w:p w14:paraId="319CF2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s="方正小标宋简体" w:asciiTheme="majorEastAsia" w:hAnsiTheme="majorEastAsia" w:eastAsiaTheme="majorEastAsia"/>
          <w:b/>
          <w:color w:val="000000"/>
          <w:spacing w:val="-11"/>
          <w:sz w:val="36"/>
          <w:szCs w:val="36"/>
        </w:rPr>
      </w:pPr>
    </w:p>
    <w:p w14:paraId="62684374">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ascii="仿宋_GB2312" w:hAnsi="仿宋_GB2312" w:eastAsia="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年1月1日至202</w:t>
      </w:r>
      <w:r>
        <w:rPr>
          <w:rFonts w:hint="eastAsia" w:ascii="仿宋_GB2312" w:hAnsi="仿宋_GB2312" w:eastAsia="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年12月31日</w:t>
      </w:r>
      <w:r>
        <w:rPr>
          <w:rFonts w:hint="eastAsia" w:ascii="仿宋_GB2312" w:hAnsi="仿宋_GB2312" w:eastAsia="仿宋_GB2312" w:cs="仿宋_GB2312"/>
          <w:b w:val="0"/>
          <w:bCs/>
          <w:color w:val="000000"/>
          <w:spacing w:val="-11"/>
          <w:sz w:val="32"/>
          <w:szCs w:val="32"/>
          <w:lang w:eastAsia="zh-CN"/>
        </w:rPr>
        <w:t>。</w:t>
      </w:r>
    </w:p>
    <w:p w14:paraId="36F263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黑体" w:hAnsi="黑体" w:eastAsia="黑体" w:cs="黑体"/>
          <w:b w:val="0"/>
          <w:bCs/>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一、总体情况</w:t>
      </w:r>
    </w:p>
    <w:p w14:paraId="274E41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仿宋_GB2312" w:hAnsi="仿宋_GB2312" w:eastAsia="仿宋_GB2312" w:cs="仿宋_GB2312"/>
          <w:b w:val="0"/>
          <w:bCs/>
          <w:color w:val="auto"/>
          <w:spacing w:val="-11"/>
          <w:sz w:val="32"/>
          <w:szCs w:val="32"/>
          <w:lang w:val="en-US" w:eastAsia="zh-CN"/>
        </w:rPr>
      </w:pPr>
      <w:r>
        <w:rPr>
          <w:rFonts w:hint="eastAsia" w:ascii="仿宋_GB2312" w:hAnsi="仿宋_GB2312" w:eastAsia="仿宋_GB2312" w:cs="仿宋_GB2312"/>
          <w:b w:val="0"/>
          <w:bCs/>
          <w:color w:val="auto"/>
          <w:spacing w:val="-11"/>
          <w:sz w:val="32"/>
          <w:szCs w:val="32"/>
          <w:lang w:val="en-US" w:eastAsia="zh-CN"/>
        </w:rPr>
        <w:t>阜平县教育和体育局深入贯彻落实《中华人民共和国政府信息公开条例》及《河北省实施&lt;中华人民共和国政府信息公开条例&gt;办法》等相关法律法规，将政务公开工作作为推进依法行政的关键举措。通过县政府官方网站信息公开平台与微信公众号等多元化传播媒介相结合的方式，我局持续完善政府信息公开体系，推动工作透明化，有效提升了公众满意度。</w:t>
      </w:r>
    </w:p>
    <w:p w14:paraId="599773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0"/>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（一）信息公开覆盖面不断扩大 。</w:t>
      </w:r>
      <w:r>
        <w:rPr>
          <w:rFonts w:hint="eastAsia" w:ascii="仿宋_GB2312" w:hAnsi="仿宋_GB2312" w:eastAsia="仿宋_GB2312" w:cs="仿宋_GB2312"/>
          <w:b w:val="0"/>
          <w:bCs/>
          <w:color w:val="auto"/>
          <w:spacing w:val="-11"/>
          <w:sz w:val="32"/>
          <w:szCs w:val="32"/>
          <w:lang w:val="en-US" w:eastAsia="zh-CN"/>
        </w:rPr>
        <w:t>按照“五公开”工作标准——决策、执行、管理、服务、结果全过程公开的原则，我局系统梳理并严格执行政府信息主动公开制度。2025年度通过政府网站主动公开义务教育相关信息12项，民办教育动态1项，高职院校资讯2项，以及其他教育类别信息1项。</w:t>
      </w:r>
    </w:p>
    <w:p w14:paraId="0D138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0"/>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（二）申请公开流程日趋规范 。</w:t>
      </w:r>
      <w:r>
        <w:rPr>
          <w:rFonts w:hint="eastAsia" w:ascii="仿宋_GB2312" w:hAnsi="仿宋_GB2312" w:eastAsia="仿宋_GB2312" w:cs="仿宋_GB2312"/>
          <w:b w:val="0"/>
          <w:bCs/>
          <w:color w:val="auto"/>
          <w:spacing w:val="-11"/>
          <w:sz w:val="32"/>
          <w:szCs w:val="32"/>
          <w:lang w:val="en-US" w:eastAsia="zh-CN"/>
        </w:rPr>
        <w:t>依据《河北省政府信息公开申请办理规范》，我局构建了涵盖登记、审核、处理、回复、存档的全链条管理体系，实现了申请处理程序和回复文件的标准化作业，确保每项回复均符合法律要求，不断提升服务质量和效率。值得说明的是，本年度未收到任何政府信息公开申请。</w:t>
      </w:r>
    </w:p>
    <w:p w14:paraId="21B449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0"/>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（三）信息管理体系持续优化。</w:t>
      </w:r>
      <w:r>
        <w:rPr>
          <w:rFonts w:hint="eastAsia" w:ascii="仿宋_GB2312" w:hAnsi="仿宋_GB2312" w:eastAsia="仿宋_GB2312" w:cs="仿宋_GB2312"/>
          <w:b w:val="0"/>
          <w:bCs/>
          <w:color w:val="auto"/>
          <w:spacing w:val="-11"/>
          <w:sz w:val="32"/>
          <w:szCs w:val="32"/>
          <w:lang w:val="en-US" w:eastAsia="zh-CN"/>
        </w:rPr>
        <w:t> 我局明确各科室在政务公开中的职能分工，指定专人负责相关工作的推进与监督；按照国家条例要求，完善信息公开目录，保证所发布信息的完整性、准确性、时效性；拓展信息发布渠道，除传统官网外，积极运用社交平台、移动端应用等新兴媒介，便于公众随时获取所需信息；改进政务服务模式，精简办事环节，提升服务效能。</w:t>
      </w:r>
    </w:p>
    <w:p w14:paraId="3A310E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0"/>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（四）数字化平台功能日益完善。 </w:t>
      </w:r>
      <w:r>
        <w:rPr>
          <w:rFonts w:hint="eastAsia" w:ascii="仿宋_GB2312" w:hAnsi="仿宋_GB2312" w:eastAsia="仿宋_GB2312" w:cs="仿宋_GB2312"/>
          <w:b w:val="0"/>
          <w:bCs/>
          <w:color w:val="auto"/>
          <w:spacing w:val="-11"/>
          <w:sz w:val="32"/>
          <w:szCs w:val="32"/>
          <w:lang w:val="en-US" w:eastAsia="zh-CN"/>
        </w:rPr>
        <w:t>以县政府门户网站为依托，我局积极履行政府信息主动公开义务。同时，充分发挥政务新媒体的传播优势，严格把控发布内容质量，扎实开展信息发布、政策解读和便民服务等各项工作。2025年通过微信公众号共发布政务信息796条，现网民关注数量22424人。</w:t>
      </w:r>
    </w:p>
    <w:p w14:paraId="196EB9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0"/>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（五）组织保障机制不断健全。</w:t>
      </w:r>
      <w:r>
        <w:rPr>
          <w:rFonts w:hint="eastAsia" w:ascii="仿宋_GB2312" w:hAnsi="仿宋_GB2312" w:eastAsia="仿宋_GB2312" w:cs="仿宋_GB2312"/>
          <w:b w:val="0"/>
          <w:bCs/>
          <w:color w:val="auto"/>
          <w:spacing w:val="-11"/>
          <w:sz w:val="32"/>
          <w:szCs w:val="32"/>
          <w:lang w:val="en-US" w:eastAsia="zh-CN"/>
        </w:rPr>
        <w:t> 成立了政务公开专项工作领导小组，明确了分管领导责任，单位主要负责人定期听取工作汇报并给予指导；根据实际情况动态更新政府信息公开目录和操作指南，严格执行各项制度规定；由宣教中心承担日常管理工作，配置专业人员，并完成了两次业务能力培训，显著提高了工作人员的专业素质，为政务公开工作奠定了坚实基础。</w:t>
      </w:r>
    </w:p>
    <w:p w14:paraId="3DF184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7"/>
        <w:gridCol w:w="2238"/>
        <w:gridCol w:w="2238"/>
        <w:gridCol w:w="2245"/>
      </w:tblGrid>
      <w:tr w14:paraId="7563C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EBB61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14:paraId="67AEE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D3201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864FC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7AD67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89A1D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14:paraId="0913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EBEBA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517D2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559B0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70AA4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260C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69B2A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41918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05C4A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CAA63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14:paraId="1B36F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1F623C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14:paraId="17696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77C9B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100A4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14:paraId="6A9AD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60379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410DA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4C8B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0439A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14:paraId="415D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3C7EF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47D4F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14:paraId="04A8C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2CA14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E5CE4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6474D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70F48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0C731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31BF7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72E481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14:paraId="3D2E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589281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3A2C72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14:paraId="2F23F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23F277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08C2EF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219.3316</w:t>
            </w:r>
          </w:p>
        </w:tc>
      </w:tr>
    </w:tbl>
    <w:p w14:paraId="10629F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14:paraId="4365F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1E721D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14:paraId="32CEAF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14:paraId="7454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9CCBF8">
            <w:pPr>
              <w:keepNext w:val="0"/>
              <w:keepLines w:val="0"/>
              <w:pageBreakBefore w:val="0"/>
              <w:kinsoku/>
              <w:wordWrap/>
              <w:overflowPunct/>
              <w:topLinePunct w:val="0"/>
              <w:autoSpaceDE/>
              <w:autoSpaceDN/>
              <w:bidi w:val="0"/>
              <w:adjustRightInd/>
              <w:snapToGrid/>
              <w:spacing w:line="560" w:lineRule="exact"/>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664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14:paraId="334948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F574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14:paraId="4AA30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8A363B">
            <w:pPr>
              <w:keepNext w:val="0"/>
              <w:keepLines w:val="0"/>
              <w:pageBreakBefore w:val="0"/>
              <w:kinsoku/>
              <w:wordWrap/>
              <w:overflowPunct/>
              <w:topLinePunct w:val="0"/>
              <w:autoSpaceDE/>
              <w:autoSpaceDN/>
              <w:bidi w:val="0"/>
              <w:adjustRightInd/>
              <w:snapToGrid/>
              <w:spacing w:line="560" w:lineRule="exact"/>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C987F">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14:paraId="4E282A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764D4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87BA6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BB817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F5315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ACC23">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color w:val="000000"/>
                <w:sz w:val="20"/>
                <w:szCs w:val="20"/>
                <w:u w:val="none"/>
              </w:rPr>
            </w:pPr>
          </w:p>
        </w:tc>
      </w:tr>
      <w:tr w14:paraId="5293C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21EBF92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BC07F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5A6DC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CCE95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2719B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37789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7F7DD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E83E9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74652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14744D7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2468AA8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299DCF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1B8E4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D2FB6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70B5B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337AB8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16C80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B42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59AEB42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5D96AA0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B581E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CF630E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01D812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44430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A1E9CC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07355E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BCA54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3E4F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202F4">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625701B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F5F1D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24094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F6935B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3111A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915C17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715A05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F3C47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479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3CE5C">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98A58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48600FA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DFC518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C0DC9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0106E1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746675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EAD31C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E88FA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51387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D630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B436E">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601A1">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2F84846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2EA2AF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40740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C0BC8D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8B58B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73FC8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D4CB2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ADC9C6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3D5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0E54E">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9F4D1">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44BB7FA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1FBBE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336DC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1FFBA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15C44A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A2D12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19DA3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A6772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0E7E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9E1C7">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21767">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3A10D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BD3D6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4B1DD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352B7A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3E4C9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8D632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60391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2358EC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287F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30DE6">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1ADFE">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5D4DFC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CF8900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31BB8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434AD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75D38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C6BF4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5E0F82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A0CCF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63E3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350CF">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8C8F3">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F503E4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33F469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07137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AA7A9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EF42A8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728D6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A1F7D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25383E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825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BBD85">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07BC0">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F77232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243FF2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95F7AE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4AD21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3BFCA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776716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A1311E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0F5CE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A6C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E769D">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86552">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481EA2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2E45C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08367E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F9A0A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F219A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8703AB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637013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541D71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ED5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EB442">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0B56E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437ACB2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2F6CD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89B09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375E10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82C77E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F61335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68DF6A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5A429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6856D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0F919">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CE244">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760F996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E9134D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5AF80E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08D17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F889E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9C82F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B6CFE3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BB18E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09AB6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C62E5">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74AFB">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444E95A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210F1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B70A8E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1A48F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7EA577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1B29D5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6A37F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E121EE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AD12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9D6B6">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FA6AA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59ACE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B1677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CEA48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3102D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4E683B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8010DE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D7255A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F08DE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A894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6D8F8">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28885">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CCD10A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B24D9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9B30D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2EB54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B9681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C7555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02AC2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1EAD7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DBE2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D731A">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6CB3B">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05884B4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C2079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FD2C67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EA332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EF70C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0201F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DEFAA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2766A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0869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70C7A">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9B912">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585E2C0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2F0384C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C1F52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829ACA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A6CCD5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058B2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E73F7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EAD16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BA3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47912">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98AC0">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688E1A7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AAFDF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D4978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D9AE5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79567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95E38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C813EF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D59A66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77F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CC560">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B2BEF4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70155BC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F2BE2C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695C3C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71474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B5B6FE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B8696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0670F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5FB00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D547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16116">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BA1D6">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3A7CA5E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7BC6A99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1B152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14CAB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A8C36A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253E9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BD4A7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992A3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B614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A58F1">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C3AEB">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14:paraId="1427B6B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82A42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B912B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96606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C1FBD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82D3A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71E7F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9AAD18D">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14:paraId="2309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22276">
            <w:pPr>
              <w:keepNext w:val="0"/>
              <w:keepLines w:val="0"/>
              <w:pageBreakBefore w:val="0"/>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14:paraId="238D6D7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040366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A30F7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5C073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C62781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632DF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C4951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EFF3D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543F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14:paraId="21CBD95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5DB0B10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D5ED9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50F57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322C3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3C9C3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2C2EA2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658541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14:paraId="171591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5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85"/>
        <w:gridCol w:w="665"/>
        <w:gridCol w:w="665"/>
        <w:gridCol w:w="665"/>
        <w:gridCol w:w="478"/>
        <w:gridCol w:w="695"/>
        <w:gridCol w:w="739"/>
        <w:gridCol w:w="680"/>
        <w:gridCol w:w="710"/>
        <w:gridCol w:w="412"/>
        <w:gridCol w:w="754"/>
        <w:gridCol w:w="709"/>
        <w:gridCol w:w="680"/>
        <w:gridCol w:w="681"/>
        <w:gridCol w:w="461"/>
      </w:tblGrid>
      <w:tr w14:paraId="71BE27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3" w:hRule="atLeast"/>
          <w:jc w:val="center"/>
        </w:trPr>
        <w:tc>
          <w:tcPr>
            <w:tcW w:w="305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B80AF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行政复议</w:t>
            </w:r>
          </w:p>
        </w:tc>
        <w:tc>
          <w:tcPr>
            <w:tcW w:w="6521"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316A0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行政诉讼</w:t>
            </w:r>
          </w:p>
        </w:tc>
      </w:tr>
      <w:tr w14:paraId="4B1BD2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5" w:hRule="atLeast"/>
          <w:jc w:val="center"/>
        </w:trPr>
        <w:tc>
          <w:tcPr>
            <w:tcW w:w="585"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5158A9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结果维持</w:t>
            </w:r>
          </w:p>
        </w:tc>
        <w:tc>
          <w:tcPr>
            <w:tcW w:w="665"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4C5372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5"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BC6E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65"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FBF41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78"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08812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总计</w:t>
            </w:r>
          </w:p>
        </w:tc>
        <w:tc>
          <w:tcPr>
            <w:tcW w:w="3236"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A7F20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28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8FC58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复议后起诉</w:t>
            </w:r>
          </w:p>
        </w:tc>
      </w:tr>
      <w:tr w14:paraId="0A44E0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58" w:hRule="atLeast"/>
          <w:jc w:val="center"/>
        </w:trPr>
        <w:tc>
          <w:tcPr>
            <w:tcW w:w="585"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265D6B00">
            <w:pPr>
              <w:keepNext w:val="0"/>
              <w:keepLines w:val="0"/>
              <w:pageBreakBefore w:val="0"/>
              <w:kinsoku/>
              <w:wordWrap/>
              <w:overflowPunct/>
              <w:topLinePunct w:val="0"/>
              <w:autoSpaceDE/>
              <w:autoSpaceDN/>
              <w:bidi w:val="0"/>
              <w:adjustRightInd/>
              <w:snapToGrid/>
              <w:spacing w:line="560" w:lineRule="exact"/>
              <w:rPr>
                <w:rFonts w:hint="eastAsia" w:ascii="宋体"/>
                <w:sz w:val="24"/>
                <w:szCs w:val="24"/>
              </w:rPr>
            </w:pPr>
          </w:p>
        </w:tc>
        <w:tc>
          <w:tcPr>
            <w:tcW w:w="665"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08A37DE">
            <w:pPr>
              <w:keepNext w:val="0"/>
              <w:keepLines w:val="0"/>
              <w:pageBreakBefore w:val="0"/>
              <w:kinsoku/>
              <w:wordWrap/>
              <w:overflowPunct/>
              <w:topLinePunct w:val="0"/>
              <w:autoSpaceDE/>
              <w:autoSpaceDN/>
              <w:bidi w:val="0"/>
              <w:adjustRightInd/>
              <w:snapToGrid/>
              <w:spacing w:line="560" w:lineRule="exact"/>
              <w:rPr>
                <w:rFonts w:hint="eastAsia" w:ascii="宋体"/>
                <w:sz w:val="24"/>
                <w:szCs w:val="24"/>
              </w:rPr>
            </w:pPr>
          </w:p>
        </w:tc>
        <w:tc>
          <w:tcPr>
            <w:tcW w:w="665"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ED80384">
            <w:pPr>
              <w:keepNext w:val="0"/>
              <w:keepLines w:val="0"/>
              <w:pageBreakBefore w:val="0"/>
              <w:kinsoku/>
              <w:wordWrap/>
              <w:overflowPunct/>
              <w:topLinePunct w:val="0"/>
              <w:autoSpaceDE/>
              <w:autoSpaceDN/>
              <w:bidi w:val="0"/>
              <w:adjustRightInd/>
              <w:snapToGrid/>
              <w:spacing w:line="560" w:lineRule="exact"/>
              <w:rPr>
                <w:rFonts w:hint="eastAsia" w:ascii="宋体"/>
                <w:sz w:val="24"/>
                <w:szCs w:val="24"/>
              </w:rPr>
            </w:pPr>
          </w:p>
        </w:tc>
        <w:tc>
          <w:tcPr>
            <w:tcW w:w="665"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91EBC98">
            <w:pPr>
              <w:keepNext w:val="0"/>
              <w:keepLines w:val="0"/>
              <w:pageBreakBefore w:val="0"/>
              <w:kinsoku/>
              <w:wordWrap/>
              <w:overflowPunct/>
              <w:topLinePunct w:val="0"/>
              <w:autoSpaceDE/>
              <w:autoSpaceDN/>
              <w:bidi w:val="0"/>
              <w:adjustRightInd/>
              <w:snapToGrid/>
              <w:spacing w:line="560" w:lineRule="exact"/>
              <w:rPr>
                <w:rFonts w:hint="eastAsia" w:ascii="宋体"/>
                <w:sz w:val="24"/>
                <w:szCs w:val="24"/>
              </w:rPr>
            </w:pPr>
          </w:p>
        </w:tc>
        <w:tc>
          <w:tcPr>
            <w:tcW w:w="478"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CAC22FB">
            <w:pPr>
              <w:keepNext w:val="0"/>
              <w:keepLines w:val="0"/>
              <w:pageBreakBefore w:val="0"/>
              <w:kinsoku/>
              <w:wordWrap/>
              <w:overflowPunct/>
              <w:topLinePunct w:val="0"/>
              <w:autoSpaceDE/>
              <w:autoSpaceDN/>
              <w:bidi w:val="0"/>
              <w:adjustRightInd/>
              <w:snapToGrid/>
              <w:spacing w:line="560" w:lineRule="exact"/>
              <w:rPr>
                <w:rFonts w:hint="eastAsia" w:ascii="宋体"/>
                <w:sz w:val="24"/>
                <w:szCs w:val="24"/>
              </w:rPr>
            </w:pPr>
          </w:p>
        </w:tc>
        <w:tc>
          <w:tcPr>
            <w:tcW w:w="69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E7656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3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BFD00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8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037A4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71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5064E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1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7C179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000000"/>
                <w:kern w:val="0"/>
                <w:sz w:val="20"/>
                <w:szCs w:val="20"/>
                <w:lang w:val="en-US" w:eastAsia="zh-CN" w:bidi="ar"/>
              </w:rPr>
              <w:t>总计</w:t>
            </w:r>
          </w:p>
        </w:tc>
        <w:tc>
          <w:tcPr>
            <w:tcW w:w="7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CEB1D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F861F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8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7EEA2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8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8F05D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6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14EE2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pPr>
            <w:r>
              <w:rPr>
                <w:rFonts w:hint="eastAsia" w:ascii="宋体" w:hAnsi="宋体" w:eastAsia="宋体" w:cs="宋体"/>
                <w:color w:val="000000"/>
                <w:kern w:val="0"/>
                <w:sz w:val="20"/>
                <w:szCs w:val="20"/>
                <w:lang w:val="en-US" w:eastAsia="zh-CN" w:bidi="ar"/>
              </w:rPr>
              <w:t>总计</w:t>
            </w:r>
          </w:p>
        </w:tc>
      </w:tr>
      <w:tr w14:paraId="02DBE5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53" w:hRule="atLeast"/>
          <w:jc w:val="center"/>
        </w:trPr>
        <w:tc>
          <w:tcPr>
            <w:tcW w:w="58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2A253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0D5C8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F846C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86762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7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CF11C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02730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A0A35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8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D3C8F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1C6D2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1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B6D6A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B313C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BD59F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8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696F0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8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23776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6F7B31F">
            <w:pPr>
              <w:keepNext w:val="0"/>
              <w:keepLines w:val="0"/>
              <w:pageBreakBefore w:val="0"/>
              <w:kinsoku/>
              <w:wordWrap/>
              <w:overflowPunct/>
              <w:topLinePunct w:val="0"/>
              <w:autoSpaceDE/>
              <w:autoSpaceDN/>
              <w:bidi w:val="0"/>
              <w:adjustRightInd/>
              <w:snapToGrid/>
              <w:spacing w:line="560" w:lineRule="exact"/>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14:paraId="71BFEF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14:paraId="3C0603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hAnsi="仿宋_GB2312" w:cs="仿宋_GB2312"/>
          <w:b w:val="0"/>
          <w:bCs w:val="0"/>
          <w:sz w:val="32"/>
          <w:szCs w:val="32"/>
          <w:lang w:val="en-US" w:eastAsia="zh-CN"/>
        </w:rPr>
        <w:t>2025年，</w:t>
      </w:r>
      <w:r>
        <w:rPr>
          <w:rFonts w:hint="eastAsia" w:ascii="仿宋_GB2312" w:hAnsi="仿宋_GB2312" w:eastAsia="仿宋_GB2312" w:cs="仿宋_GB2312"/>
          <w:b w:val="0"/>
          <w:bCs w:val="0"/>
          <w:sz w:val="32"/>
          <w:szCs w:val="32"/>
        </w:rPr>
        <w:t>我单位的信息公开工作整体上保持了良好的运行态势，但仍面临一些挑战，比如信息公开的内容广度与深度尚不能完全满足公众的需求，工作人员的专业知识水平有待提升。</w:t>
      </w:r>
      <w:r>
        <w:rPr>
          <w:rFonts w:hint="eastAsia" w:hAnsi="仿宋_GB2312" w:cs="仿宋_GB2312"/>
          <w:b w:val="0"/>
          <w:bCs w:val="0"/>
          <w:sz w:val="32"/>
          <w:szCs w:val="32"/>
          <w:lang w:val="en-US" w:eastAsia="zh-CN"/>
        </w:rPr>
        <w:t>针对</w:t>
      </w:r>
      <w:r>
        <w:rPr>
          <w:rFonts w:hint="eastAsia" w:ascii="仿宋_GB2312" w:hAnsi="仿宋_GB2312" w:eastAsia="仿宋_GB2312" w:cs="仿宋_GB2312"/>
          <w:b w:val="0"/>
          <w:bCs w:val="0"/>
          <w:sz w:val="32"/>
          <w:szCs w:val="32"/>
        </w:rPr>
        <w:t>这些问题，我们将更加明确各自的责任分工，促进各个部门及其下属单位之间的协作配合</w:t>
      </w:r>
      <w:r>
        <w:rPr>
          <w:rFonts w:hint="eastAsia" w:hAnsi="仿宋_GB2312" w:cs="仿宋_GB2312"/>
          <w:b w:val="0"/>
          <w:bCs w:val="0"/>
          <w:sz w:val="32"/>
          <w:szCs w:val="32"/>
          <w:lang w:eastAsia="zh-CN"/>
        </w:rPr>
        <w:t>，</w:t>
      </w:r>
      <w:r>
        <w:rPr>
          <w:rFonts w:hint="eastAsia" w:ascii="仿宋_GB2312" w:hAnsi="仿宋_GB2312" w:eastAsia="仿宋_GB2312" w:cs="仿宋_GB2312"/>
          <w:b w:val="0"/>
          <w:bCs w:val="0"/>
          <w:sz w:val="32"/>
          <w:szCs w:val="32"/>
        </w:rPr>
        <w:t>共同推动信息公开工作的进展。此外，我们将着重提升工作人员对于信息公开重要性的认知，安排相关人员参与专业培训和学习活动，以增进他们的理解并强化团队合作能力，最终达到提高工作效率和服务质量的目标。</w:t>
      </w:r>
    </w:p>
    <w:p w14:paraId="10B76B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14:paraId="0F02FF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我单位严格遵守国务院办公厅《政府信息公开信息处理费管理办法》和《关于政府信息公开处理费管理有关事项的通知》要求，本年度未发生信息处理费收取情况。</w:t>
      </w:r>
    </w:p>
    <w:sectPr>
      <w:footerReference r:id="rId3" w:type="default"/>
      <w:pgSz w:w="11906" w:h="16838"/>
      <w:pgMar w:top="2041" w:right="1531" w:bottom="2041"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0E49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752C3F">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2752C3F">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35F78F6"/>
    <w:rsid w:val="09813DFD"/>
    <w:rsid w:val="0B2121D5"/>
    <w:rsid w:val="0FF935DB"/>
    <w:rsid w:val="11B05C5A"/>
    <w:rsid w:val="15836008"/>
    <w:rsid w:val="1852701D"/>
    <w:rsid w:val="19DE11D5"/>
    <w:rsid w:val="1A0F4175"/>
    <w:rsid w:val="1EB303C0"/>
    <w:rsid w:val="1EFC934B"/>
    <w:rsid w:val="238E43F5"/>
    <w:rsid w:val="23F630A6"/>
    <w:rsid w:val="26B5A241"/>
    <w:rsid w:val="29477282"/>
    <w:rsid w:val="2E8A0E7B"/>
    <w:rsid w:val="31CE3C11"/>
    <w:rsid w:val="341765DF"/>
    <w:rsid w:val="342D6420"/>
    <w:rsid w:val="34BC23AD"/>
    <w:rsid w:val="34F77298"/>
    <w:rsid w:val="36692452"/>
    <w:rsid w:val="38CB1FBA"/>
    <w:rsid w:val="3ADEDF92"/>
    <w:rsid w:val="3B214D37"/>
    <w:rsid w:val="3E5B229F"/>
    <w:rsid w:val="3EF585D3"/>
    <w:rsid w:val="3FAF05CC"/>
    <w:rsid w:val="3FFF3219"/>
    <w:rsid w:val="42F84FBB"/>
    <w:rsid w:val="43DA9812"/>
    <w:rsid w:val="472020E2"/>
    <w:rsid w:val="48035BB1"/>
    <w:rsid w:val="4D617EE6"/>
    <w:rsid w:val="4D870228"/>
    <w:rsid w:val="4E137BDD"/>
    <w:rsid w:val="50D806DD"/>
    <w:rsid w:val="53FFD66A"/>
    <w:rsid w:val="541E6540"/>
    <w:rsid w:val="571C05B0"/>
    <w:rsid w:val="591A41F4"/>
    <w:rsid w:val="5A6F3991"/>
    <w:rsid w:val="5B5D1369"/>
    <w:rsid w:val="5D4F0FEF"/>
    <w:rsid w:val="5D8A083A"/>
    <w:rsid w:val="5E7273DC"/>
    <w:rsid w:val="5FBD64F2"/>
    <w:rsid w:val="61022B79"/>
    <w:rsid w:val="64407659"/>
    <w:rsid w:val="64BB2F53"/>
    <w:rsid w:val="65E15017"/>
    <w:rsid w:val="668977E7"/>
    <w:rsid w:val="67A3A7A5"/>
    <w:rsid w:val="68C13E1A"/>
    <w:rsid w:val="695D0560"/>
    <w:rsid w:val="69C937CA"/>
    <w:rsid w:val="6A8A12FF"/>
    <w:rsid w:val="6AFBAD5F"/>
    <w:rsid w:val="6FDF47DB"/>
    <w:rsid w:val="6FFF0CB4"/>
    <w:rsid w:val="71A62D78"/>
    <w:rsid w:val="72826491"/>
    <w:rsid w:val="72F868DA"/>
    <w:rsid w:val="74ED2BBE"/>
    <w:rsid w:val="764322DF"/>
    <w:rsid w:val="772F065A"/>
    <w:rsid w:val="77B011A1"/>
    <w:rsid w:val="77BB3DCB"/>
    <w:rsid w:val="77CFF03C"/>
    <w:rsid w:val="7B7CC9B3"/>
    <w:rsid w:val="7D292759"/>
    <w:rsid w:val="7DDEB177"/>
    <w:rsid w:val="7DF756EB"/>
    <w:rsid w:val="7E2247C9"/>
    <w:rsid w:val="7ED53247"/>
    <w:rsid w:val="7EDDBA1E"/>
    <w:rsid w:val="7EFA1255"/>
    <w:rsid w:val="7FA76860"/>
    <w:rsid w:val="7FBF5690"/>
    <w:rsid w:val="7FC953CC"/>
    <w:rsid w:val="7FDECF0E"/>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paragraph" w:styleId="3">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9">
    <w:name w:val="Strong"/>
    <w:basedOn w:val="8"/>
    <w:qFormat/>
    <w:uiPriority w:val="0"/>
    <w:rPr>
      <w:b/>
    </w:rPr>
  </w:style>
  <w:style w:type="character" w:customStyle="1" w:styleId="10">
    <w:name w:val="页眉 Char"/>
    <w:basedOn w:val="8"/>
    <w:link w:val="5"/>
    <w:qFormat/>
    <w:uiPriority w:val="0"/>
    <w:rPr>
      <w:rFonts w:ascii="仿宋_GB2312" w:eastAsia="仿宋_GB2312"/>
      <w:kern w:val="2"/>
      <w:sz w:val="18"/>
      <w:szCs w:val="18"/>
    </w:rPr>
  </w:style>
  <w:style w:type="character" w:customStyle="1" w:styleId="11">
    <w:name w:val="页脚 Char"/>
    <w:basedOn w:val="8"/>
    <w:link w:val="4"/>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2181</Words>
  <Characters>2234</Characters>
  <Lines>25</Lines>
  <Paragraphs>7</Paragraphs>
  <TotalTime>2</TotalTime>
  <ScaleCrop>false</ScaleCrop>
  <LinksUpToDate>false</LinksUpToDate>
  <CharactersWithSpaces>2243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2020-01-03T11:38:00Z</dcterms:created>
  <dc:creator>小公举</dc:creator>
  <cp:lastModifiedBy>kylinos</cp:lastModifiedBy>
  <cp:lastPrinted>2023-01-12T08:50:00Z</cp:lastPrinted>
  <dcterms:modified xsi:type="dcterms:W3CDTF">2026-01-27T10:13:52Z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0D343DB0C5B74D169B1912DA96BA2E9B_13</vt:lpwstr>
  </property>
  <property fmtid="{D5CDD505-2E9C-101B-9397-08002B2CF9AE}" pid="4" name="KSOTemplateDocerSaveRecord">
    <vt:lpwstr>eyJoZGlkIjoiOGFkZWE3YjQwNWY2NTkwYTRmNDhlY2EwODE1YzdmNWEiLCJ1c2VySWQiOiIxMDE5OTczNzIifQ==</vt:lpwstr>
  </property>
</Properties>
</file>