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26" w:name="_GoBack"/>
      <w:bookmarkEnd w:id="26"/>
      <w:r>
        <w:rPr>
          <w:rFonts w:hint="eastAsia" w:ascii="黑体" w:hAnsi="黑体" w:eastAsia="黑体" w:cs="黑体"/>
          <w:b/>
          <w:color w:val="000000"/>
          <w:sz w:val="44"/>
          <w:lang w:eastAsia="zh-CN"/>
        </w:rPr>
        <w:t>2023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spacing w:line="500" w:lineRule="exact"/>
        <w:ind w:firstLine="560" w:firstLineChars="200"/>
        <w:rPr>
          <w:rFonts w:eastAsia="方正仿宋_GBK"/>
          <w:sz w:val="28"/>
          <w:lang w:eastAsia="zh-CN"/>
        </w:rPr>
      </w:pPr>
      <w:r>
        <w:rPr>
          <w:rFonts w:hint="eastAsia" w:eastAsia="方正仿宋_GBK"/>
          <w:sz w:val="28"/>
          <w:lang w:eastAsia="zh-CN"/>
        </w:rPr>
        <w:t>一、阜平县政协本级收支预算………………………………………………………………………………………………………………2</w:t>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2126"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lang w:eastAsia="zh-CN"/>
              </w:rPr>
              <w:t>446.35</w:t>
            </w:r>
          </w:p>
        </w:tc>
        <w:tc>
          <w:tcPr>
            <w:tcW w:w="4535" w:type="dxa"/>
            <w:vAlign w:val="center"/>
          </w:tcPr>
          <w:p>
            <w:pPr>
              <w:pStyle w:val="18"/>
            </w:pPr>
            <w:r>
              <w:t>一、一般公共服务支出</w:t>
            </w:r>
          </w:p>
        </w:tc>
        <w:tc>
          <w:tcPr>
            <w:tcW w:w="2126" w:type="dxa"/>
            <w:vAlign w:val="center"/>
          </w:tcPr>
          <w:p>
            <w:pPr>
              <w:pStyle w:val="17"/>
              <w:rPr>
                <w:lang w:eastAsia="zh-CN"/>
              </w:rPr>
            </w:pPr>
            <w:r>
              <w:rPr>
                <w:rFonts w:hint="eastAsia"/>
                <w:lang w:eastAsia="zh-CN"/>
              </w:rPr>
              <w:t>334.85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pP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lang w:eastAsia="zh-CN"/>
              </w:rPr>
              <w:t>58.421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eastAsia="zh-CN"/>
              </w:rPr>
              <w:t>23.15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r>
              <w:rPr>
                <w:rFonts w:hint="eastAsia"/>
                <w:lang w:eastAsia="zh-CN"/>
              </w:rPr>
              <w:t>29.93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vAlign w:val="center"/>
          </w:tcPr>
          <w:p>
            <w:pPr>
              <w:pStyle w:val="21"/>
              <w:rPr>
                <w:lang w:eastAsia="zh-CN"/>
              </w:rPr>
            </w:pPr>
            <w:r>
              <w:rPr>
                <w:rFonts w:hint="eastAsia"/>
                <w:lang w:eastAsia="zh-CN"/>
              </w:rPr>
              <w:t>446.35</w:t>
            </w:r>
          </w:p>
        </w:tc>
        <w:tc>
          <w:tcPr>
            <w:tcW w:w="4535" w:type="dxa"/>
            <w:vAlign w:val="center"/>
          </w:tcPr>
          <w:p>
            <w:pPr>
              <w:pStyle w:val="20"/>
            </w:pPr>
            <w:r>
              <w:t>本年支出合计</w:t>
            </w:r>
          </w:p>
        </w:tc>
        <w:tc>
          <w:tcPr>
            <w:tcW w:w="2126" w:type="dxa"/>
            <w:vAlign w:val="center"/>
          </w:tcPr>
          <w:p>
            <w:pPr>
              <w:pStyle w:val="21"/>
              <w:rPr>
                <w:lang w:eastAsia="zh-CN"/>
              </w:rPr>
            </w:pPr>
            <w:r>
              <w:rPr>
                <w:rFonts w:hint="eastAsia"/>
                <w:lang w:eastAsia="zh-CN"/>
              </w:rPr>
              <w:t>446.35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vAlign w:val="center"/>
          </w:tcPr>
          <w:p>
            <w:pPr>
              <w:pStyle w:val="21"/>
            </w:pPr>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vAlign w:val="center"/>
          </w:tcPr>
          <w:p>
            <w:pPr>
              <w:pStyle w:val="21"/>
              <w:rPr>
                <w:lang w:eastAsia="zh-CN"/>
              </w:rPr>
            </w:pPr>
            <w:r>
              <w:rPr>
                <w:rFonts w:hint="eastAsia"/>
                <w:lang w:eastAsia="zh-CN"/>
              </w:rPr>
              <w:t>446.35</w:t>
            </w:r>
          </w:p>
        </w:tc>
        <w:tc>
          <w:tcPr>
            <w:tcW w:w="4535" w:type="dxa"/>
            <w:vAlign w:val="center"/>
          </w:tcPr>
          <w:p>
            <w:pPr>
              <w:pStyle w:val="20"/>
            </w:pPr>
            <w:r>
              <w:t>支出总计</w:t>
            </w:r>
          </w:p>
        </w:tc>
        <w:tc>
          <w:tcPr>
            <w:tcW w:w="2126" w:type="dxa"/>
            <w:vAlign w:val="center"/>
          </w:tcPr>
          <w:p>
            <w:pPr>
              <w:pStyle w:val="21"/>
              <w:rPr>
                <w:lang w:eastAsia="zh-CN"/>
              </w:rPr>
            </w:pPr>
            <w:r>
              <w:rPr>
                <w:rFonts w:hint="eastAsia"/>
                <w:lang w:eastAsia="zh-CN"/>
              </w:rPr>
              <w:t>446.35</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23"/>
        <w:gridCol w:w="2371"/>
        <w:gridCol w:w="945"/>
        <w:gridCol w:w="1155"/>
        <w:gridCol w:w="1080"/>
        <w:gridCol w:w="1110"/>
        <w:gridCol w:w="915"/>
        <w:gridCol w:w="915"/>
        <w:gridCol w:w="875"/>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3105" w:type="dxa"/>
            <w:gridSpan w:val="3"/>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92"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94" w:type="dxa"/>
            <w:gridSpan w:val="2"/>
            <w:vAlign w:val="center"/>
          </w:tcPr>
          <w:p>
            <w:pPr>
              <w:pStyle w:val="16"/>
            </w:pPr>
            <w:r>
              <w:t>功能分类科目</w:t>
            </w:r>
          </w:p>
        </w:tc>
        <w:tc>
          <w:tcPr>
            <w:tcW w:w="945" w:type="dxa"/>
            <w:vMerge w:val="restart"/>
            <w:vAlign w:val="center"/>
          </w:tcPr>
          <w:p>
            <w:pPr>
              <w:pStyle w:val="16"/>
            </w:pPr>
            <w:r>
              <w:t>合计</w:t>
            </w:r>
          </w:p>
        </w:tc>
        <w:tc>
          <w:tcPr>
            <w:tcW w:w="831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23" w:type="dxa"/>
            <w:vAlign w:val="center"/>
          </w:tcPr>
          <w:p>
            <w:pPr>
              <w:pStyle w:val="16"/>
            </w:pPr>
            <w:r>
              <w:t>科目    编码</w:t>
            </w:r>
          </w:p>
        </w:tc>
        <w:tc>
          <w:tcPr>
            <w:tcW w:w="2371" w:type="dxa"/>
            <w:vAlign w:val="center"/>
          </w:tcPr>
          <w:p>
            <w:pPr>
              <w:pStyle w:val="16"/>
            </w:pPr>
            <w:r>
              <w:t>科目名称</w:t>
            </w:r>
          </w:p>
        </w:tc>
        <w:tc>
          <w:tcPr>
            <w:tcW w:w="945" w:type="dxa"/>
            <w:vMerge w:val="continue"/>
          </w:tcPr>
          <w:p/>
        </w:tc>
        <w:tc>
          <w:tcPr>
            <w:tcW w:w="1155" w:type="dxa"/>
            <w:vAlign w:val="center"/>
          </w:tcPr>
          <w:p>
            <w:pPr>
              <w:pStyle w:val="16"/>
            </w:pPr>
            <w:r>
              <w:t>小计</w:t>
            </w:r>
          </w:p>
        </w:tc>
        <w:tc>
          <w:tcPr>
            <w:tcW w:w="1080" w:type="dxa"/>
            <w:vAlign w:val="center"/>
          </w:tcPr>
          <w:p>
            <w:pPr>
              <w:pStyle w:val="16"/>
            </w:pPr>
            <w:r>
              <w:t>财政拨款 收入</w:t>
            </w:r>
          </w:p>
        </w:tc>
        <w:tc>
          <w:tcPr>
            <w:tcW w:w="1110" w:type="dxa"/>
            <w:vAlign w:val="center"/>
          </w:tcPr>
          <w:p>
            <w:pPr>
              <w:pStyle w:val="16"/>
            </w:pPr>
            <w:r>
              <w:t>财政专户 收入</w:t>
            </w:r>
          </w:p>
        </w:tc>
        <w:tc>
          <w:tcPr>
            <w:tcW w:w="915" w:type="dxa"/>
            <w:vAlign w:val="center"/>
          </w:tcPr>
          <w:p>
            <w:pPr>
              <w:pStyle w:val="16"/>
            </w:pPr>
            <w:r>
              <w:t>事业收入</w:t>
            </w:r>
          </w:p>
        </w:tc>
        <w:tc>
          <w:tcPr>
            <w:tcW w:w="915" w:type="dxa"/>
            <w:vAlign w:val="center"/>
          </w:tcPr>
          <w:p>
            <w:pPr>
              <w:pStyle w:val="16"/>
            </w:pPr>
            <w:r>
              <w:t>经营收入</w:t>
            </w:r>
          </w:p>
        </w:tc>
        <w:tc>
          <w:tcPr>
            <w:tcW w:w="875"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123" w:type="dxa"/>
            <w:vAlign w:val="center"/>
          </w:tcPr>
          <w:p>
            <w:pPr>
              <w:pStyle w:val="16"/>
            </w:pPr>
            <w:r>
              <w:t>1</w:t>
            </w:r>
          </w:p>
        </w:tc>
        <w:tc>
          <w:tcPr>
            <w:tcW w:w="2371" w:type="dxa"/>
            <w:vAlign w:val="center"/>
          </w:tcPr>
          <w:p>
            <w:pPr>
              <w:pStyle w:val="16"/>
            </w:pPr>
            <w:r>
              <w:t>2</w:t>
            </w:r>
          </w:p>
        </w:tc>
        <w:tc>
          <w:tcPr>
            <w:tcW w:w="945" w:type="dxa"/>
            <w:vAlign w:val="center"/>
          </w:tcPr>
          <w:p>
            <w:pPr>
              <w:pStyle w:val="16"/>
            </w:pPr>
            <w:r>
              <w:t>3</w:t>
            </w:r>
          </w:p>
        </w:tc>
        <w:tc>
          <w:tcPr>
            <w:tcW w:w="1155" w:type="dxa"/>
            <w:vAlign w:val="center"/>
          </w:tcPr>
          <w:p>
            <w:pPr>
              <w:pStyle w:val="16"/>
            </w:pPr>
            <w:r>
              <w:t>4</w:t>
            </w:r>
          </w:p>
        </w:tc>
        <w:tc>
          <w:tcPr>
            <w:tcW w:w="1080" w:type="dxa"/>
            <w:vAlign w:val="center"/>
          </w:tcPr>
          <w:p>
            <w:pPr>
              <w:pStyle w:val="16"/>
            </w:pPr>
            <w:r>
              <w:t>5</w:t>
            </w:r>
          </w:p>
        </w:tc>
        <w:tc>
          <w:tcPr>
            <w:tcW w:w="1110" w:type="dxa"/>
            <w:vAlign w:val="center"/>
          </w:tcPr>
          <w:p>
            <w:pPr>
              <w:pStyle w:val="16"/>
            </w:pPr>
            <w:r>
              <w:t>6</w:t>
            </w:r>
          </w:p>
        </w:tc>
        <w:tc>
          <w:tcPr>
            <w:tcW w:w="915" w:type="dxa"/>
            <w:vAlign w:val="center"/>
          </w:tcPr>
          <w:p>
            <w:pPr>
              <w:pStyle w:val="16"/>
            </w:pPr>
            <w:r>
              <w:t>7</w:t>
            </w:r>
          </w:p>
        </w:tc>
        <w:tc>
          <w:tcPr>
            <w:tcW w:w="915" w:type="dxa"/>
            <w:vAlign w:val="center"/>
          </w:tcPr>
          <w:p>
            <w:pPr>
              <w:pStyle w:val="16"/>
            </w:pPr>
            <w:r>
              <w:t>8</w:t>
            </w:r>
          </w:p>
        </w:tc>
        <w:tc>
          <w:tcPr>
            <w:tcW w:w="875"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rPr>
                <w:color w:val="000000"/>
              </w:rPr>
              <w:t>1</w:t>
            </w:r>
          </w:p>
        </w:tc>
        <w:tc>
          <w:tcPr>
            <w:tcW w:w="1123" w:type="dxa"/>
            <w:vAlign w:val="center"/>
          </w:tcPr>
          <w:p>
            <w:pPr>
              <w:pStyle w:val="18"/>
            </w:pPr>
          </w:p>
        </w:tc>
        <w:tc>
          <w:tcPr>
            <w:tcW w:w="2371" w:type="dxa"/>
            <w:vAlign w:val="center"/>
          </w:tcPr>
          <w:p>
            <w:pPr>
              <w:pStyle w:val="18"/>
            </w:pPr>
            <w:r>
              <w:rPr>
                <w:color w:val="000000"/>
              </w:rPr>
              <w:t>合计</w:t>
            </w:r>
          </w:p>
        </w:tc>
        <w:tc>
          <w:tcPr>
            <w:tcW w:w="945" w:type="dxa"/>
            <w:vAlign w:val="center"/>
          </w:tcPr>
          <w:p>
            <w:pPr>
              <w:pStyle w:val="18"/>
              <w:jc w:val="right"/>
            </w:pPr>
            <w:r>
              <w:rPr>
                <w:rFonts w:hint="eastAsia"/>
                <w:color w:val="000000"/>
                <w:lang w:eastAsia="zh-CN"/>
              </w:rPr>
              <w:t>446.35</w:t>
            </w:r>
          </w:p>
        </w:tc>
        <w:tc>
          <w:tcPr>
            <w:tcW w:w="1155" w:type="dxa"/>
            <w:vAlign w:val="center"/>
          </w:tcPr>
          <w:p>
            <w:pPr>
              <w:pStyle w:val="18"/>
              <w:jc w:val="right"/>
            </w:pPr>
            <w:r>
              <w:rPr>
                <w:rFonts w:hint="eastAsia"/>
                <w:color w:val="000000"/>
                <w:lang w:eastAsia="zh-CN"/>
              </w:rPr>
              <w:t>446.35</w:t>
            </w:r>
          </w:p>
        </w:tc>
        <w:tc>
          <w:tcPr>
            <w:tcW w:w="1080" w:type="dxa"/>
            <w:vAlign w:val="center"/>
          </w:tcPr>
          <w:p>
            <w:pPr>
              <w:pStyle w:val="18"/>
              <w:jc w:val="right"/>
            </w:pPr>
            <w:r>
              <w:rPr>
                <w:rFonts w:hint="eastAsia"/>
                <w:color w:val="000000"/>
                <w:lang w:eastAsia="zh-CN"/>
              </w:rPr>
              <w:t>446.35</w:t>
            </w:r>
          </w:p>
        </w:tc>
        <w:tc>
          <w:tcPr>
            <w:tcW w:w="1110" w:type="dxa"/>
            <w:vAlign w:val="center"/>
          </w:tcPr>
          <w:p>
            <w:pPr>
              <w:pStyle w:val="18"/>
            </w:pPr>
          </w:p>
        </w:tc>
        <w:tc>
          <w:tcPr>
            <w:tcW w:w="915" w:type="dxa"/>
            <w:vAlign w:val="center"/>
          </w:tcPr>
          <w:p>
            <w:pPr>
              <w:pStyle w:val="21"/>
            </w:pPr>
          </w:p>
        </w:tc>
        <w:tc>
          <w:tcPr>
            <w:tcW w:w="915" w:type="dxa"/>
            <w:vAlign w:val="center"/>
          </w:tcPr>
          <w:p>
            <w:pPr>
              <w:pStyle w:val="21"/>
            </w:pPr>
          </w:p>
        </w:tc>
        <w:tc>
          <w:tcPr>
            <w:tcW w:w="875"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rPr>
                <w:color w:val="000000"/>
              </w:rPr>
              <w:t>2</w:t>
            </w:r>
          </w:p>
        </w:tc>
        <w:tc>
          <w:tcPr>
            <w:tcW w:w="1123" w:type="dxa"/>
          </w:tcPr>
          <w:p>
            <w:pPr>
              <w:pStyle w:val="18"/>
              <w:rPr>
                <w:lang w:eastAsia="zh-CN"/>
              </w:rPr>
            </w:pPr>
            <w:r>
              <w:rPr>
                <w:color w:val="000000"/>
                <w:lang w:eastAsia="zh-CN"/>
              </w:rPr>
              <w:t>201</w:t>
            </w:r>
          </w:p>
        </w:tc>
        <w:tc>
          <w:tcPr>
            <w:tcW w:w="2371" w:type="dxa"/>
          </w:tcPr>
          <w:p>
            <w:pPr>
              <w:pStyle w:val="18"/>
              <w:rPr>
                <w:lang w:eastAsia="zh-CN"/>
              </w:rPr>
            </w:pPr>
            <w:r>
              <w:rPr>
                <w:color w:val="000000"/>
                <w:lang w:eastAsia="zh-CN"/>
              </w:rPr>
              <w:t>一般公共服务</w:t>
            </w:r>
            <w:r>
              <w:rPr>
                <w:rFonts w:hint="eastAsia"/>
                <w:color w:val="000000"/>
                <w:lang w:eastAsia="zh-CN"/>
              </w:rPr>
              <w:t>收入</w:t>
            </w:r>
          </w:p>
        </w:tc>
        <w:tc>
          <w:tcPr>
            <w:tcW w:w="945" w:type="dxa"/>
          </w:tcPr>
          <w:p>
            <w:pPr>
              <w:jc w:val="right"/>
              <w:textAlignment w:val="top"/>
            </w:pPr>
            <w:r>
              <w:rPr>
                <w:rFonts w:hint="eastAsia" w:ascii="方正书宋_GBK" w:hAnsi="方正书宋_GBK" w:eastAsia="方正书宋_GBK" w:cs="方正书宋_GBK"/>
                <w:color w:val="000000"/>
                <w:sz w:val="21"/>
                <w:lang w:eastAsia="zh-CN"/>
              </w:rPr>
              <w:t>334.85</w:t>
            </w:r>
          </w:p>
        </w:tc>
        <w:tc>
          <w:tcPr>
            <w:tcW w:w="1155" w:type="dxa"/>
          </w:tcPr>
          <w:p>
            <w:pPr>
              <w:jc w:val="right"/>
              <w:textAlignment w:val="top"/>
            </w:pPr>
            <w:r>
              <w:rPr>
                <w:rFonts w:hint="eastAsia" w:ascii="方正书宋_GBK" w:hAnsi="方正书宋_GBK" w:eastAsia="方正书宋_GBK" w:cs="方正书宋_GBK"/>
                <w:color w:val="000000"/>
                <w:sz w:val="21"/>
                <w:lang w:eastAsia="zh-CN"/>
              </w:rPr>
              <w:t>334.85</w:t>
            </w:r>
          </w:p>
        </w:tc>
        <w:tc>
          <w:tcPr>
            <w:tcW w:w="1080" w:type="dxa"/>
          </w:tcPr>
          <w:p>
            <w:pPr>
              <w:jc w:val="right"/>
              <w:textAlignment w:val="top"/>
            </w:pPr>
            <w:r>
              <w:rPr>
                <w:rFonts w:hint="eastAsia" w:ascii="方正书宋_GBK" w:hAnsi="方正书宋_GBK" w:eastAsia="方正书宋_GBK" w:cs="方正书宋_GBK"/>
                <w:color w:val="000000"/>
                <w:sz w:val="21"/>
                <w:lang w:eastAsia="zh-CN"/>
              </w:rPr>
              <w:t>334.85</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rPr>
                <w:color w:val="000000"/>
              </w:rPr>
              <w:t>3</w:t>
            </w:r>
          </w:p>
        </w:tc>
        <w:tc>
          <w:tcPr>
            <w:tcW w:w="1123" w:type="dxa"/>
          </w:tcPr>
          <w:p>
            <w:pPr>
              <w:pStyle w:val="18"/>
            </w:pPr>
            <w:r>
              <w:rPr>
                <w:color w:val="000000"/>
                <w:lang w:eastAsia="zh-CN"/>
              </w:rPr>
              <w:t>2010</w:t>
            </w:r>
            <w:r>
              <w:rPr>
                <w:rFonts w:hint="eastAsia"/>
                <w:color w:val="000000"/>
                <w:lang w:eastAsia="zh-CN"/>
              </w:rPr>
              <w:t>2</w:t>
            </w:r>
          </w:p>
        </w:tc>
        <w:tc>
          <w:tcPr>
            <w:tcW w:w="2371" w:type="dxa"/>
          </w:tcPr>
          <w:p>
            <w:pPr>
              <w:pStyle w:val="18"/>
            </w:pPr>
            <w:r>
              <w:rPr>
                <w:rFonts w:hint="eastAsia"/>
                <w:color w:val="000000"/>
                <w:lang w:eastAsia="zh-CN"/>
              </w:rPr>
              <w:t>政协事务</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334.85</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334.85</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334.85</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4</w:t>
            </w:r>
          </w:p>
        </w:tc>
        <w:tc>
          <w:tcPr>
            <w:tcW w:w="1123" w:type="dxa"/>
          </w:tcPr>
          <w:p>
            <w:pPr>
              <w:pStyle w:val="18"/>
              <w:rPr>
                <w:lang w:eastAsia="zh-CN"/>
              </w:rPr>
            </w:pPr>
            <w:r>
              <w:rPr>
                <w:rFonts w:hint="eastAsia"/>
                <w:color w:val="000000"/>
                <w:lang w:eastAsia="zh-CN"/>
              </w:rPr>
              <w:t>2010201</w:t>
            </w:r>
          </w:p>
        </w:tc>
        <w:tc>
          <w:tcPr>
            <w:tcW w:w="2371" w:type="dxa"/>
          </w:tcPr>
          <w:p>
            <w:pPr>
              <w:pStyle w:val="18"/>
              <w:rPr>
                <w:lang w:eastAsia="zh-CN"/>
              </w:rPr>
            </w:pPr>
            <w:r>
              <w:rPr>
                <w:rFonts w:hint="eastAsia"/>
                <w:color w:val="000000"/>
                <w:lang w:eastAsia="zh-CN"/>
              </w:rPr>
              <w:t>行政运行</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257.27</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257.27</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257.27</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5</w:t>
            </w:r>
          </w:p>
        </w:tc>
        <w:tc>
          <w:tcPr>
            <w:tcW w:w="1123" w:type="dxa"/>
          </w:tcPr>
          <w:p>
            <w:pPr>
              <w:pStyle w:val="18"/>
              <w:rPr>
                <w:lang w:eastAsia="zh-CN"/>
              </w:rPr>
            </w:pPr>
            <w:r>
              <w:rPr>
                <w:rFonts w:hint="eastAsia"/>
                <w:color w:val="000000"/>
                <w:lang w:eastAsia="zh-CN"/>
              </w:rPr>
              <w:t>2010202</w:t>
            </w:r>
          </w:p>
        </w:tc>
        <w:tc>
          <w:tcPr>
            <w:tcW w:w="2371" w:type="dxa"/>
          </w:tcPr>
          <w:p>
            <w:pPr>
              <w:pStyle w:val="18"/>
              <w:rPr>
                <w:lang w:eastAsia="zh-CN"/>
              </w:rPr>
            </w:pPr>
            <w:r>
              <w:rPr>
                <w:rFonts w:hint="eastAsia"/>
                <w:color w:val="000000"/>
                <w:lang w:eastAsia="zh-CN"/>
              </w:rPr>
              <w:t>一般行政管理事务</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37.58</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37.58</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37.58</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6</w:t>
            </w:r>
          </w:p>
        </w:tc>
        <w:tc>
          <w:tcPr>
            <w:tcW w:w="1123" w:type="dxa"/>
          </w:tcPr>
          <w:p>
            <w:pPr>
              <w:pStyle w:val="18"/>
              <w:rPr>
                <w:lang w:eastAsia="zh-CN"/>
              </w:rPr>
            </w:pPr>
            <w:r>
              <w:rPr>
                <w:rFonts w:hint="eastAsia"/>
                <w:color w:val="000000"/>
                <w:lang w:eastAsia="zh-CN"/>
              </w:rPr>
              <w:t>2010204</w:t>
            </w:r>
          </w:p>
        </w:tc>
        <w:tc>
          <w:tcPr>
            <w:tcW w:w="2371" w:type="dxa"/>
          </w:tcPr>
          <w:p>
            <w:pPr>
              <w:pStyle w:val="18"/>
              <w:rPr>
                <w:lang w:eastAsia="zh-CN"/>
              </w:rPr>
            </w:pPr>
            <w:r>
              <w:rPr>
                <w:rFonts w:hint="eastAsia"/>
                <w:color w:val="000000"/>
                <w:lang w:eastAsia="zh-CN"/>
              </w:rPr>
              <w:t>政协会议</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7</w:t>
            </w:r>
          </w:p>
        </w:tc>
        <w:tc>
          <w:tcPr>
            <w:tcW w:w="1123" w:type="dxa"/>
          </w:tcPr>
          <w:p>
            <w:pPr>
              <w:pStyle w:val="18"/>
              <w:rPr>
                <w:lang w:eastAsia="zh-CN"/>
              </w:rPr>
            </w:pPr>
            <w:r>
              <w:rPr>
                <w:rFonts w:hint="eastAsia"/>
                <w:color w:val="000000"/>
                <w:lang w:eastAsia="zh-CN"/>
              </w:rPr>
              <w:t>2010205</w:t>
            </w:r>
          </w:p>
        </w:tc>
        <w:tc>
          <w:tcPr>
            <w:tcW w:w="2371" w:type="dxa"/>
          </w:tcPr>
          <w:p>
            <w:pPr>
              <w:pStyle w:val="18"/>
              <w:rPr>
                <w:lang w:eastAsia="zh-CN"/>
              </w:rPr>
            </w:pPr>
            <w:r>
              <w:rPr>
                <w:rFonts w:hint="eastAsia"/>
                <w:color w:val="000000"/>
                <w:lang w:eastAsia="zh-CN"/>
              </w:rPr>
              <w:t>委员视察</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8</w:t>
            </w:r>
          </w:p>
        </w:tc>
        <w:tc>
          <w:tcPr>
            <w:tcW w:w="1123" w:type="dxa"/>
          </w:tcPr>
          <w:p>
            <w:pPr>
              <w:pStyle w:val="18"/>
            </w:pPr>
            <w:r>
              <w:rPr>
                <w:color w:val="000000"/>
                <w:lang w:eastAsia="zh-CN"/>
              </w:rPr>
              <w:t>208</w:t>
            </w:r>
          </w:p>
        </w:tc>
        <w:tc>
          <w:tcPr>
            <w:tcW w:w="2371" w:type="dxa"/>
          </w:tcPr>
          <w:p>
            <w:pPr>
              <w:pStyle w:val="18"/>
            </w:pPr>
            <w:r>
              <w:rPr>
                <w:color w:val="000000"/>
                <w:lang w:eastAsia="zh-CN"/>
              </w:rPr>
              <w:t>社会保障和就业</w:t>
            </w:r>
            <w:r>
              <w:rPr>
                <w:rFonts w:hint="eastAsia"/>
                <w:color w:val="000000"/>
                <w:lang w:eastAsia="zh-CN"/>
              </w:rPr>
              <w:t>收入</w:t>
            </w:r>
          </w:p>
        </w:tc>
        <w:tc>
          <w:tcPr>
            <w:tcW w:w="945" w:type="dxa"/>
          </w:tcPr>
          <w:p>
            <w:pPr>
              <w:jc w:val="right"/>
              <w:textAlignment w:val="top"/>
            </w:pPr>
            <w:r>
              <w:rPr>
                <w:rFonts w:hint="eastAsia" w:ascii="方正书宋_GBK" w:hAnsi="方正书宋_GBK" w:eastAsia="方正书宋_GBK" w:cs="方正书宋_GBK"/>
                <w:color w:val="000000"/>
                <w:sz w:val="21"/>
                <w:lang w:eastAsia="zh-CN"/>
              </w:rPr>
              <w:t>58.42</w:t>
            </w:r>
          </w:p>
        </w:tc>
        <w:tc>
          <w:tcPr>
            <w:tcW w:w="1155" w:type="dxa"/>
          </w:tcPr>
          <w:p>
            <w:pPr>
              <w:jc w:val="right"/>
              <w:textAlignment w:val="top"/>
            </w:pPr>
            <w:r>
              <w:rPr>
                <w:rFonts w:hint="eastAsia" w:ascii="方正书宋_GBK" w:hAnsi="方正书宋_GBK" w:eastAsia="方正书宋_GBK" w:cs="方正书宋_GBK"/>
                <w:color w:val="000000"/>
                <w:sz w:val="21"/>
                <w:lang w:eastAsia="zh-CN"/>
              </w:rPr>
              <w:t>58.42</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58.42</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9</w:t>
            </w:r>
          </w:p>
        </w:tc>
        <w:tc>
          <w:tcPr>
            <w:tcW w:w="1123" w:type="dxa"/>
          </w:tcPr>
          <w:p>
            <w:pPr>
              <w:pStyle w:val="18"/>
            </w:pPr>
            <w:r>
              <w:rPr>
                <w:color w:val="000000"/>
                <w:lang w:eastAsia="zh-CN"/>
              </w:rPr>
              <w:t>20805</w:t>
            </w:r>
          </w:p>
        </w:tc>
        <w:tc>
          <w:tcPr>
            <w:tcW w:w="2371" w:type="dxa"/>
          </w:tcPr>
          <w:p>
            <w:pPr>
              <w:pStyle w:val="18"/>
            </w:pPr>
            <w:r>
              <w:rPr>
                <w:color w:val="000000"/>
                <w:lang w:eastAsia="zh-CN"/>
              </w:rPr>
              <w:t>行政事业单位养老</w:t>
            </w:r>
            <w:r>
              <w:rPr>
                <w:rFonts w:hint="eastAsia"/>
                <w:color w:val="000000"/>
                <w:lang w:eastAsia="zh-CN"/>
              </w:rPr>
              <w:t>收入</w:t>
            </w:r>
          </w:p>
        </w:tc>
        <w:tc>
          <w:tcPr>
            <w:tcW w:w="945" w:type="dxa"/>
          </w:tcPr>
          <w:p>
            <w:pPr>
              <w:jc w:val="right"/>
              <w:textAlignment w:val="top"/>
            </w:pPr>
            <w:r>
              <w:rPr>
                <w:rFonts w:hint="eastAsia" w:ascii="方正书宋_GBK" w:hAnsi="方正书宋_GBK" w:eastAsia="方正书宋_GBK" w:cs="方正书宋_GBK"/>
                <w:color w:val="000000"/>
                <w:sz w:val="21"/>
                <w:lang w:eastAsia="zh-CN"/>
              </w:rPr>
              <w:t>58.42</w:t>
            </w:r>
          </w:p>
        </w:tc>
        <w:tc>
          <w:tcPr>
            <w:tcW w:w="1155" w:type="dxa"/>
          </w:tcPr>
          <w:p>
            <w:pPr>
              <w:jc w:val="right"/>
              <w:textAlignment w:val="top"/>
            </w:pPr>
            <w:r>
              <w:rPr>
                <w:rFonts w:hint="eastAsia" w:ascii="方正书宋_GBK" w:hAnsi="方正书宋_GBK" w:eastAsia="方正书宋_GBK" w:cs="方正书宋_GBK"/>
                <w:color w:val="000000"/>
                <w:sz w:val="21"/>
                <w:lang w:eastAsia="zh-CN"/>
              </w:rPr>
              <w:t>58.42</w:t>
            </w:r>
          </w:p>
        </w:tc>
        <w:tc>
          <w:tcPr>
            <w:tcW w:w="1080" w:type="dxa"/>
          </w:tcPr>
          <w:p>
            <w:pPr>
              <w:jc w:val="right"/>
              <w:textAlignment w:val="top"/>
            </w:pPr>
            <w:r>
              <w:rPr>
                <w:rFonts w:hint="eastAsia" w:ascii="方正书宋_GBK" w:hAnsi="方正书宋_GBK" w:eastAsia="方正书宋_GBK" w:cs="方正书宋_GBK"/>
                <w:color w:val="000000"/>
                <w:sz w:val="21"/>
                <w:lang w:eastAsia="zh-CN"/>
              </w:rPr>
              <w:t>58.42</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rPr>
                <w:rFonts w:hint="eastAsia"/>
                <w:color w:val="000000"/>
                <w:lang w:eastAsia="zh-CN"/>
              </w:rPr>
              <w:t>10</w:t>
            </w:r>
          </w:p>
        </w:tc>
        <w:tc>
          <w:tcPr>
            <w:tcW w:w="1123" w:type="dxa"/>
          </w:tcPr>
          <w:p>
            <w:pPr>
              <w:pStyle w:val="18"/>
            </w:pPr>
            <w:r>
              <w:rPr>
                <w:color w:val="000000"/>
                <w:lang w:eastAsia="zh-CN"/>
              </w:rPr>
              <w:t>2080501</w:t>
            </w:r>
          </w:p>
        </w:tc>
        <w:tc>
          <w:tcPr>
            <w:tcW w:w="2371" w:type="dxa"/>
          </w:tcPr>
          <w:p>
            <w:pPr>
              <w:pStyle w:val="18"/>
            </w:pPr>
            <w:r>
              <w:rPr>
                <w:color w:val="000000"/>
                <w:lang w:eastAsia="zh-CN"/>
              </w:rPr>
              <w:t>行政单位离退休</w:t>
            </w:r>
          </w:p>
        </w:tc>
        <w:tc>
          <w:tcPr>
            <w:tcW w:w="945" w:type="dxa"/>
          </w:tcPr>
          <w:p>
            <w:pPr>
              <w:jc w:val="right"/>
              <w:textAlignment w:val="top"/>
            </w:pPr>
            <w:r>
              <w:rPr>
                <w:rFonts w:hint="eastAsia" w:ascii="方正书宋_GBK" w:hAnsi="方正书宋_GBK" w:eastAsia="方正书宋_GBK" w:cs="方正书宋_GBK"/>
                <w:color w:val="000000"/>
                <w:sz w:val="21"/>
                <w:lang w:eastAsia="zh-CN"/>
              </w:rPr>
              <w:t>18.52</w:t>
            </w:r>
          </w:p>
        </w:tc>
        <w:tc>
          <w:tcPr>
            <w:tcW w:w="1155" w:type="dxa"/>
          </w:tcPr>
          <w:p>
            <w:pPr>
              <w:jc w:val="right"/>
              <w:textAlignment w:val="top"/>
            </w:pPr>
            <w:r>
              <w:rPr>
                <w:rFonts w:hint="eastAsia" w:ascii="方正书宋_GBK" w:hAnsi="方正书宋_GBK" w:eastAsia="方正书宋_GBK" w:cs="方正书宋_GBK"/>
                <w:color w:val="000000"/>
                <w:sz w:val="21"/>
                <w:lang w:eastAsia="zh-CN"/>
              </w:rPr>
              <w:t>18.52</w:t>
            </w:r>
          </w:p>
        </w:tc>
        <w:tc>
          <w:tcPr>
            <w:tcW w:w="1080" w:type="dxa"/>
          </w:tcPr>
          <w:p>
            <w:pPr>
              <w:jc w:val="right"/>
              <w:textAlignment w:val="top"/>
            </w:pPr>
            <w:r>
              <w:rPr>
                <w:rFonts w:hint="eastAsia" w:ascii="方正书宋_GBK" w:hAnsi="方正书宋_GBK" w:eastAsia="方正书宋_GBK" w:cs="方正书宋_GBK"/>
                <w:color w:val="000000"/>
                <w:sz w:val="21"/>
                <w:lang w:eastAsia="zh-CN"/>
              </w:rPr>
              <w:t>18.52</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11</w:t>
            </w:r>
          </w:p>
        </w:tc>
        <w:tc>
          <w:tcPr>
            <w:tcW w:w="1123" w:type="dxa"/>
          </w:tcPr>
          <w:p>
            <w:pPr>
              <w:pStyle w:val="18"/>
            </w:pPr>
            <w:r>
              <w:rPr>
                <w:color w:val="000000"/>
                <w:lang w:eastAsia="zh-CN"/>
              </w:rPr>
              <w:t>2080505</w:t>
            </w:r>
          </w:p>
        </w:tc>
        <w:tc>
          <w:tcPr>
            <w:tcW w:w="2371" w:type="dxa"/>
          </w:tcPr>
          <w:p>
            <w:pPr>
              <w:pStyle w:val="18"/>
            </w:pPr>
            <w:r>
              <w:rPr>
                <w:color w:val="000000"/>
                <w:lang w:eastAsia="zh-CN"/>
              </w:rPr>
              <w:t>机关事业单位基本养老保险缴费</w:t>
            </w:r>
            <w:r>
              <w:rPr>
                <w:rFonts w:hint="eastAsia"/>
                <w:color w:val="000000"/>
                <w:lang w:eastAsia="zh-CN"/>
              </w:rPr>
              <w:t>收入</w:t>
            </w:r>
          </w:p>
        </w:tc>
        <w:tc>
          <w:tcPr>
            <w:tcW w:w="945" w:type="dxa"/>
          </w:tcPr>
          <w:p>
            <w:pPr>
              <w:jc w:val="right"/>
              <w:textAlignment w:val="top"/>
            </w:pPr>
            <w:r>
              <w:rPr>
                <w:rFonts w:hint="eastAsia" w:ascii="方正书宋_GBK" w:hAnsi="方正书宋_GBK" w:eastAsia="方正书宋_GBK" w:cs="方正书宋_GBK"/>
                <w:color w:val="000000"/>
                <w:sz w:val="21"/>
                <w:lang w:eastAsia="zh-CN"/>
              </w:rPr>
              <w:t>39.90</w:t>
            </w:r>
          </w:p>
        </w:tc>
        <w:tc>
          <w:tcPr>
            <w:tcW w:w="1155" w:type="dxa"/>
          </w:tcPr>
          <w:p>
            <w:pPr>
              <w:jc w:val="right"/>
              <w:textAlignment w:val="top"/>
            </w:pPr>
            <w:r>
              <w:rPr>
                <w:rFonts w:hint="eastAsia" w:ascii="方正书宋_GBK" w:hAnsi="方正书宋_GBK" w:eastAsia="方正书宋_GBK" w:cs="方正书宋_GBK"/>
                <w:color w:val="000000"/>
                <w:sz w:val="21"/>
                <w:lang w:eastAsia="zh-CN"/>
              </w:rPr>
              <w:t>39.90</w:t>
            </w:r>
          </w:p>
        </w:tc>
        <w:tc>
          <w:tcPr>
            <w:tcW w:w="1080" w:type="dxa"/>
          </w:tcPr>
          <w:p>
            <w:pPr>
              <w:jc w:val="right"/>
              <w:textAlignment w:val="top"/>
            </w:pPr>
            <w:r>
              <w:rPr>
                <w:rFonts w:hint="eastAsia" w:ascii="方正书宋_GBK" w:hAnsi="方正书宋_GBK" w:eastAsia="方正书宋_GBK" w:cs="方正书宋_GBK"/>
                <w:color w:val="000000"/>
                <w:sz w:val="21"/>
                <w:lang w:eastAsia="zh-CN"/>
              </w:rPr>
              <w:t>39.90</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12</w:t>
            </w:r>
          </w:p>
        </w:tc>
        <w:tc>
          <w:tcPr>
            <w:tcW w:w="1123" w:type="dxa"/>
          </w:tcPr>
          <w:p>
            <w:pPr>
              <w:pStyle w:val="18"/>
            </w:pPr>
            <w:r>
              <w:rPr>
                <w:color w:val="000000"/>
                <w:lang w:eastAsia="zh-CN"/>
              </w:rPr>
              <w:t>210</w:t>
            </w:r>
          </w:p>
        </w:tc>
        <w:tc>
          <w:tcPr>
            <w:tcW w:w="2371" w:type="dxa"/>
          </w:tcPr>
          <w:p>
            <w:pPr>
              <w:pStyle w:val="18"/>
            </w:pPr>
            <w:r>
              <w:rPr>
                <w:color w:val="000000"/>
                <w:lang w:eastAsia="zh-CN"/>
              </w:rPr>
              <w:t>卫生健康</w:t>
            </w:r>
            <w:r>
              <w:rPr>
                <w:rFonts w:hint="eastAsia"/>
                <w:color w:val="000000"/>
                <w:lang w:eastAsia="zh-CN"/>
              </w:rPr>
              <w:t>收入</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13</w:t>
            </w:r>
          </w:p>
        </w:tc>
        <w:tc>
          <w:tcPr>
            <w:tcW w:w="1123" w:type="dxa"/>
          </w:tcPr>
          <w:p>
            <w:pPr>
              <w:pStyle w:val="18"/>
            </w:pPr>
            <w:r>
              <w:rPr>
                <w:color w:val="000000"/>
                <w:lang w:eastAsia="zh-CN"/>
              </w:rPr>
              <w:t>21011</w:t>
            </w:r>
          </w:p>
        </w:tc>
        <w:tc>
          <w:tcPr>
            <w:tcW w:w="2371" w:type="dxa"/>
          </w:tcPr>
          <w:p>
            <w:pPr>
              <w:pStyle w:val="18"/>
            </w:pPr>
            <w:r>
              <w:rPr>
                <w:color w:val="000000"/>
                <w:lang w:eastAsia="zh-CN"/>
              </w:rPr>
              <w:t>行政事业单位医疗</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19"/>
              <w:rPr>
                <w:lang w:eastAsia="zh-CN"/>
              </w:rPr>
            </w:pPr>
            <w:r>
              <w:rPr>
                <w:rFonts w:hint="eastAsia"/>
                <w:color w:val="000000"/>
                <w:lang w:eastAsia="zh-CN"/>
              </w:rPr>
              <w:t>14</w:t>
            </w:r>
          </w:p>
        </w:tc>
        <w:tc>
          <w:tcPr>
            <w:tcW w:w="1123" w:type="dxa"/>
          </w:tcPr>
          <w:p>
            <w:pPr>
              <w:pStyle w:val="18"/>
            </w:pPr>
            <w:r>
              <w:rPr>
                <w:color w:val="000000"/>
                <w:lang w:eastAsia="zh-CN"/>
              </w:rPr>
              <w:t>2101101</w:t>
            </w:r>
          </w:p>
        </w:tc>
        <w:tc>
          <w:tcPr>
            <w:tcW w:w="2371" w:type="dxa"/>
          </w:tcPr>
          <w:p>
            <w:pPr>
              <w:pStyle w:val="18"/>
            </w:pPr>
            <w:r>
              <w:rPr>
                <w:color w:val="000000"/>
                <w:lang w:eastAsia="zh-CN"/>
              </w:rPr>
              <w:t>行政单位医疗</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15.96</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15.96</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15.96</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15</w:t>
            </w:r>
          </w:p>
        </w:tc>
        <w:tc>
          <w:tcPr>
            <w:tcW w:w="1123" w:type="dxa"/>
          </w:tcPr>
          <w:p>
            <w:pPr>
              <w:pStyle w:val="18"/>
              <w:rPr>
                <w:lang w:eastAsia="zh-CN"/>
              </w:rPr>
            </w:pPr>
            <w:r>
              <w:rPr>
                <w:rFonts w:hint="eastAsia"/>
                <w:color w:val="000000"/>
                <w:lang w:eastAsia="zh-CN"/>
              </w:rPr>
              <w:t>2101103</w:t>
            </w:r>
          </w:p>
        </w:tc>
        <w:tc>
          <w:tcPr>
            <w:tcW w:w="2371" w:type="dxa"/>
          </w:tcPr>
          <w:p>
            <w:pPr>
              <w:pStyle w:val="18"/>
              <w:rPr>
                <w:lang w:eastAsia="zh-CN"/>
              </w:rPr>
            </w:pPr>
            <w:r>
              <w:rPr>
                <w:rFonts w:hint="eastAsia"/>
                <w:color w:val="000000"/>
                <w:lang w:eastAsia="zh-CN"/>
              </w:rPr>
              <w:t>公务员医疗补助</w:t>
            </w:r>
          </w:p>
        </w:tc>
        <w:tc>
          <w:tcPr>
            <w:tcW w:w="945"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7.19</w:t>
            </w:r>
          </w:p>
        </w:tc>
        <w:tc>
          <w:tcPr>
            <w:tcW w:w="1155"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7.19</w:t>
            </w:r>
          </w:p>
        </w:tc>
        <w:tc>
          <w:tcPr>
            <w:tcW w:w="1080"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7.19</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16</w:t>
            </w:r>
          </w:p>
        </w:tc>
        <w:tc>
          <w:tcPr>
            <w:tcW w:w="1123" w:type="dxa"/>
          </w:tcPr>
          <w:p>
            <w:pPr>
              <w:pStyle w:val="18"/>
            </w:pPr>
            <w:r>
              <w:rPr>
                <w:color w:val="000000"/>
                <w:lang w:eastAsia="zh-CN"/>
              </w:rPr>
              <w:t>221</w:t>
            </w:r>
          </w:p>
        </w:tc>
        <w:tc>
          <w:tcPr>
            <w:tcW w:w="2371" w:type="dxa"/>
          </w:tcPr>
          <w:p>
            <w:pPr>
              <w:pStyle w:val="18"/>
            </w:pPr>
            <w:r>
              <w:rPr>
                <w:color w:val="000000"/>
                <w:lang w:eastAsia="zh-CN"/>
              </w:rPr>
              <w:t>住房保障</w:t>
            </w:r>
            <w:r>
              <w:rPr>
                <w:rFonts w:hint="eastAsia"/>
                <w:color w:val="000000"/>
                <w:lang w:eastAsia="zh-CN"/>
              </w:rPr>
              <w:t>收入</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17</w:t>
            </w:r>
          </w:p>
        </w:tc>
        <w:tc>
          <w:tcPr>
            <w:tcW w:w="1123" w:type="dxa"/>
          </w:tcPr>
          <w:p>
            <w:pPr>
              <w:pStyle w:val="18"/>
            </w:pPr>
            <w:r>
              <w:rPr>
                <w:color w:val="000000"/>
                <w:lang w:eastAsia="zh-CN"/>
              </w:rPr>
              <w:t>22102</w:t>
            </w:r>
          </w:p>
        </w:tc>
        <w:tc>
          <w:tcPr>
            <w:tcW w:w="2371" w:type="dxa"/>
          </w:tcPr>
          <w:p>
            <w:pPr>
              <w:pStyle w:val="18"/>
            </w:pPr>
            <w:r>
              <w:rPr>
                <w:color w:val="000000"/>
                <w:lang w:eastAsia="zh-CN"/>
              </w:rPr>
              <w:t>住房改革</w:t>
            </w:r>
            <w:r>
              <w:rPr>
                <w:rFonts w:hint="eastAsia"/>
                <w:color w:val="000000"/>
                <w:lang w:eastAsia="zh-CN"/>
              </w:rPr>
              <w:t>收入</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color w:val="000000"/>
                <w:lang w:eastAsia="zh-CN"/>
              </w:rPr>
              <w:t>18</w:t>
            </w:r>
          </w:p>
        </w:tc>
        <w:tc>
          <w:tcPr>
            <w:tcW w:w="1123" w:type="dxa"/>
          </w:tcPr>
          <w:p>
            <w:pPr>
              <w:pStyle w:val="18"/>
              <w:rPr>
                <w:lang w:eastAsia="zh-CN"/>
              </w:rPr>
            </w:pPr>
            <w:r>
              <w:rPr>
                <w:color w:val="000000"/>
                <w:lang w:eastAsia="zh-CN"/>
              </w:rPr>
              <w:t>2210201</w:t>
            </w:r>
          </w:p>
        </w:tc>
        <w:tc>
          <w:tcPr>
            <w:tcW w:w="2371" w:type="dxa"/>
          </w:tcPr>
          <w:p>
            <w:pPr>
              <w:pStyle w:val="18"/>
            </w:pPr>
            <w:r>
              <w:rPr>
                <w:color w:val="000000"/>
                <w:lang w:eastAsia="zh-CN"/>
              </w:rPr>
              <w:t>住房公积金</w:t>
            </w:r>
          </w:p>
        </w:tc>
        <w:tc>
          <w:tcPr>
            <w:tcW w:w="945"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155"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080"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110" w:type="dxa"/>
            <w:vAlign w:val="center"/>
          </w:tcPr>
          <w:p>
            <w:pPr>
              <w:pStyle w:val="18"/>
            </w:pPr>
          </w:p>
        </w:tc>
        <w:tc>
          <w:tcPr>
            <w:tcW w:w="915" w:type="dxa"/>
            <w:vAlign w:val="center"/>
          </w:tcPr>
          <w:p>
            <w:pPr>
              <w:pStyle w:val="17"/>
            </w:pPr>
          </w:p>
        </w:tc>
        <w:tc>
          <w:tcPr>
            <w:tcW w:w="915" w:type="dxa"/>
            <w:vAlign w:val="center"/>
          </w:tcPr>
          <w:p>
            <w:pPr>
              <w:pStyle w:val="17"/>
            </w:pPr>
          </w:p>
        </w:tc>
        <w:tc>
          <w:tcPr>
            <w:tcW w:w="875"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bl>
    <w:p>
      <w:pPr>
        <w:sectPr>
          <w:footerReference r:id="rId3" w:type="default"/>
          <w:footerReference r:id="rId4" w:type="even"/>
          <w:pgSz w:w="16840" w:h="11900" w:orient="landscape"/>
          <w:pgMar w:top="1361" w:right="1020" w:bottom="1361" w:left="1020" w:header="720" w:footer="720" w:gutter="0"/>
          <w:cols w:space="0" w:num="1"/>
        </w:sectPr>
      </w:pPr>
    </w:p>
    <w:p>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06"/>
        <w:gridCol w:w="4322"/>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tblHeader/>
          <w:jc w:val="center"/>
        </w:trPr>
        <w:tc>
          <w:tcPr>
            <w:tcW w:w="850" w:type="dxa"/>
            <w:vMerge w:val="continue"/>
          </w:tcPr>
          <w:p/>
        </w:tc>
        <w:tc>
          <w:tcPr>
            <w:tcW w:w="1206" w:type="dxa"/>
            <w:vAlign w:val="center"/>
          </w:tcPr>
          <w:p>
            <w:pPr>
              <w:pStyle w:val="16"/>
            </w:pPr>
            <w:r>
              <w:t>科目    编码</w:t>
            </w:r>
          </w:p>
        </w:tc>
        <w:tc>
          <w:tcPr>
            <w:tcW w:w="4322"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pPr>
              <w:pStyle w:val="16"/>
            </w:pPr>
            <w:r>
              <w:t>栏次</w:t>
            </w:r>
          </w:p>
        </w:tc>
        <w:tc>
          <w:tcPr>
            <w:tcW w:w="1206" w:type="dxa"/>
            <w:vAlign w:val="center"/>
          </w:tcPr>
          <w:p>
            <w:pPr>
              <w:pStyle w:val="16"/>
            </w:pPr>
            <w:r>
              <w:t>1</w:t>
            </w:r>
          </w:p>
        </w:tc>
        <w:tc>
          <w:tcPr>
            <w:tcW w:w="4322"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color w:val="000000"/>
              </w:rPr>
              <w:t>1</w:t>
            </w:r>
          </w:p>
        </w:tc>
        <w:tc>
          <w:tcPr>
            <w:tcW w:w="1206" w:type="dxa"/>
            <w:vAlign w:val="center"/>
          </w:tcPr>
          <w:p>
            <w:pPr>
              <w:pStyle w:val="18"/>
              <w:rPr>
                <w:lang w:eastAsia="zh-CN"/>
              </w:rPr>
            </w:pPr>
          </w:p>
        </w:tc>
        <w:tc>
          <w:tcPr>
            <w:tcW w:w="4322" w:type="dxa"/>
            <w:vAlign w:val="center"/>
          </w:tcPr>
          <w:p>
            <w:pPr>
              <w:pStyle w:val="18"/>
              <w:rPr>
                <w:lang w:eastAsia="zh-CN"/>
              </w:rPr>
            </w:pPr>
            <w:r>
              <w:rPr>
                <w:color w:val="000000"/>
              </w:rPr>
              <w:t>合计</w:t>
            </w:r>
          </w:p>
        </w:tc>
        <w:tc>
          <w:tcPr>
            <w:tcW w:w="1361" w:type="dxa"/>
            <w:vAlign w:val="center"/>
          </w:tcPr>
          <w:p>
            <w:pPr>
              <w:pStyle w:val="18"/>
              <w:jc w:val="right"/>
              <w:rPr>
                <w:lang w:eastAsia="zh-CN"/>
              </w:rPr>
            </w:pPr>
            <w:r>
              <w:rPr>
                <w:rFonts w:hint="eastAsia"/>
                <w:color w:val="000000"/>
                <w:lang w:eastAsia="zh-CN"/>
              </w:rPr>
              <w:t>446.35</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368.77</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77.58</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color w:val="000000"/>
              </w:rPr>
              <w:t>2</w:t>
            </w:r>
          </w:p>
        </w:tc>
        <w:tc>
          <w:tcPr>
            <w:tcW w:w="1206" w:type="dxa"/>
          </w:tcPr>
          <w:p>
            <w:pPr>
              <w:pStyle w:val="18"/>
              <w:rPr>
                <w:lang w:eastAsia="zh-CN"/>
              </w:rPr>
            </w:pPr>
            <w:r>
              <w:rPr>
                <w:color w:val="000000"/>
                <w:lang w:eastAsia="zh-CN"/>
              </w:rPr>
              <w:t>201</w:t>
            </w:r>
          </w:p>
        </w:tc>
        <w:tc>
          <w:tcPr>
            <w:tcW w:w="4322" w:type="dxa"/>
          </w:tcPr>
          <w:p>
            <w:pPr>
              <w:pStyle w:val="18"/>
              <w:rPr>
                <w:lang w:eastAsia="zh-CN"/>
              </w:rPr>
            </w:pPr>
            <w:r>
              <w:rPr>
                <w:color w:val="000000"/>
                <w:lang w:eastAsia="zh-CN"/>
              </w:rPr>
              <w:t>一般公共服务</w:t>
            </w:r>
            <w:r>
              <w:rPr>
                <w:rFonts w:hint="eastAsia"/>
                <w:color w:val="000000"/>
                <w:lang w:eastAsia="zh-CN"/>
              </w:rPr>
              <w:t>收入</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334.85</w:t>
            </w:r>
          </w:p>
        </w:tc>
        <w:tc>
          <w:tcPr>
            <w:tcW w:w="136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257.27</w:t>
            </w:r>
          </w:p>
        </w:tc>
        <w:tc>
          <w:tcPr>
            <w:tcW w:w="136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77.58</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color w:val="000000"/>
              </w:rPr>
              <w:t>3</w:t>
            </w:r>
          </w:p>
        </w:tc>
        <w:tc>
          <w:tcPr>
            <w:tcW w:w="1206" w:type="dxa"/>
          </w:tcPr>
          <w:p>
            <w:pPr>
              <w:pStyle w:val="18"/>
              <w:rPr>
                <w:lang w:eastAsia="zh-CN"/>
              </w:rPr>
            </w:pPr>
            <w:r>
              <w:rPr>
                <w:color w:val="000000"/>
                <w:lang w:eastAsia="zh-CN"/>
              </w:rPr>
              <w:t>2010</w:t>
            </w:r>
            <w:r>
              <w:rPr>
                <w:rFonts w:hint="eastAsia"/>
                <w:color w:val="000000"/>
                <w:lang w:eastAsia="zh-CN"/>
              </w:rPr>
              <w:t>2</w:t>
            </w:r>
          </w:p>
        </w:tc>
        <w:tc>
          <w:tcPr>
            <w:tcW w:w="4322" w:type="dxa"/>
          </w:tcPr>
          <w:p>
            <w:pPr>
              <w:pStyle w:val="18"/>
              <w:rPr>
                <w:lang w:eastAsia="zh-CN"/>
              </w:rPr>
            </w:pPr>
            <w:r>
              <w:rPr>
                <w:rFonts w:hint="eastAsia"/>
                <w:color w:val="000000"/>
                <w:lang w:eastAsia="zh-CN"/>
              </w:rPr>
              <w:t>政协事务</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334.85</w:t>
            </w:r>
          </w:p>
        </w:tc>
        <w:tc>
          <w:tcPr>
            <w:tcW w:w="136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257.27</w:t>
            </w:r>
          </w:p>
        </w:tc>
        <w:tc>
          <w:tcPr>
            <w:tcW w:w="136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77.58</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rPr>
                <w:rFonts w:hint="eastAsia"/>
                <w:color w:val="000000"/>
                <w:lang w:eastAsia="zh-CN"/>
              </w:rPr>
              <w:t>4</w:t>
            </w:r>
          </w:p>
        </w:tc>
        <w:tc>
          <w:tcPr>
            <w:tcW w:w="1206" w:type="dxa"/>
          </w:tcPr>
          <w:p>
            <w:pPr>
              <w:pStyle w:val="18"/>
              <w:rPr>
                <w:lang w:eastAsia="zh-CN"/>
              </w:rPr>
            </w:pPr>
            <w:r>
              <w:rPr>
                <w:rFonts w:hint="eastAsia"/>
                <w:color w:val="000000"/>
                <w:lang w:eastAsia="zh-CN"/>
              </w:rPr>
              <w:t>2010201</w:t>
            </w:r>
          </w:p>
        </w:tc>
        <w:tc>
          <w:tcPr>
            <w:tcW w:w="4322" w:type="dxa"/>
          </w:tcPr>
          <w:p>
            <w:pPr>
              <w:pStyle w:val="18"/>
              <w:rPr>
                <w:lang w:eastAsia="zh-CN"/>
              </w:rPr>
            </w:pPr>
            <w:r>
              <w:rPr>
                <w:rFonts w:hint="eastAsia"/>
                <w:color w:val="000000"/>
                <w:lang w:eastAsia="zh-CN"/>
              </w:rPr>
              <w:t>行政运行</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257.27</w:t>
            </w:r>
          </w:p>
        </w:tc>
        <w:tc>
          <w:tcPr>
            <w:tcW w:w="136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257.27</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5</w:t>
            </w:r>
          </w:p>
        </w:tc>
        <w:tc>
          <w:tcPr>
            <w:tcW w:w="1206" w:type="dxa"/>
          </w:tcPr>
          <w:p>
            <w:pPr>
              <w:pStyle w:val="18"/>
              <w:rPr>
                <w:lang w:eastAsia="zh-CN"/>
              </w:rPr>
            </w:pPr>
            <w:r>
              <w:rPr>
                <w:rFonts w:hint="eastAsia"/>
                <w:color w:val="000000"/>
                <w:lang w:eastAsia="zh-CN"/>
              </w:rPr>
              <w:t>2010202</w:t>
            </w:r>
          </w:p>
        </w:tc>
        <w:tc>
          <w:tcPr>
            <w:tcW w:w="4322" w:type="dxa"/>
          </w:tcPr>
          <w:p>
            <w:pPr>
              <w:pStyle w:val="18"/>
              <w:rPr>
                <w:lang w:eastAsia="zh-CN"/>
              </w:rPr>
            </w:pPr>
            <w:r>
              <w:rPr>
                <w:rFonts w:hint="eastAsia"/>
                <w:color w:val="000000"/>
                <w:lang w:eastAsia="zh-CN"/>
              </w:rPr>
              <w:t>一般行政管理事务</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37.58</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37.58</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6</w:t>
            </w:r>
          </w:p>
        </w:tc>
        <w:tc>
          <w:tcPr>
            <w:tcW w:w="1206" w:type="dxa"/>
          </w:tcPr>
          <w:p>
            <w:pPr>
              <w:pStyle w:val="18"/>
              <w:rPr>
                <w:lang w:eastAsia="zh-CN"/>
              </w:rPr>
            </w:pPr>
            <w:r>
              <w:rPr>
                <w:rFonts w:hint="eastAsia"/>
                <w:color w:val="000000"/>
                <w:lang w:eastAsia="zh-CN"/>
              </w:rPr>
              <w:t>2010204</w:t>
            </w:r>
          </w:p>
        </w:tc>
        <w:tc>
          <w:tcPr>
            <w:tcW w:w="4322" w:type="dxa"/>
          </w:tcPr>
          <w:p>
            <w:pPr>
              <w:pStyle w:val="18"/>
              <w:rPr>
                <w:lang w:eastAsia="zh-CN"/>
              </w:rPr>
            </w:pPr>
            <w:r>
              <w:rPr>
                <w:rFonts w:hint="eastAsia"/>
                <w:color w:val="000000"/>
                <w:lang w:eastAsia="zh-CN"/>
              </w:rPr>
              <w:t>政协会议</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35</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7</w:t>
            </w:r>
          </w:p>
        </w:tc>
        <w:tc>
          <w:tcPr>
            <w:tcW w:w="1206" w:type="dxa"/>
          </w:tcPr>
          <w:p>
            <w:pPr>
              <w:pStyle w:val="18"/>
              <w:rPr>
                <w:lang w:eastAsia="zh-CN"/>
              </w:rPr>
            </w:pPr>
            <w:r>
              <w:rPr>
                <w:rFonts w:hint="eastAsia"/>
                <w:color w:val="000000"/>
                <w:lang w:eastAsia="zh-CN"/>
              </w:rPr>
              <w:t>2010205</w:t>
            </w:r>
          </w:p>
        </w:tc>
        <w:tc>
          <w:tcPr>
            <w:tcW w:w="4322" w:type="dxa"/>
          </w:tcPr>
          <w:p>
            <w:pPr>
              <w:pStyle w:val="18"/>
              <w:rPr>
                <w:lang w:eastAsia="zh-CN"/>
              </w:rPr>
            </w:pPr>
            <w:r>
              <w:rPr>
                <w:rFonts w:hint="eastAsia"/>
                <w:color w:val="000000"/>
                <w:lang w:eastAsia="zh-CN"/>
              </w:rPr>
              <w:t>委员视察</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w:t>
            </w: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8</w:t>
            </w:r>
          </w:p>
        </w:tc>
        <w:tc>
          <w:tcPr>
            <w:tcW w:w="1206" w:type="dxa"/>
          </w:tcPr>
          <w:p>
            <w:pPr>
              <w:pStyle w:val="18"/>
              <w:rPr>
                <w:lang w:eastAsia="zh-CN"/>
              </w:rPr>
            </w:pPr>
            <w:r>
              <w:rPr>
                <w:color w:val="000000"/>
                <w:lang w:eastAsia="zh-CN"/>
              </w:rPr>
              <w:t>208</w:t>
            </w:r>
          </w:p>
        </w:tc>
        <w:tc>
          <w:tcPr>
            <w:tcW w:w="4322" w:type="dxa"/>
          </w:tcPr>
          <w:p>
            <w:pPr>
              <w:pStyle w:val="18"/>
              <w:rPr>
                <w:lang w:eastAsia="zh-CN"/>
              </w:rPr>
            </w:pPr>
            <w:r>
              <w:rPr>
                <w:color w:val="000000"/>
                <w:lang w:eastAsia="zh-CN"/>
              </w:rPr>
              <w:t>社会保障和就业</w:t>
            </w:r>
            <w:r>
              <w:rPr>
                <w:rFonts w:hint="eastAsia"/>
                <w:color w:val="000000"/>
                <w:lang w:eastAsia="zh-CN"/>
              </w:rPr>
              <w:t>收入</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58.42</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58.42</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9</w:t>
            </w:r>
          </w:p>
        </w:tc>
        <w:tc>
          <w:tcPr>
            <w:tcW w:w="1206" w:type="dxa"/>
          </w:tcPr>
          <w:p>
            <w:pPr>
              <w:pStyle w:val="18"/>
              <w:rPr>
                <w:lang w:eastAsia="zh-CN"/>
              </w:rPr>
            </w:pPr>
            <w:r>
              <w:rPr>
                <w:color w:val="000000"/>
                <w:lang w:eastAsia="zh-CN"/>
              </w:rPr>
              <w:t>20805</w:t>
            </w:r>
          </w:p>
        </w:tc>
        <w:tc>
          <w:tcPr>
            <w:tcW w:w="4322" w:type="dxa"/>
          </w:tcPr>
          <w:p>
            <w:pPr>
              <w:pStyle w:val="18"/>
              <w:rPr>
                <w:lang w:eastAsia="zh-CN"/>
              </w:rPr>
            </w:pPr>
            <w:r>
              <w:rPr>
                <w:color w:val="000000"/>
                <w:lang w:eastAsia="zh-CN"/>
              </w:rPr>
              <w:t>行政事业单位养老</w:t>
            </w:r>
            <w:r>
              <w:rPr>
                <w:rFonts w:hint="eastAsia"/>
                <w:color w:val="000000"/>
                <w:lang w:eastAsia="zh-CN"/>
              </w:rPr>
              <w:t>收入</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58.42</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58.42</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10</w:t>
            </w:r>
          </w:p>
        </w:tc>
        <w:tc>
          <w:tcPr>
            <w:tcW w:w="1206" w:type="dxa"/>
          </w:tcPr>
          <w:p>
            <w:pPr>
              <w:pStyle w:val="18"/>
              <w:rPr>
                <w:lang w:eastAsia="zh-CN"/>
              </w:rPr>
            </w:pPr>
            <w:r>
              <w:rPr>
                <w:color w:val="000000"/>
                <w:lang w:eastAsia="zh-CN"/>
              </w:rPr>
              <w:t>2080501</w:t>
            </w:r>
          </w:p>
        </w:tc>
        <w:tc>
          <w:tcPr>
            <w:tcW w:w="4322" w:type="dxa"/>
          </w:tcPr>
          <w:p>
            <w:pPr>
              <w:pStyle w:val="18"/>
              <w:rPr>
                <w:lang w:eastAsia="zh-CN"/>
              </w:rPr>
            </w:pPr>
            <w:r>
              <w:rPr>
                <w:color w:val="000000"/>
                <w:lang w:eastAsia="zh-CN"/>
              </w:rPr>
              <w:t>行政单位离退休</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18.52</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18.52</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11</w:t>
            </w:r>
          </w:p>
        </w:tc>
        <w:tc>
          <w:tcPr>
            <w:tcW w:w="1206" w:type="dxa"/>
          </w:tcPr>
          <w:p>
            <w:pPr>
              <w:pStyle w:val="18"/>
              <w:rPr>
                <w:lang w:eastAsia="zh-CN"/>
              </w:rPr>
            </w:pPr>
            <w:r>
              <w:rPr>
                <w:color w:val="000000"/>
                <w:lang w:eastAsia="zh-CN"/>
              </w:rPr>
              <w:t>2080505</w:t>
            </w:r>
          </w:p>
        </w:tc>
        <w:tc>
          <w:tcPr>
            <w:tcW w:w="4322" w:type="dxa"/>
          </w:tcPr>
          <w:p>
            <w:pPr>
              <w:pStyle w:val="18"/>
              <w:rPr>
                <w:lang w:eastAsia="zh-CN"/>
              </w:rPr>
            </w:pPr>
            <w:r>
              <w:rPr>
                <w:color w:val="000000"/>
                <w:lang w:eastAsia="zh-CN"/>
              </w:rPr>
              <w:t>机关事业单位基本养老保险缴费</w:t>
            </w:r>
            <w:r>
              <w:rPr>
                <w:rFonts w:hint="eastAsia"/>
                <w:color w:val="000000"/>
                <w:lang w:eastAsia="zh-CN"/>
              </w:rPr>
              <w:t>收入</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39.90</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39.90</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12</w:t>
            </w:r>
          </w:p>
        </w:tc>
        <w:tc>
          <w:tcPr>
            <w:tcW w:w="1206" w:type="dxa"/>
          </w:tcPr>
          <w:p>
            <w:pPr>
              <w:pStyle w:val="18"/>
              <w:rPr>
                <w:lang w:eastAsia="zh-CN"/>
              </w:rPr>
            </w:pPr>
            <w:r>
              <w:rPr>
                <w:color w:val="000000"/>
                <w:lang w:eastAsia="zh-CN"/>
              </w:rPr>
              <w:t>210</w:t>
            </w:r>
          </w:p>
        </w:tc>
        <w:tc>
          <w:tcPr>
            <w:tcW w:w="4322" w:type="dxa"/>
          </w:tcPr>
          <w:p>
            <w:pPr>
              <w:pStyle w:val="18"/>
              <w:rPr>
                <w:lang w:eastAsia="zh-CN"/>
              </w:rPr>
            </w:pPr>
            <w:r>
              <w:rPr>
                <w:color w:val="000000"/>
                <w:lang w:eastAsia="zh-CN"/>
              </w:rPr>
              <w:t>卫生健康</w:t>
            </w:r>
            <w:r>
              <w:rPr>
                <w:rFonts w:hint="eastAsia"/>
                <w:color w:val="000000"/>
                <w:lang w:eastAsia="zh-CN"/>
              </w:rPr>
              <w:t>收入</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23.15</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pPr>
              <w:pStyle w:val="19"/>
              <w:rPr>
                <w:lang w:eastAsia="zh-CN"/>
              </w:rPr>
            </w:pPr>
            <w:r>
              <w:rPr>
                <w:rFonts w:hint="eastAsia"/>
                <w:color w:val="000000"/>
                <w:lang w:eastAsia="zh-CN"/>
              </w:rPr>
              <w:t>13</w:t>
            </w:r>
          </w:p>
        </w:tc>
        <w:tc>
          <w:tcPr>
            <w:tcW w:w="1206" w:type="dxa"/>
          </w:tcPr>
          <w:p>
            <w:pPr>
              <w:pStyle w:val="18"/>
              <w:rPr>
                <w:lang w:eastAsia="zh-CN"/>
              </w:rPr>
            </w:pPr>
            <w:r>
              <w:rPr>
                <w:color w:val="000000"/>
                <w:lang w:eastAsia="zh-CN"/>
              </w:rPr>
              <w:t>21011</w:t>
            </w:r>
          </w:p>
        </w:tc>
        <w:tc>
          <w:tcPr>
            <w:tcW w:w="4322" w:type="dxa"/>
          </w:tcPr>
          <w:p>
            <w:pPr>
              <w:pStyle w:val="18"/>
              <w:rPr>
                <w:lang w:eastAsia="zh-CN"/>
              </w:rPr>
            </w:pPr>
            <w:r>
              <w:rPr>
                <w:color w:val="000000"/>
                <w:lang w:eastAsia="zh-CN"/>
              </w:rPr>
              <w:t>行政事业单位医疗</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23.15</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14</w:t>
            </w:r>
          </w:p>
        </w:tc>
        <w:tc>
          <w:tcPr>
            <w:tcW w:w="1206" w:type="dxa"/>
          </w:tcPr>
          <w:p>
            <w:pPr>
              <w:pStyle w:val="18"/>
              <w:rPr>
                <w:lang w:eastAsia="zh-CN"/>
              </w:rPr>
            </w:pPr>
            <w:r>
              <w:rPr>
                <w:color w:val="000000"/>
                <w:lang w:eastAsia="zh-CN"/>
              </w:rPr>
              <w:t>2101101</w:t>
            </w:r>
          </w:p>
        </w:tc>
        <w:tc>
          <w:tcPr>
            <w:tcW w:w="4322" w:type="dxa"/>
          </w:tcPr>
          <w:p>
            <w:pPr>
              <w:pStyle w:val="18"/>
              <w:rPr>
                <w:lang w:eastAsia="zh-CN"/>
              </w:rPr>
            </w:pPr>
            <w:r>
              <w:rPr>
                <w:color w:val="000000"/>
                <w:lang w:eastAsia="zh-CN"/>
              </w:rPr>
              <w:t>行政单位医疗</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15.96</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15.96</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15</w:t>
            </w:r>
          </w:p>
        </w:tc>
        <w:tc>
          <w:tcPr>
            <w:tcW w:w="1206" w:type="dxa"/>
          </w:tcPr>
          <w:p>
            <w:pPr>
              <w:pStyle w:val="18"/>
              <w:rPr>
                <w:lang w:eastAsia="zh-CN"/>
              </w:rPr>
            </w:pPr>
            <w:r>
              <w:rPr>
                <w:rFonts w:hint="eastAsia"/>
                <w:color w:val="000000"/>
                <w:lang w:eastAsia="zh-CN"/>
              </w:rPr>
              <w:t>2101103</w:t>
            </w:r>
          </w:p>
        </w:tc>
        <w:tc>
          <w:tcPr>
            <w:tcW w:w="4322" w:type="dxa"/>
          </w:tcPr>
          <w:p>
            <w:pPr>
              <w:pStyle w:val="18"/>
              <w:rPr>
                <w:lang w:eastAsia="zh-CN"/>
              </w:rPr>
            </w:pPr>
            <w:r>
              <w:rPr>
                <w:rFonts w:hint="eastAsia"/>
                <w:color w:val="000000"/>
                <w:lang w:eastAsia="zh-CN"/>
              </w:rPr>
              <w:t>公务员医疗补助</w:t>
            </w:r>
          </w:p>
        </w:tc>
        <w:tc>
          <w:tcPr>
            <w:tcW w:w="136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7.19</w:t>
            </w:r>
          </w:p>
        </w:tc>
        <w:tc>
          <w:tcPr>
            <w:tcW w:w="136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7.19</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16</w:t>
            </w:r>
          </w:p>
        </w:tc>
        <w:tc>
          <w:tcPr>
            <w:tcW w:w="1206" w:type="dxa"/>
          </w:tcPr>
          <w:p>
            <w:pPr>
              <w:pStyle w:val="18"/>
              <w:rPr>
                <w:lang w:eastAsia="zh-CN"/>
              </w:rPr>
            </w:pPr>
            <w:r>
              <w:rPr>
                <w:color w:val="000000"/>
                <w:lang w:eastAsia="zh-CN"/>
              </w:rPr>
              <w:t>221</w:t>
            </w:r>
          </w:p>
        </w:tc>
        <w:tc>
          <w:tcPr>
            <w:tcW w:w="4322" w:type="dxa"/>
          </w:tcPr>
          <w:p>
            <w:pPr>
              <w:pStyle w:val="18"/>
              <w:rPr>
                <w:lang w:eastAsia="zh-CN"/>
              </w:rPr>
            </w:pPr>
            <w:r>
              <w:rPr>
                <w:color w:val="000000"/>
                <w:lang w:eastAsia="zh-CN"/>
              </w:rPr>
              <w:t>住房保障</w:t>
            </w:r>
            <w:r>
              <w:rPr>
                <w:rFonts w:hint="eastAsia"/>
                <w:color w:val="000000"/>
                <w:lang w:eastAsia="zh-CN"/>
              </w:rPr>
              <w:t>收入</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29.93</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17</w:t>
            </w:r>
          </w:p>
        </w:tc>
        <w:tc>
          <w:tcPr>
            <w:tcW w:w="1206" w:type="dxa"/>
          </w:tcPr>
          <w:p>
            <w:pPr>
              <w:pStyle w:val="18"/>
              <w:rPr>
                <w:lang w:eastAsia="zh-CN"/>
              </w:rPr>
            </w:pPr>
            <w:r>
              <w:rPr>
                <w:color w:val="000000"/>
                <w:lang w:eastAsia="zh-CN"/>
              </w:rPr>
              <w:t>22102</w:t>
            </w:r>
          </w:p>
        </w:tc>
        <w:tc>
          <w:tcPr>
            <w:tcW w:w="4322" w:type="dxa"/>
          </w:tcPr>
          <w:p>
            <w:pPr>
              <w:pStyle w:val="18"/>
              <w:rPr>
                <w:lang w:eastAsia="zh-CN"/>
              </w:rPr>
            </w:pPr>
            <w:r>
              <w:rPr>
                <w:color w:val="000000"/>
                <w:lang w:eastAsia="zh-CN"/>
              </w:rPr>
              <w:t>住房改革</w:t>
            </w:r>
            <w:r>
              <w:rPr>
                <w:rFonts w:hint="eastAsia"/>
                <w:color w:val="000000"/>
                <w:lang w:eastAsia="zh-CN"/>
              </w:rPr>
              <w:t>收入</w:t>
            </w:r>
          </w:p>
        </w:tc>
        <w:tc>
          <w:tcPr>
            <w:tcW w:w="1361"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29.93</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18</w:t>
            </w:r>
          </w:p>
        </w:tc>
        <w:tc>
          <w:tcPr>
            <w:tcW w:w="1206" w:type="dxa"/>
          </w:tcPr>
          <w:p>
            <w:pPr>
              <w:pStyle w:val="18"/>
              <w:rPr>
                <w:lang w:eastAsia="zh-CN"/>
              </w:rPr>
            </w:pPr>
            <w:r>
              <w:rPr>
                <w:color w:val="000000"/>
                <w:lang w:eastAsia="zh-CN"/>
              </w:rPr>
              <w:t>2210201</w:t>
            </w:r>
          </w:p>
        </w:tc>
        <w:tc>
          <w:tcPr>
            <w:tcW w:w="4322" w:type="dxa"/>
          </w:tcPr>
          <w:p>
            <w:pPr>
              <w:pStyle w:val="18"/>
              <w:rPr>
                <w:lang w:eastAsia="zh-CN"/>
              </w:rPr>
            </w:pPr>
            <w:r>
              <w:rPr>
                <w:color w:val="000000"/>
                <w:lang w:eastAsia="zh-CN"/>
              </w:rPr>
              <w:t>住房公积金</w:t>
            </w:r>
          </w:p>
        </w:tc>
        <w:tc>
          <w:tcPr>
            <w:tcW w:w="1361" w:type="dxa"/>
          </w:tcPr>
          <w:p>
            <w:pPr>
              <w:jc w:val="right"/>
              <w:textAlignment w:val="top"/>
            </w:pPr>
            <w:r>
              <w:rPr>
                <w:rFonts w:hint="eastAsia" w:ascii="方正书宋_GBK" w:hAnsi="方正书宋_GBK" w:eastAsia="方正书宋_GBK" w:cs="方正书宋_GBK"/>
                <w:color w:val="000000"/>
                <w:sz w:val="21"/>
                <w:lang w:eastAsia="zh-CN"/>
              </w:rPr>
              <w:t>29.93</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29.93</w:t>
            </w:r>
          </w:p>
        </w:tc>
        <w:tc>
          <w:tcPr>
            <w:tcW w:w="1361" w:type="dxa"/>
          </w:tcPr>
          <w:p>
            <w:pPr>
              <w:jc w:val="right"/>
              <w:textAlignment w:val="top"/>
              <w:rPr>
                <w:rFonts w:ascii="方正书宋_GBK" w:hAnsi="方正书宋_GBK" w:eastAsia="方正书宋_GBK" w:cs="方正书宋_GBK"/>
                <w:sz w:val="21"/>
                <w:lang w:eastAsia="zh-CN"/>
              </w:rPr>
            </w:pP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bl>
    <w:p>
      <w:pPr>
        <w:sectPr>
          <w:pgSz w:w="16840" w:h="11900" w:orient="landscape"/>
          <w:pgMar w:top="1361" w:right="1020" w:bottom="1361" w:left="1020" w:header="720" w:footer="720" w:gutter="0"/>
          <w:cols w:space="0" w:num="1"/>
        </w:sectPr>
      </w:pPr>
    </w:p>
    <w:p>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3402"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3402" w:type="dxa"/>
            <w:vAlign w:val="center"/>
          </w:tcPr>
          <w:p>
            <w:pPr>
              <w:pStyle w:val="18"/>
            </w:pPr>
            <w:r>
              <w:t>一、一般公共预算拨款</w:t>
            </w:r>
          </w:p>
        </w:tc>
        <w:tc>
          <w:tcPr>
            <w:tcW w:w="1474" w:type="dxa"/>
            <w:vAlign w:val="center"/>
          </w:tcPr>
          <w:p>
            <w:pPr>
              <w:pStyle w:val="17"/>
            </w:pPr>
            <w:r>
              <w:rPr>
                <w:rFonts w:hint="eastAsia"/>
                <w:lang w:eastAsia="zh-CN"/>
              </w:rPr>
              <w:t>446.35</w:t>
            </w:r>
          </w:p>
        </w:tc>
        <w:tc>
          <w:tcPr>
            <w:tcW w:w="3402" w:type="dxa"/>
            <w:vAlign w:val="center"/>
          </w:tcPr>
          <w:p>
            <w:pPr>
              <w:pStyle w:val="18"/>
              <w:rPr>
                <w:lang w:eastAsia="zh-CN"/>
              </w:rPr>
            </w:pPr>
            <w:r>
              <w:rPr>
                <w:lang w:eastAsia="zh-CN"/>
              </w:rPr>
              <w:t>一、一般公共服务支出</w:t>
            </w:r>
          </w:p>
        </w:tc>
        <w:tc>
          <w:tcPr>
            <w:tcW w:w="1474" w:type="dxa"/>
            <w:vAlign w:val="center"/>
          </w:tcPr>
          <w:p>
            <w:pPr>
              <w:pStyle w:val="17"/>
              <w:rPr>
                <w:lang w:eastAsia="zh-CN"/>
              </w:rPr>
            </w:pPr>
            <w:r>
              <w:rPr>
                <w:rFonts w:hint="eastAsia"/>
                <w:lang w:eastAsia="zh-CN"/>
              </w:rPr>
              <w:t>334.85</w:t>
            </w:r>
          </w:p>
        </w:tc>
        <w:tc>
          <w:tcPr>
            <w:tcW w:w="1474" w:type="dxa"/>
            <w:vAlign w:val="center"/>
          </w:tcPr>
          <w:p>
            <w:pPr>
              <w:pStyle w:val="17"/>
              <w:rPr>
                <w:lang w:eastAsia="zh-CN"/>
              </w:rPr>
            </w:pPr>
            <w:r>
              <w:rPr>
                <w:rFonts w:hint="eastAsia"/>
                <w:lang w:eastAsia="zh-CN"/>
              </w:rPr>
              <w:t>334.85</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二、政府性基金预算拨款</w:t>
            </w: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二、外交支出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三、国有资本经营预算拨款</w:t>
            </w: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三、国防支出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四、公共安全支出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五、教育支出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六、科学技术支出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七、文化旅游体育与传媒支出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八、社会保障和就业支出</w:t>
            </w:r>
          </w:p>
        </w:tc>
        <w:tc>
          <w:tcPr>
            <w:tcW w:w="1474" w:type="dxa"/>
            <w:vAlign w:val="center"/>
          </w:tcPr>
          <w:p>
            <w:pPr>
              <w:pStyle w:val="17"/>
              <w:rPr>
                <w:lang w:eastAsia="zh-CN"/>
              </w:rPr>
            </w:pPr>
            <w:r>
              <w:rPr>
                <w:rFonts w:hint="eastAsia"/>
                <w:lang w:eastAsia="zh-CN"/>
              </w:rPr>
              <w:t>58.42</w:t>
            </w:r>
          </w:p>
        </w:tc>
        <w:tc>
          <w:tcPr>
            <w:tcW w:w="1474" w:type="dxa"/>
            <w:vAlign w:val="center"/>
          </w:tcPr>
          <w:p>
            <w:pPr>
              <w:pStyle w:val="17"/>
              <w:rPr>
                <w:lang w:eastAsia="zh-CN"/>
              </w:rPr>
            </w:pPr>
            <w:r>
              <w:rPr>
                <w:rFonts w:hint="eastAsia"/>
                <w:lang w:eastAsia="zh-CN"/>
              </w:rPr>
              <w:t>58.42</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九、社会保险基金支出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十、卫生健康支出</w:t>
            </w:r>
          </w:p>
        </w:tc>
        <w:tc>
          <w:tcPr>
            <w:tcW w:w="1474" w:type="dxa"/>
            <w:vAlign w:val="center"/>
          </w:tcPr>
          <w:p>
            <w:pPr>
              <w:pStyle w:val="17"/>
              <w:rPr>
                <w:lang w:eastAsia="zh-CN"/>
              </w:rPr>
            </w:pPr>
            <w:r>
              <w:rPr>
                <w:rFonts w:hint="eastAsia"/>
                <w:lang w:eastAsia="zh-CN"/>
              </w:rPr>
              <w:t>23.15</w:t>
            </w:r>
          </w:p>
        </w:tc>
        <w:tc>
          <w:tcPr>
            <w:tcW w:w="1474" w:type="dxa"/>
            <w:vAlign w:val="center"/>
          </w:tcPr>
          <w:p>
            <w:pPr>
              <w:pStyle w:val="17"/>
              <w:rPr>
                <w:lang w:eastAsia="zh-CN"/>
              </w:rPr>
            </w:pPr>
            <w:r>
              <w:rPr>
                <w:rFonts w:hint="eastAsia"/>
                <w:lang w:eastAsia="zh-CN"/>
              </w:rPr>
              <w:t>23.15</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十一、节能环保支出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十二、城乡社区支出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十三、农林水支出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十四、交通运输支出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十五、资源勘探工业信息等支出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十六、商业服务业等支出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十七、金融支出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十八、援助其他地区支出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十九、自然资源海洋气象等支出</w:t>
            </w:r>
          </w:p>
        </w:tc>
        <w:tc>
          <w:tcPr>
            <w:tcW w:w="1474" w:type="dxa"/>
            <w:vAlign w:val="center"/>
          </w:tcPr>
          <w:p>
            <w:pPr>
              <w:pStyle w:val="17"/>
              <w:rPr>
                <w:lang w:eastAsia="zh-CN"/>
              </w:rPr>
            </w:pPr>
          </w:p>
        </w:tc>
        <w:tc>
          <w:tcPr>
            <w:tcW w:w="1474" w:type="dxa"/>
            <w:vAlign w:val="center"/>
          </w:tcPr>
          <w:p>
            <w:pPr>
              <w:pStyle w:val="17"/>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二十、住房保障支出</w:t>
            </w:r>
          </w:p>
        </w:tc>
        <w:tc>
          <w:tcPr>
            <w:tcW w:w="1474" w:type="dxa"/>
            <w:vAlign w:val="center"/>
          </w:tcPr>
          <w:p>
            <w:pPr>
              <w:pStyle w:val="17"/>
              <w:rPr>
                <w:lang w:eastAsia="zh-CN"/>
              </w:rPr>
            </w:pPr>
            <w:r>
              <w:rPr>
                <w:rFonts w:hint="eastAsia"/>
                <w:lang w:eastAsia="zh-CN"/>
              </w:rPr>
              <w:t>29.93</w:t>
            </w:r>
          </w:p>
        </w:tc>
        <w:tc>
          <w:tcPr>
            <w:tcW w:w="1474" w:type="dxa"/>
            <w:vAlign w:val="center"/>
          </w:tcPr>
          <w:p>
            <w:pPr>
              <w:pStyle w:val="17"/>
              <w:rPr>
                <w:lang w:eastAsia="zh-CN"/>
              </w:rPr>
            </w:pPr>
            <w:r>
              <w:rPr>
                <w:rFonts w:hint="eastAsia"/>
                <w:lang w:eastAsia="zh-CN"/>
              </w:rPr>
              <w:t>29.93</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21"/>
              <w:rPr>
                <w:lang w:eastAsia="zh-CN"/>
              </w:rPr>
            </w:pPr>
          </w:p>
        </w:tc>
        <w:tc>
          <w:tcPr>
            <w:tcW w:w="3402" w:type="dxa"/>
            <w:vAlign w:val="center"/>
          </w:tcPr>
          <w:p>
            <w:pPr>
              <w:pStyle w:val="18"/>
              <w:rPr>
                <w:lang w:eastAsia="zh-CN"/>
              </w:rPr>
            </w:pPr>
            <w:r>
              <w:rPr>
                <w:lang w:eastAsia="zh-CN"/>
              </w:rPr>
              <w:t>二十一、粮油物资储备支出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21"/>
              <w:rPr>
                <w:lang w:eastAsia="zh-CN"/>
              </w:rPr>
            </w:pPr>
          </w:p>
        </w:tc>
        <w:tc>
          <w:tcPr>
            <w:tcW w:w="3402" w:type="dxa"/>
            <w:vAlign w:val="center"/>
          </w:tcPr>
          <w:p>
            <w:pPr>
              <w:pStyle w:val="18"/>
              <w:rPr>
                <w:lang w:eastAsia="zh-CN"/>
              </w:rPr>
            </w:pPr>
            <w:r>
              <w:rPr>
                <w:lang w:eastAsia="zh-CN"/>
              </w:rPr>
              <w:t>二十二、国有资本经营预算支出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21"/>
              <w:rPr>
                <w:lang w:eastAsia="zh-CN"/>
              </w:rPr>
            </w:pPr>
          </w:p>
        </w:tc>
        <w:tc>
          <w:tcPr>
            <w:tcW w:w="3402" w:type="dxa"/>
            <w:vAlign w:val="center"/>
          </w:tcPr>
          <w:p>
            <w:pPr>
              <w:pStyle w:val="18"/>
              <w:rPr>
                <w:lang w:eastAsia="zh-CN"/>
              </w:rPr>
            </w:pPr>
            <w:r>
              <w:rPr>
                <w:lang w:eastAsia="zh-CN"/>
              </w:rPr>
              <w:t>二十三、灾害防治及应急管理支出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二十四、预备费</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二十五、其他支出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二十六、转移性支出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二十七、债务还本支出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二十八、债务付息支出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二十九、债务发行费用支出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7"/>
              <w:rPr>
                <w:lang w:eastAsia="zh-CN"/>
              </w:rPr>
            </w:pPr>
          </w:p>
        </w:tc>
        <w:tc>
          <w:tcPr>
            <w:tcW w:w="3402" w:type="dxa"/>
            <w:vAlign w:val="center"/>
          </w:tcPr>
          <w:p>
            <w:pPr>
              <w:pStyle w:val="18"/>
              <w:rPr>
                <w:lang w:eastAsia="zh-CN"/>
              </w:rPr>
            </w:pPr>
            <w:r>
              <w:rPr>
                <w:lang w:eastAsia="zh-CN"/>
              </w:rPr>
              <w:t>三十、抗疫特别国债安排的支出</w:t>
            </w:r>
          </w:p>
        </w:tc>
        <w:tc>
          <w:tcPr>
            <w:tcW w:w="1474" w:type="dxa"/>
            <w:vAlign w:val="center"/>
          </w:tcPr>
          <w:p>
            <w:pPr>
              <w:pStyle w:val="18"/>
              <w:jc w:val="right"/>
              <w:rPr>
                <w:lang w:eastAsia="zh-CN"/>
              </w:rPr>
            </w:pPr>
          </w:p>
        </w:tc>
        <w:tc>
          <w:tcPr>
            <w:tcW w:w="1474" w:type="dxa"/>
            <w:vAlign w:val="center"/>
          </w:tcPr>
          <w:p>
            <w:pPr>
              <w:pStyle w:val="18"/>
              <w:jc w:val="right"/>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31</w:t>
            </w:r>
          </w:p>
        </w:tc>
        <w:tc>
          <w:tcPr>
            <w:tcW w:w="3402" w:type="dxa"/>
            <w:vAlign w:val="center"/>
          </w:tcPr>
          <w:p>
            <w:pPr>
              <w:pStyle w:val="20"/>
            </w:pPr>
            <w:r>
              <w:t>本年收入合计</w:t>
            </w:r>
          </w:p>
        </w:tc>
        <w:tc>
          <w:tcPr>
            <w:tcW w:w="1474" w:type="dxa"/>
            <w:vAlign w:val="center"/>
          </w:tcPr>
          <w:p>
            <w:pPr>
              <w:pStyle w:val="21"/>
              <w:rPr>
                <w:lang w:eastAsia="zh-CN"/>
              </w:rPr>
            </w:pPr>
            <w:r>
              <w:rPr>
                <w:rFonts w:hint="eastAsia"/>
                <w:lang w:eastAsia="zh-CN"/>
              </w:rPr>
              <w:t>446.35</w:t>
            </w:r>
          </w:p>
        </w:tc>
        <w:tc>
          <w:tcPr>
            <w:tcW w:w="3402" w:type="dxa"/>
            <w:vAlign w:val="center"/>
          </w:tcPr>
          <w:p>
            <w:pPr>
              <w:pStyle w:val="18"/>
              <w:rPr>
                <w:lang w:eastAsia="zh-CN"/>
              </w:rPr>
            </w:pPr>
            <w:r>
              <w:rPr>
                <w:lang w:eastAsia="zh-CN"/>
              </w:rPr>
              <w:t>本年支出合计</w:t>
            </w:r>
          </w:p>
        </w:tc>
        <w:tc>
          <w:tcPr>
            <w:tcW w:w="1474" w:type="dxa"/>
            <w:vAlign w:val="center"/>
          </w:tcPr>
          <w:p>
            <w:pPr>
              <w:jc w:val="right"/>
              <w:rPr>
                <w:lang w:eastAsia="zh-CN"/>
              </w:rPr>
            </w:pPr>
            <w:r>
              <w:rPr>
                <w:rFonts w:hint="eastAsia"/>
                <w:lang w:eastAsia="zh-CN"/>
              </w:rPr>
              <w:t>446.35</w:t>
            </w:r>
          </w:p>
        </w:tc>
        <w:tc>
          <w:tcPr>
            <w:tcW w:w="1474" w:type="dxa"/>
            <w:vAlign w:val="center"/>
          </w:tcPr>
          <w:p>
            <w:pPr>
              <w:jc w:val="right"/>
              <w:rPr>
                <w:lang w:eastAsia="zh-CN"/>
              </w:rPr>
            </w:pPr>
            <w:r>
              <w:rPr>
                <w:rFonts w:hint="eastAsia"/>
                <w:lang w:eastAsia="zh-CN"/>
              </w:rPr>
              <w:t>446.35</w:t>
            </w:r>
          </w:p>
        </w:tc>
        <w:tc>
          <w:tcPr>
            <w:tcW w:w="1474" w:type="dxa"/>
            <w:vAlign w:val="center"/>
          </w:tcPr>
          <w:p>
            <w:pPr>
              <w:jc w:val="right"/>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32</w:t>
            </w:r>
          </w:p>
        </w:tc>
        <w:tc>
          <w:tcPr>
            <w:tcW w:w="3402" w:type="dxa"/>
            <w:vAlign w:val="center"/>
          </w:tcPr>
          <w:p>
            <w:pPr>
              <w:pStyle w:val="18"/>
            </w:pPr>
            <w:r>
              <w:t>年初财政拨款结转和结余</w:t>
            </w:r>
          </w:p>
        </w:tc>
        <w:tc>
          <w:tcPr>
            <w:tcW w:w="1474" w:type="dxa"/>
            <w:vAlign w:val="center"/>
          </w:tcPr>
          <w:p>
            <w:pPr>
              <w:pStyle w:val="21"/>
              <w:rPr>
                <w:lang w:eastAsia="zh-CN"/>
              </w:rPr>
            </w:pPr>
          </w:p>
        </w:tc>
        <w:tc>
          <w:tcPr>
            <w:tcW w:w="3402" w:type="dxa"/>
            <w:vAlign w:val="center"/>
          </w:tcPr>
          <w:p>
            <w:pPr>
              <w:pStyle w:val="18"/>
              <w:rPr>
                <w:lang w:eastAsia="zh-CN"/>
              </w:rPr>
            </w:pPr>
            <w:r>
              <w:rPr>
                <w:lang w:eastAsia="zh-CN"/>
              </w:rPr>
              <w:t>年末财政拨款结转和结余</w:t>
            </w: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33</w:t>
            </w:r>
          </w:p>
        </w:tc>
        <w:tc>
          <w:tcPr>
            <w:tcW w:w="3402" w:type="dxa"/>
            <w:vAlign w:val="center"/>
          </w:tcPr>
          <w:p>
            <w:pPr>
              <w:pStyle w:val="18"/>
            </w:pPr>
            <w:r>
              <w:t>一、一般公共预算拨款</w:t>
            </w:r>
          </w:p>
        </w:tc>
        <w:tc>
          <w:tcPr>
            <w:tcW w:w="1474" w:type="dxa"/>
            <w:vAlign w:val="center"/>
          </w:tcPr>
          <w:p>
            <w:pPr>
              <w:pStyle w:val="21"/>
              <w:rPr>
                <w:lang w:eastAsia="zh-CN"/>
              </w:rPr>
            </w:pPr>
            <w:r>
              <w:rPr>
                <w:rFonts w:hint="eastAsia"/>
                <w:lang w:eastAsia="zh-CN"/>
              </w:rPr>
              <w:t>446.35</w:t>
            </w: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7"/>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pPr>
            <w:r>
              <w:rPr>
                <w:rFonts w:hint="eastAsia"/>
                <w:lang w:eastAsia="zh-CN"/>
              </w:rPr>
              <w:t>446.35</w:t>
            </w:r>
          </w:p>
        </w:tc>
        <w:tc>
          <w:tcPr>
            <w:tcW w:w="3402" w:type="dxa"/>
            <w:vAlign w:val="center"/>
          </w:tcPr>
          <w:p>
            <w:pPr>
              <w:pStyle w:val="20"/>
            </w:pPr>
            <w:r>
              <w:t>支出总计</w:t>
            </w:r>
          </w:p>
        </w:tc>
        <w:tc>
          <w:tcPr>
            <w:tcW w:w="1474" w:type="dxa"/>
            <w:vAlign w:val="center"/>
          </w:tcPr>
          <w:p>
            <w:pPr>
              <w:jc w:val="right"/>
              <w:rPr>
                <w:rFonts w:ascii="方正书宋_GBK" w:hAnsi="方正书宋_GBK" w:eastAsia="方正书宋_GBK" w:cs="方正书宋_GBK"/>
                <w:b/>
                <w:bCs/>
                <w:sz w:val="21"/>
                <w:lang w:eastAsia="zh-CN"/>
              </w:rPr>
            </w:pPr>
            <w:r>
              <w:rPr>
                <w:rFonts w:hint="eastAsia"/>
                <w:b/>
                <w:bCs/>
                <w:lang w:eastAsia="zh-CN"/>
              </w:rPr>
              <w:t>446.35</w:t>
            </w:r>
          </w:p>
        </w:tc>
        <w:tc>
          <w:tcPr>
            <w:tcW w:w="1474" w:type="dxa"/>
            <w:vAlign w:val="center"/>
          </w:tcPr>
          <w:p>
            <w:pPr>
              <w:jc w:val="right"/>
              <w:rPr>
                <w:rFonts w:ascii="方正书宋_GBK" w:hAnsi="方正书宋_GBK" w:eastAsia="方正书宋_GBK" w:cs="方正书宋_GBK"/>
                <w:b/>
                <w:bCs/>
                <w:sz w:val="21"/>
                <w:lang w:eastAsia="zh-CN"/>
              </w:rPr>
            </w:pPr>
            <w:r>
              <w:rPr>
                <w:rFonts w:hint="eastAsia"/>
                <w:b/>
                <w:bCs/>
                <w:lang w:eastAsia="zh-CN"/>
              </w:rPr>
              <w:t>446.35</w:t>
            </w:r>
          </w:p>
        </w:tc>
        <w:tc>
          <w:tcPr>
            <w:tcW w:w="1474" w:type="dxa"/>
            <w:vAlign w:val="center"/>
          </w:tcPr>
          <w:p>
            <w:pPr>
              <w:pStyle w:val="21"/>
            </w:pPr>
          </w:p>
        </w:tc>
        <w:tc>
          <w:tcPr>
            <w:tcW w:w="1474" w:type="dxa"/>
            <w:vAlign w:val="center"/>
          </w:tcPr>
          <w:p>
            <w:pPr>
              <w:pStyle w:val="21"/>
            </w:pPr>
          </w:p>
        </w:tc>
      </w:tr>
    </w:tbl>
    <w:p>
      <w:pPr>
        <w:rPr>
          <w:b/>
          <w:bCs/>
        </w:rPr>
        <w:sectPr>
          <w:pgSz w:w="16840" w:h="11900" w:orient="landscape"/>
          <w:pgMar w:top="1361" w:right="1020" w:bottom="1361" w:left="1020" w:header="720" w:footer="720" w:gutter="0"/>
          <w:cols w:space="0" w:num="1"/>
        </w:sectPr>
      </w:pPr>
    </w:p>
    <w:p>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color w:val="000000"/>
              </w:rPr>
              <w:t>1</w:t>
            </w:r>
          </w:p>
        </w:tc>
        <w:tc>
          <w:tcPr>
            <w:tcW w:w="1191" w:type="dxa"/>
            <w:vAlign w:val="center"/>
          </w:tcPr>
          <w:p>
            <w:pPr>
              <w:pStyle w:val="18"/>
              <w:rPr>
                <w:lang w:eastAsia="zh-CN"/>
              </w:rPr>
            </w:pPr>
          </w:p>
        </w:tc>
        <w:tc>
          <w:tcPr>
            <w:tcW w:w="4535" w:type="dxa"/>
            <w:vAlign w:val="center"/>
          </w:tcPr>
          <w:p>
            <w:pPr>
              <w:pStyle w:val="18"/>
              <w:rPr>
                <w:lang w:eastAsia="zh-CN"/>
              </w:rPr>
            </w:pPr>
            <w:r>
              <w:rPr>
                <w:color w:val="000000"/>
              </w:rPr>
              <w:t>合计</w:t>
            </w:r>
          </w:p>
        </w:tc>
        <w:tc>
          <w:tcPr>
            <w:tcW w:w="2551" w:type="dxa"/>
            <w:vAlign w:val="center"/>
          </w:tcPr>
          <w:p>
            <w:pPr>
              <w:pStyle w:val="18"/>
              <w:jc w:val="right"/>
              <w:rPr>
                <w:lang w:eastAsia="zh-CN"/>
              </w:rPr>
            </w:pPr>
            <w:r>
              <w:rPr>
                <w:rFonts w:hint="eastAsia"/>
                <w:color w:val="000000"/>
                <w:lang w:eastAsia="zh-CN"/>
              </w:rPr>
              <w:t>446.35</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368.77</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77.58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color w:val="000000"/>
              </w:rPr>
              <w:t>2</w:t>
            </w:r>
          </w:p>
        </w:tc>
        <w:tc>
          <w:tcPr>
            <w:tcW w:w="1191" w:type="dxa"/>
          </w:tcPr>
          <w:p>
            <w:pPr>
              <w:pStyle w:val="18"/>
              <w:rPr>
                <w:lang w:eastAsia="zh-CN"/>
              </w:rPr>
            </w:pPr>
            <w:r>
              <w:rPr>
                <w:color w:val="000000"/>
                <w:lang w:eastAsia="zh-CN"/>
              </w:rPr>
              <w:t>201</w:t>
            </w:r>
          </w:p>
        </w:tc>
        <w:tc>
          <w:tcPr>
            <w:tcW w:w="4535" w:type="dxa"/>
          </w:tcPr>
          <w:p>
            <w:pPr>
              <w:pStyle w:val="18"/>
              <w:rPr>
                <w:lang w:eastAsia="zh-CN"/>
              </w:rPr>
            </w:pPr>
            <w:r>
              <w:rPr>
                <w:color w:val="000000"/>
                <w:lang w:eastAsia="zh-CN"/>
              </w:rPr>
              <w:t>一般公共服务</w:t>
            </w:r>
            <w:r>
              <w:rPr>
                <w:rFonts w:hint="eastAsia"/>
                <w:color w:val="000000"/>
                <w:lang w:eastAsia="zh-CN"/>
              </w:rPr>
              <w:t>收入</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334.85</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257.27</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77.58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color w:val="000000"/>
              </w:rPr>
              <w:t>3</w:t>
            </w:r>
          </w:p>
        </w:tc>
        <w:tc>
          <w:tcPr>
            <w:tcW w:w="1191" w:type="dxa"/>
          </w:tcPr>
          <w:p>
            <w:pPr>
              <w:pStyle w:val="18"/>
              <w:rPr>
                <w:lang w:eastAsia="zh-CN"/>
              </w:rPr>
            </w:pPr>
            <w:r>
              <w:rPr>
                <w:color w:val="000000"/>
                <w:lang w:eastAsia="zh-CN"/>
              </w:rPr>
              <w:t>2010</w:t>
            </w:r>
            <w:r>
              <w:rPr>
                <w:rFonts w:hint="eastAsia"/>
                <w:color w:val="000000"/>
                <w:lang w:eastAsia="zh-CN"/>
              </w:rPr>
              <w:t>2</w:t>
            </w:r>
          </w:p>
        </w:tc>
        <w:tc>
          <w:tcPr>
            <w:tcW w:w="4535" w:type="dxa"/>
          </w:tcPr>
          <w:p>
            <w:pPr>
              <w:pStyle w:val="18"/>
              <w:rPr>
                <w:lang w:eastAsia="zh-CN"/>
              </w:rPr>
            </w:pPr>
            <w:r>
              <w:rPr>
                <w:rFonts w:hint="eastAsia"/>
                <w:color w:val="000000"/>
                <w:lang w:eastAsia="zh-CN"/>
              </w:rPr>
              <w:t>政协事务</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334.85</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257.27</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77.58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4</w:t>
            </w:r>
          </w:p>
        </w:tc>
        <w:tc>
          <w:tcPr>
            <w:tcW w:w="1191" w:type="dxa"/>
          </w:tcPr>
          <w:p>
            <w:pPr>
              <w:pStyle w:val="18"/>
              <w:rPr>
                <w:lang w:eastAsia="zh-CN"/>
              </w:rPr>
            </w:pPr>
            <w:r>
              <w:rPr>
                <w:rFonts w:hint="eastAsia"/>
                <w:color w:val="000000"/>
                <w:lang w:eastAsia="zh-CN"/>
              </w:rPr>
              <w:t>2010201</w:t>
            </w:r>
          </w:p>
        </w:tc>
        <w:tc>
          <w:tcPr>
            <w:tcW w:w="4535" w:type="dxa"/>
          </w:tcPr>
          <w:p>
            <w:pPr>
              <w:pStyle w:val="18"/>
              <w:rPr>
                <w:lang w:eastAsia="zh-CN"/>
              </w:rPr>
            </w:pPr>
            <w:r>
              <w:rPr>
                <w:rFonts w:hint="eastAsia"/>
                <w:color w:val="000000"/>
                <w:lang w:eastAsia="zh-CN"/>
              </w:rPr>
              <w:t>行政运行</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257.27</w:t>
            </w:r>
          </w:p>
        </w:tc>
        <w:tc>
          <w:tcPr>
            <w:tcW w:w="2551" w:type="dxa"/>
          </w:tcPr>
          <w:p>
            <w:pPr>
              <w:jc w:val="right"/>
              <w:textAlignment w:val="top"/>
              <w:rPr>
                <w:lang w:eastAsia="zh-CN"/>
              </w:rPr>
            </w:pPr>
            <w:r>
              <w:rPr>
                <w:rFonts w:hint="eastAsia" w:ascii="Calibri" w:hAnsi="Calibri" w:eastAsia="宋体" w:cs="Calibri"/>
                <w:color w:val="000000"/>
                <w:sz w:val="22"/>
                <w:szCs w:val="22"/>
                <w:lang w:eastAsia="zh-CN"/>
              </w:rPr>
              <w:t>257.27</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5</w:t>
            </w:r>
          </w:p>
        </w:tc>
        <w:tc>
          <w:tcPr>
            <w:tcW w:w="1191" w:type="dxa"/>
          </w:tcPr>
          <w:p>
            <w:pPr>
              <w:pStyle w:val="18"/>
              <w:rPr>
                <w:lang w:eastAsia="zh-CN"/>
              </w:rPr>
            </w:pPr>
            <w:r>
              <w:rPr>
                <w:rFonts w:hint="eastAsia"/>
                <w:color w:val="000000"/>
                <w:lang w:eastAsia="zh-CN"/>
              </w:rPr>
              <w:t>2010202</w:t>
            </w:r>
          </w:p>
        </w:tc>
        <w:tc>
          <w:tcPr>
            <w:tcW w:w="4535" w:type="dxa"/>
          </w:tcPr>
          <w:p>
            <w:pPr>
              <w:pStyle w:val="18"/>
              <w:rPr>
                <w:lang w:eastAsia="zh-CN"/>
              </w:rPr>
            </w:pPr>
            <w:r>
              <w:rPr>
                <w:rFonts w:hint="eastAsia"/>
                <w:color w:val="000000"/>
                <w:lang w:eastAsia="zh-CN"/>
              </w:rPr>
              <w:t>一般行政管理事务</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37.58</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37.58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6</w:t>
            </w:r>
          </w:p>
        </w:tc>
        <w:tc>
          <w:tcPr>
            <w:tcW w:w="1191" w:type="dxa"/>
          </w:tcPr>
          <w:p>
            <w:pPr>
              <w:pStyle w:val="18"/>
              <w:rPr>
                <w:lang w:eastAsia="zh-CN"/>
              </w:rPr>
            </w:pPr>
            <w:r>
              <w:rPr>
                <w:rFonts w:hint="eastAsia"/>
                <w:color w:val="000000"/>
                <w:lang w:eastAsia="zh-CN"/>
              </w:rPr>
              <w:t>2010204</w:t>
            </w:r>
          </w:p>
        </w:tc>
        <w:tc>
          <w:tcPr>
            <w:tcW w:w="4535" w:type="dxa"/>
          </w:tcPr>
          <w:p>
            <w:pPr>
              <w:pStyle w:val="18"/>
              <w:rPr>
                <w:lang w:eastAsia="zh-CN"/>
              </w:rPr>
            </w:pPr>
            <w:r>
              <w:rPr>
                <w:rFonts w:hint="eastAsia"/>
                <w:color w:val="000000"/>
                <w:lang w:eastAsia="zh-CN"/>
              </w:rPr>
              <w:t>政协会议</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35</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7</w:t>
            </w:r>
          </w:p>
        </w:tc>
        <w:tc>
          <w:tcPr>
            <w:tcW w:w="1191" w:type="dxa"/>
          </w:tcPr>
          <w:p>
            <w:pPr>
              <w:pStyle w:val="18"/>
              <w:rPr>
                <w:lang w:eastAsia="zh-CN"/>
              </w:rPr>
            </w:pPr>
            <w:r>
              <w:rPr>
                <w:rFonts w:hint="eastAsia"/>
                <w:color w:val="000000"/>
                <w:lang w:eastAsia="zh-CN"/>
              </w:rPr>
              <w:t>2010205</w:t>
            </w:r>
          </w:p>
        </w:tc>
        <w:tc>
          <w:tcPr>
            <w:tcW w:w="4535" w:type="dxa"/>
          </w:tcPr>
          <w:p>
            <w:pPr>
              <w:pStyle w:val="18"/>
              <w:rPr>
                <w:lang w:eastAsia="zh-CN"/>
              </w:rPr>
            </w:pPr>
            <w:r>
              <w:rPr>
                <w:rFonts w:hint="eastAsia"/>
                <w:color w:val="000000"/>
                <w:lang w:eastAsia="zh-CN"/>
              </w:rPr>
              <w:t>委员视察</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5</w:t>
            </w:r>
          </w:p>
        </w:tc>
        <w:tc>
          <w:tcPr>
            <w:tcW w:w="2551" w:type="dxa"/>
          </w:tcPr>
          <w:p>
            <w:pPr>
              <w:jc w:val="right"/>
              <w:textAlignment w:val="top"/>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8</w:t>
            </w:r>
          </w:p>
        </w:tc>
        <w:tc>
          <w:tcPr>
            <w:tcW w:w="1191" w:type="dxa"/>
          </w:tcPr>
          <w:p>
            <w:pPr>
              <w:pStyle w:val="18"/>
              <w:rPr>
                <w:lang w:eastAsia="zh-CN"/>
              </w:rPr>
            </w:pPr>
            <w:r>
              <w:rPr>
                <w:color w:val="000000"/>
                <w:lang w:eastAsia="zh-CN"/>
              </w:rPr>
              <w:t>208</w:t>
            </w:r>
          </w:p>
        </w:tc>
        <w:tc>
          <w:tcPr>
            <w:tcW w:w="4535" w:type="dxa"/>
          </w:tcPr>
          <w:p>
            <w:pPr>
              <w:pStyle w:val="18"/>
              <w:rPr>
                <w:lang w:eastAsia="zh-CN"/>
              </w:rPr>
            </w:pPr>
            <w:r>
              <w:rPr>
                <w:color w:val="000000"/>
                <w:lang w:eastAsia="zh-CN"/>
              </w:rPr>
              <w:t>社会保障和就业</w:t>
            </w:r>
            <w:r>
              <w:rPr>
                <w:rFonts w:hint="eastAsia"/>
                <w:color w:val="000000"/>
                <w:lang w:eastAsia="zh-CN"/>
              </w:rPr>
              <w:t>收入</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58.42</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58.42</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9</w:t>
            </w:r>
          </w:p>
        </w:tc>
        <w:tc>
          <w:tcPr>
            <w:tcW w:w="1191" w:type="dxa"/>
          </w:tcPr>
          <w:p>
            <w:pPr>
              <w:pStyle w:val="18"/>
              <w:rPr>
                <w:lang w:eastAsia="zh-CN"/>
              </w:rPr>
            </w:pPr>
            <w:r>
              <w:rPr>
                <w:color w:val="000000"/>
                <w:lang w:eastAsia="zh-CN"/>
              </w:rPr>
              <w:t>20805</w:t>
            </w:r>
          </w:p>
        </w:tc>
        <w:tc>
          <w:tcPr>
            <w:tcW w:w="4535" w:type="dxa"/>
          </w:tcPr>
          <w:p>
            <w:pPr>
              <w:pStyle w:val="18"/>
              <w:rPr>
                <w:lang w:eastAsia="zh-CN"/>
              </w:rPr>
            </w:pPr>
            <w:r>
              <w:rPr>
                <w:color w:val="000000"/>
                <w:lang w:eastAsia="zh-CN"/>
              </w:rPr>
              <w:t>行政事业单位养老</w:t>
            </w:r>
            <w:r>
              <w:rPr>
                <w:rFonts w:hint="eastAsia"/>
                <w:color w:val="000000"/>
                <w:lang w:eastAsia="zh-CN"/>
              </w:rPr>
              <w:t>收入</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58.42</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58.42</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10</w:t>
            </w:r>
          </w:p>
        </w:tc>
        <w:tc>
          <w:tcPr>
            <w:tcW w:w="1191" w:type="dxa"/>
          </w:tcPr>
          <w:p>
            <w:pPr>
              <w:pStyle w:val="18"/>
              <w:rPr>
                <w:lang w:eastAsia="zh-CN"/>
              </w:rPr>
            </w:pPr>
            <w:r>
              <w:rPr>
                <w:color w:val="000000"/>
                <w:lang w:eastAsia="zh-CN"/>
              </w:rPr>
              <w:t>2080501</w:t>
            </w:r>
          </w:p>
        </w:tc>
        <w:tc>
          <w:tcPr>
            <w:tcW w:w="4535" w:type="dxa"/>
          </w:tcPr>
          <w:p>
            <w:pPr>
              <w:pStyle w:val="18"/>
              <w:rPr>
                <w:lang w:eastAsia="zh-CN"/>
              </w:rPr>
            </w:pPr>
            <w:r>
              <w:rPr>
                <w:color w:val="000000"/>
                <w:lang w:eastAsia="zh-CN"/>
              </w:rPr>
              <w:t>行政单位离退休</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18.52</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18.52</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11</w:t>
            </w:r>
          </w:p>
        </w:tc>
        <w:tc>
          <w:tcPr>
            <w:tcW w:w="1191" w:type="dxa"/>
          </w:tcPr>
          <w:p>
            <w:pPr>
              <w:pStyle w:val="18"/>
              <w:rPr>
                <w:lang w:eastAsia="zh-CN"/>
              </w:rPr>
            </w:pPr>
            <w:r>
              <w:rPr>
                <w:color w:val="000000"/>
                <w:lang w:eastAsia="zh-CN"/>
              </w:rPr>
              <w:t>2080505</w:t>
            </w:r>
          </w:p>
        </w:tc>
        <w:tc>
          <w:tcPr>
            <w:tcW w:w="4535" w:type="dxa"/>
          </w:tcPr>
          <w:p>
            <w:pPr>
              <w:pStyle w:val="18"/>
              <w:rPr>
                <w:lang w:eastAsia="zh-CN"/>
              </w:rPr>
            </w:pPr>
            <w:r>
              <w:rPr>
                <w:color w:val="000000"/>
                <w:lang w:eastAsia="zh-CN"/>
              </w:rPr>
              <w:t>机关事业单位基本养老保险缴费</w:t>
            </w:r>
            <w:r>
              <w:rPr>
                <w:rFonts w:hint="eastAsia"/>
                <w:color w:val="000000"/>
                <w:lang w:eastAsia="zh-CN"/>
              </w:rPr>
              <w:t>收入</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39.90</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39.90</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12</w:t>
            </w:r>
          </w:p>
        </w:tc>
        <w:tc>
          <w:tcPr>
            <w:tcW w:w="1191" w:type="dxa"/>
          </w:tcPr>
          <w:p>
            <w:pPr>
              <w:pStyle w:val="18"/>
              <w:rPr>
                <w:lang w:eastAsia="zh-CN"/>
              </w:rPr>
            </w:pPr>
            <w:r>
              <w:rPr>
                <w:color w:val="000000"/>
                <w:lang w:eastAsia="zh-CN"/>
              </w:rPr>
              <w:t>210</w:t>
            </w:r>
          </w:p>
        </w:tc>
        <w:tc>
          <w:tcPr>
            <w:tcW w:w="4535" w:type="dxa"/>
          </w:tcPr>
          <w:p>
            <w:pPr>
              <w:pStyle w:val="18"/>
              <w:rPr>
                <w:lang w:eastAsia="zh-CN"/>
              </w:rPr>
            </w:pPr>
            <w:r>
              <w:rPr>
                <w:color w:val="000000"/>
                <w:lang w:eastAsia="zh-CN"/>
              </w:rPr>
              <w:t>卫生健康</w:t>
            </w:r>
            <w:r>
              <w:rPr>
                <w:rFonts w:hint="eastAsia"/>
                <w:color w:val="000000"/>
                <w:lang w:eastAsia="zh-CN"/>
              </w:rPr>
              <w:t>收入</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13</w:t>
            </w:r>
          </w:p>
        </w:tc>
        <w:tc>
          <w:tcPr>
            <w:tcW w:w="1191" w:type="dxa"/>
          </w:tcPr>
          <w:p>
            <w:pPr>
              <w:pStyle w:val="18"/>
              <w:rPr>
                <w:lang w:eastAsia="zh-CN"/>
              </w:rPr>
            </w:pPr>
            <w:r>
              <w:rPr>
                <w:color w:val="000000"/>
                <w:lang w:eastAsia="zh-CN"/>
              </w:rPr>
              <w:t>21011</w:t>
            </w:r>
          </w:p>
        </w:tc>
        <w:tc>
          <w:tcPr>
            <w:tcW w:w="4535" w:type="dxa"/>
          </w:tcPr>
          <w:p>
            <w:pPr>
              <w:pStyle w:val="18"/>
              <w:rPr>
                <w:lang w:eastAsia="zh-CN"/>
              </w:rPr>
            </w:pPr>
            <w:r>
              <w:rPr>
                <w:color w:val="000000"/>
                <w:lang w:eastAsia="zh-CN"/>
              </w:rPr>
              <w:t>行政事业单位医疗</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23.15</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23.15</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14</w:t>
            </w:r>
          </w:p>
        </w:tc>
        <w:tc>
          <w:tcPr>
            <w:tcW w:w="1191" w:type="dxa"/>
          </w:tcPr>
          <w:p>
            <w:pPr>
              <w:pStyle w:val="18"/>
              <w:rPr>
                <w:lang w:eastAsia="zh-CN"/>
              </w:rPr>
            </w:pPr>
            <w:r>
              <w:rPr>
                <w:color w:val="000000"/>
                <w:lang w:eastAsia="zh-CN"/>
              </w:rPr>
              <w:t>2101101</w:t>
            </w:r>
          </w:p>
        </w:tc>
        <w:tc>
          <w:tcPr>
            <w:tcW w:w="4535" w:type="dxa"/>
          </w:tcPr>
          <w:p>
            <w:pPr>
              <w:pStyle w:val="18"/>
              <w:rPr>
                <w:lang w:eastAsia="zh-CN"/>
              </w:rPr>
            </w:pPr>
            <w:r>
              <w:rPr>
                <w:color w:val="000000"/>
                <w:lang w:eastAsia="zh-CN"/>
              </w:rPr>
              <w:t>行政单位医疗</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15.96</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15.96</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15</w:t>
            </w:r>
          </w:p>
        </w:tc>
        <w:tc>
          <w:tcPr>
            <w:tcW w:w="1191" w:type="dxa"/>
          </w:tcPr>
          <w:p>
            <w:pPr>
              <w:pStyle w:val="18"/>
              <w:rPr>
                <w:lang w:eastAsia="zh-CN"/>
              </w:rPr>
            </w:pPr>
            <w:r>
              <w:rPr>
                <w:rFonts w:hint="eastAsia"/>
                <w:color w:val="000000"/>
                <w:lang w:eastAsia="zh-CN"/>
              </w:rPr>
              <w:t>2101103</w:t>
            </w:r>
          </w:p>
        </w:tc>
        <w:tc>
          <w:tcPr>
            <w:tcW w:w="4535" w:type="dxa"/>
          </w:tcPr>
          <w:p>
            <w:pPr>
              <w:pStyle w:val="18"/>
              <w:rPr>
                <w:lang w:eastAsia="zh-CN"/>
              </w:rPr>
            </w:pPr>
            <w:r>
              <w:rPr>
                <w:rFonts w:hint="eastAsia"/>
                <w:color w:val="000000"/>
                <w:lang w:eastAsia="zh-CN"/>
              </w:rPr>
              <w:t>公务员医疗补助</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7.19</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color w:val="000000"/>
                <w:sz w:val="21"/>
                <w:lang w:eastAsia="zh-CN"/>
              </w:rPr>
              <w:t>7.19</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16</w:t>
            </w:r>
          </w:p>
        </w:tc>
        <w:tc>
          <w:tcPr>
            <w:tcW w:w="1191" w:type="dxa"/>
          </w:tcPr>
          <w:p>
            <w:pPr>
              <w:pStyle w:val="18"/>
              <w:rPr>
                <w:lang w:eastAsia="zh-CN"/>
              </w:rPr>
            </w:pPr>
            <w:r>
              <w:rPr>
                <w:color w:val="000000"/>
                <w:lang w:eastAsia="zh-CN"/>
              </w:rPr>
              <w:t>221</w:t>
            </w:r>
          </w:p>
        </w:tc>
        <w:tc>
          <w:tcPr>
            <w:tcW w:w="4535" w:type="dxa"/>
          </w:tcPr>
          <w:p>
            <w:pPr>
              <w:pStyle w:val="18"/>
              <w:rPr>
                <w:lang w:eastAsia="zh-CN"/>
              </w:rPr>
            </w:pPr>
            <w:r>
              <w:rPr>
                <w:color w:val="000000"/>
                <w:lang w:eastAsia="zh-CN"/>
              </w:rPr>
              <w:t>住房保障</w:t>
            </w:r>
            <w:r>
              <w:rPr>
                <w:rFonts w:hint="eastAsia"/>
                <w:color w:val="000000"/>
                <w:lang w:eastAsia="zh-CN"/>
              </w:rPr>
              <w:t>收入</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29.93</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17</w:t>
            </w:r>
          </w:p>
        </w:tc>
        <w:tc>
          <w:tcPr>
            <w:tcW w:w="1191" w:type="dxa"/>
          </w:tcPr>
          <w:p>
            <w:pPr>
              <w:pStyle w:val="18"/>
              <w:rPr>
                <w:lang w:eastAsia="zh-CN"/>
              </w:rPr>
            </w:pPr>
            <w:r>
              <w:rPr>
                <w:color w:val="000000"/>
                <w:lang w:eastAsia="zh-CN"/>
              </w:rPr>
              <w:t>22102</w:t>
            </w:r>
          </w:p>
        </w:tc>
        <w:tc>
          <w:tcPr>
            <w:tcW w:w="4535" w:type="dxa"/>
          </w:tcPr>
          <w:p>
            <w:pPr>
              <w:pStyle w:val="18"/>
              <w:rPr>
                <w:lang w:eastAsia="zh-CN"/>
              </w:rPr>
            </w:pPr>
            <w:r>
              <w:rPr>
                <w:color w:val="000000"/>
                <w:lang w:eastAsia="zh-CN"/>
              </w:rPr>
              <w:t>住房改革</w:t>
            </w:r>
            <w:r>
              <w:rPr>
                <w:rFonts w:hint="eastAsia"/>
                <w:color w:val="000000"/>
                <w:lang w:eastAsia="zh-CN"/>
              </w:rPr>
              <w:t>收入</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29.93</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color w:val="000000"/>
                <w:lang w:eastAsia="zh-CN"/>
              </w:rPr>
              <w:t>18</w:t>
            </w:r>
          </w:p>
        </w:tc>
        <w:tc>
          <w:tcPr>
            <w:tcW w:w="1191" w:type="dxa"/>
          </w:tcPr>
          <w:p>
            <w:pPr>
              <w:pStyle w:val="18"/>
              <w:rPr>
                <w:lang w:eastAsia="zh-CN"/>
              </w:rPr>
            </w:pPr>
            <w:r>
              <w:rPr>
                <w:color w:val="000000"/>
                <w:lang w:eastAsia="zh-CN"/>
              </w:rPr>
              <w:t>2210201</w:t>
            </w:r>
          </w:p>
        </w:tc>
        <w:tc>
          <w:tcPr>
            <w:tcW w:w="4535" w:type="dxa"/>
          </w:tcPr>
          <w:p>
            <w:pPr>
              <w:pStyle w:val="18"/>
              <w:rPr>
                <w:lang w:eastAsia="zh-CN"/>
              </w:rPr>
            </w:pPr>
            <w:r>
              <w:rPr>
                <w:color w:val="000000"/>
                <w:lang w:eastAsia="zh-CN"/>
              </w:rPr>
              <w:t>住房公积金</w:t>
            </w:r>
          </w:p>
        </w:tc>
        <w:tc>
          <w:tcPr>
            <w:tcW w:w="2551" w:type="dxa"/>
          </w:tcPr>
          <w:p>
            <w:pPr>
              <w:jc w:val="right"/>
              <w:textAlignment w:val="top"/>
              <w:rPr>
                <w:lang w:eastAsia="zh-CN"/>
              </w:rPr>
            </w:pPr>
            <w:r>
              <w:rPr>
                <w:rFonts w:hint="eastAsia" w:ascii="方正书宋_GBK" w:hAnsi="方正书宋_GBK" w:eastAsia="方正书宋_GBK" w:cs="方正书宋_GBK"/>
                <w:color w:val="000000"/>
                <w:sz w:val="21"/>
                <w:lang w:eastAsia="zh-CN"/>
              </w:rPr>
              <w:t>29.93</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color w:val="000000"/>
                <w:sz w:val="21"/>
                <w:lang w:eastAsia="zh-CN"/>
              </w:rPr>
              <w:t>29.93</w:t>
            </w:r>
          </w:p>
        </w:tc>
        <w:tc>
          <w:tcPr>
            <w:tcW w:w="2551" w:type="dxa"/>
          </w:tcPr>
          <w:p>
            <w:pPr>
              <w:jc w:val="right"/>
              <w:textAlignment w:val="top"/>
              <w:rPr>
                <w:rFonts w:ascii="方正书宋_GBK" w:hAnsi="方正书宋_GBK" w:eastAsia="方正书宋_GBK" w:cs="方正书宋_GBK"/>
                <w:sz w:val="21"/>
                <w:lang w:eastAsia="zh-CN"/>
              </w:rPr>
            </w:pPr>
          </w:p>
        </w:tc>
      </w:tr>
    </w:tbl>
    <w:p>
      <w:pPr>
        <w:pStyle w:val="18"/>
        <w:rPr>
          <w:lang w:eastAsia="zh-CN"/>
        </w:rPr>
        <w:sectPr>
          <w:pgSz w:w="16840" w:h="11900" w:orient="landscape"/>
          <w:pgMar w:top="1361" w:right="1020" w:bottom="1361" w:left="1020" w:header="720" w:footer="720" w:gutter="0"/>
          <w:cols w:space="0" w:num="1"/>
        </w:sectPr>
      </w:pPr>
    </w:p>
    <w:p>
      <w:pPr>
        <w:pStyle w:val="18"/>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0"/>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合计</w:t>
            </w:r>
          </w:p>
        </w:tc>
        <w:tc>
          <w:tcPr>
            <w:tcW w:w="4535" w:type="dxa"/>
            <w:vAlign w:val="center"/>
          </w:tcPr>
          <w:p>
            <w:pPr>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368.77</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301.56</w:t>
            </w:r>
          </w:p>
        </w:tc>
        <w:tc>
          <w:tcPr>
            <w:tcW w:w="2552"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67.21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工资福利支出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260.54</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260.54</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3</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基本工资</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103.11</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103.11</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4</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津贴补贴</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33.89</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33.89</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5</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30103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奖金</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29.32</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29.32</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30108</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机关事业单位基本养老保险缴费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39.90</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39.90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30110</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城镇职工基本医疗保险缴费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15.96</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15.96</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8</w:t>
            </w:r>
          </w:p>
        </w:tc>
        <w:tc>
          <w:tcPr>
            <w:tcW w:w="1191" w:type="dxa"/>
            <w:vAlign w:val="center"/>
          </w:tcPr>
          <w:p>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30111</w:t>
            </w:r>
          </w:p>
        </w:tc>
        <w:tc>
          <w:tcPr>
            <w:tcW w:w="4535" w:type="dxa"/>
            <w:vAlign w:val="center"/>
          </w:tcPr>
          <w:p>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公务员医疗补助缴费</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7.19</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7.19</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30112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其他社会保障缴费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1.24</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1.24</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30113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住房公积金</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29.93</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29.93</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商品和服务支出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67.21</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67.21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13</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办公费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28.47</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28.47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14</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30207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邮电费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9.66</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15</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30211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差旅费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w:t>
            </w:r>
            <w:r>
              <w:rPr>
                <w:rFonts w:ascii="Calibri" w:hAnsi="Calibri" w:eastAsia="宋体" w:cs="Calibri"/>
                <w:color w:val="000000"/>
                <w:sz w:val="22"/>
                <w:szCs w:val="22"/>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维修(护)费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30217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公务接待费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hint="eastAsia"/>
                <w:lang w:eastAsia="zh-CN"/>
              </w:rPr>
              <w:t>18</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30228</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工会经费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0.92</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hint="eastAsia" w:ascii="Calibri" w:hAnsi="Calibri" w:eastAsia="宋体" w:cs="Calibri"/>
                <w:color w:val="000000"/>
                <w:sz w:val="22"/>
                <w:szCs w:val="22"/>
                <w:lang w:eastAsia="zh-CN"/>
              </w:rPr>
              <w:t>19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30231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公务用车运行维护费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8.00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30239</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其他交通费用</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16.16</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16.16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20</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30299</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其他商品和服务支出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0.90</w:t>
            </w: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21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对个人和家庭的补助</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41.02</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41.02</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30302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退休费</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18.52</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18.52</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p>
        </w:tc>
        <w:tc>
          <w:tcPr>
            <w:tcW w:w="1191" w:type="dxa"/>
            <w:vAlign w:val="center"/>
          </w:tcPr>
          <w:p>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30304</w:t>
            </w:r>
          </w:p>
        </w:tc>
        <w:tc>
          <w:tcPr>
            <w:tcW w:w="4535" w:type="dxa"/>
            <w:vAlign w:val="center"/>
          </w:tcPr>
          <w:p>
            <w:pPr>
              <w:textAlignment w:val="cente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抚恤金</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23</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30305</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生活补助</w:t>
            </w:r>
          </w:p>
        </w:tc>
        <w:tc>
          <w:tcPr>
            <w:tcW w:w="255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1.60</w:t>
            </w:r>
          </w:p>
        </w:tc>
        <w:tc>
          <w:tcPr>
            <w:tcW w:w="2551" w:type="dxa"/>
          </w:tcPr>
          <w:p>
            <w:pPr>
              <w:jc w:val="right"/>
              <w:textAlignment w:val="top"/>
              <w:rPr>
                <w:rFonts w:ascii="方正书宋_GBK" w:hAnsi="方正书宋_GBK" w:eastAsia="方正书宋_GBK" w:cs="方正书宋_GBK"/>
                <w:sz w:val="21"/>
                <w:lang w:eastAsia="zh-CN"/>
              </w:rPr>
            </w:pPr>
            <w:r>
              <w:rPr>
                <w:rFonts w:ascii="Calibri" w:hAnsi="Calibri" w:eastAsia="宋体" w:cs="Calibri"/>
                <w:color w:val="000000"/>
                <w:sz w:val="22"/>
                <w:szCs w:val="22"/>
                <w:lang w:eastAsia="zh-CN"/>
              </w:rPr>
              <w:t>1.60</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24</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30309</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rPr>
              <w:t>奖励金</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0.9</w:t>
            </w:r>
          </w:p>
        </w:tc>
        <w:tc>
          <w:tcPr>
            <w:tcW w:w="2552"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r>
              <w:rPr>
                <w:rFonts w:ascii="Calibri" w:hAnsi="Calibri" w:eastAsia="宋体" w:cs="Calibri"/>
                <w:color w:val="000000"/>
                <w:sz w:val="22"/>
                <w:szCs w:val="22"/>
                <w:lang w:eastAsia="zh-CN"/>
              </w:rPr>
              <w:t>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rPr>
              <w:t>合计</w:t>
            </w:r>
          </w:p>
        </w:tc>
        <w:tc>
          <w:tcPr>
            <w:tcW w:w="4535" w:type="dxa"/>
            <w:vAlign w:val="center"/>
          </w:tcPr>
          <w:p>
            <w:pPr>
              <w:rPr>
                <w:lang w:eastAsia="zh-CN"/>
              </w:rPr>
            </w:pP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368.77</w:t>
            </w:r>
          </w:p>
        </w:tc>
        <w:tc>
          <w:tcPr>
            <w:tcW w:w="2551"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301.56</w:t>
            </w:r>
          </w:p>
        </w:tc>
        <w:tc>
          <w:tcPr>
            <w:tcW w:w="2552" w:type="dxa"/>
          </w:tcPr>
          <w:p>
            <w:pPr>
              <w:jc w:val="right"/>
              <w:textAlignment w:val="top"/>
              <w:rPr>
                <w:rFonts w:ascii="方正书宋_GBK" w:hAnsi="方正书宋_GBK" w:eastAsia="方正书宋_GBK" w:cs="方正书宋_GBK"/>
                <w:sz w:val="21"/>
                <w:lang w:eastAsia="zh-CN"/>
              </w:rPr>
            </w:pPr>
            <w:r>
              <w:rPr>
                <w:rFonts w:hint="eastAsia" w:ascii="Calibri" w:hAnsi="Calibri" w:eastAsia="宋体" w:cs="Calibri"/>
                <w:color w:val="000000"/>
                <w:sz w:val="22"/>
                <w:szCs w:val="22"/>
                <w:lang w:eastAsia="zh-CN"/>
              </w:rPr>
              <w:t>67.21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lang w:eastAsia="zh-CN"/>
              </w:rPr>
            </w:pPr>
          </w:p>
        </w:tc>
        <w:tc>
          <w:tcPr>
            <w:tcW w:w="1191" w:type="dxa"/>
            <w:vAlign w:val="center"/>
          </w:tcPr>
          <w:p>
            <w:pPr>
              <w:textAlignment w:val="center"/>
              <w:rPr>
                <w:lang w:eastAsia="zh-CN"/>
              </w:rPr>
            </w:pPr>
          </w:p>
        </w:tc>
        <w:tc>
          <w:tcPr>
            <w:tcW w:w="4535" w:type="dxa"/>
            <w:vAlign w:val="center"/>
          </w:tcPr>
          <w:p>
            <w:pPr>
              <w:rPr>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rFonts w:ascii="方正书宋_GBK" w:hAnsi="方正书宋_GBK" w:eastAsia="方正书宋_GBK" w:cs="方正书宋_GBK"/>
                <w:sz w:val="21"/>
                <w:lang w:eastAsia="zh-CN"/>
              </w:rPr>
            </w:pPr>
          </w:p>
        </w:tc>
        <w:tc>
          <w:tcPr>
            <w:tcW w:w="2552" w:type="dxa"/>
          </w:tcPr>
          <w:p>
            <w:pPr>
              <w:jc w:val="right"/>
              <w:textAlignment w:val="top"/>
              <w:rPr>
                <w:rFonts w:ascii="方正书宋_GBK" w:hAnsi="方正书宋_GBK" w:eastAsia="方正书宋_GBK" w:cs="方正书宋_GBK"/>
                <w:sz w:val="21"/>
                <w:lang w:eastAsia="zh-CN"/>
              </w:rPr>
            </w:pPr>
          </w:p>
        </w:tc>
      </w:tr>
    </w:tbl>
    <w:p>
      <w:pPr>
        <w:sectPr>
          <w:pgSz w:w="16840" w:h="11900" w:orient="landscape"/>
          <w:pgMar w:top="1361" w:right="1020" w:bottom="1361" w:left="1020" w:header="720" w:footer="720" w:gutter="0"/>
          <w:cols w:space="0" w:num="1"/>
        </w:sectPr>
      </w:pPr>
    </w:p>
    <w:p>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w:t>
            </w:r>
          </w:p>
        </w:tc>
        <w:tc>
          <w:tcPr>
            <w:tcW w:w="1191" w:type="dxa"/>
            <w:vAlign w:val="center"/>
          </w:tcPr>
          <w:p>
            <w:pPr>
              <w:pStyle w:val="18"/>
            </w:pPr>
          </w:p>
        </w:tc>
        <w:tc>
          <w:tcPr>
            <w:tcW w:w="4535" w:type="dxa"/>
            <w:vAlign w:val="center"/>
          </w:tcPr>
          <w:p>
            <w:pPr>
              <w:pStyle w:val="18"/>
            </w:pPr>
            <w:r>
              <w:rPr>
                <w:rFonts w:hint="eastAsia"/>
                <w:b/>
                <w:bCs/>
                <w:lang w:eastAsia="zh-CN"/>
              </w:rPr>
              <w:t>合计</w:t>
            </w: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tcPr>
          <w:p>
            <w:pPr>
              <w:pStyle w:val="17"/>
            </w:pPr>
          </w:p>
        </w:tc>
        <w:tc>
          <w:tcPr>
            <w:tcW w:w="2551" w:type="dxa"/>
            <w:vAlign w:val="center"/>
          </w:tcPr>
          <w:p>
            <w:pPr>
              <w:pStyle w:val="17"/>
            </w:pPr>
          </w:p>
        </w:tc>
        <w:tc>
          <w:tcPr>
            <w:tcW w:w="2551" w:type="dxa"/>
          </w:tcPr>
          <w:p>
            <w:pPr>
              <w:pStyle w:val="17"/>
            </w:pPr>
          </w:p>
        </w:tc>
      </w:tr>
    </w:tbl>
    <w:p>
      <w:pPr>
        <w:ind w:firstLine="420"/>
        <w:rPr>
          <w:rFonts w:ascii="方正书宋_GBK" w:hAnsi="方正书宋_GBK" w:eastAsia="方正书宋_GBK" w:cs="方正书宋_GBK"/>
          <w:color w:val="000000"/>
          <w:sz w:val="21"/>
        </w:rPr>
      </w:pPr>
      <w:r>
        <w:rPr>
          <w:rFonts w:hint="eastAsia" w:ascii="方正书宋_GBK" w:hAnsi="方正书宋_GBK" w:eastAsia="方正书宋_GBK" w:cs="方正书宋_GBK"/>
          <w:color w:val="000000"/>
          <w:sz w:val="21"/>
          <w:lang w:eastAsia="zh-CN"/>
        </w:rPr>
        <w:t>注</w:t>
      </w:r>
      <w:r>
        <w:rPr>
          <w:rFonts w:ascii="方正书宋_GBK" w:hAnsi="方正书宋_GBK" w:eastAsia="方正书宋_GBK" w:cs="方正书宋_GBK"/>
          <w:color w:val="000000"/>
          <w:sz w:val="21"/>
        </w:rPr>
        <w:t>：无政府基金预算财政拨款预算，空表列示。</w:t>
      </w:r>
      <w:bookmarkStart w:id="7" w:name="_Toc_2_2_0000000008"/>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rPr>
          <w:rFonts w:ascii="方正书宋_GBK" w:hAnsi="方正书宋_GBK" w:eastAsia="方正书宋_GBK" w:cs="方正书宋_GBK"/>
          <w:color w:val="000000"/>
          <w:sz w:val="21"/>
        </w:rPr>
      </w:pPr>
    </w:p>
    <w:p>
      <w:pPr>
        <w:ind w:firstLine="420"/>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0"/>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255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361" w:left="1020"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0"/>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2381" w:type="dxa"/>
            <w:tcBorders>
              <w:top w:val="single" w:color="FFFFFF" w:sz="6" w:space="0"/>
              <w:left w:val="single" w:color="FFFFFF" w:sz="6" w:space="0"/>
              <w:right w:val="single" w:color="FFFFFF" w:sz="6" w:space="0"/>
            </w:tcBorders>
            <w:vAlign w:val="center"/>
          </w:tcPr>
          <w:p>
            <w:pPr>
              <w:pStyle w:val="14"/>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pPr>
            <w:r>
              <w:rPr>
                <w:rFonts w:hint="eastAsia"/>
                <w:lang w:eastAsia="zh-CN"/>
              </w:rPr>
              <w:t>8.6</w:t>
            </w:r>
          </w:p>
        </w:tc>
        <w:tc>
          <w:tcPr>
            <w:tcW w:w="2381" w:type="dxa"/>
            <w:vAlign w:val="center"/>
          </w:tcPr>
          <w:p>
            <w:pPr>
              <w:pStyle w:val="21"/>
              <w:jc w:val="center"/>
              <w:rPr>
                <w:lang w:eastAsia="zh-CN"/>
              </w:rPr>
            </w:pPr>
            <w:r>
              <w:rPr>
                <w:rFonts w:hint="eastAsia"/>
                <w:lang w:eastAsia="zh-CN"/>
              </w:rPr>
              <w:t>8.6</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21"/>
              <w:jc w:val="center"/>
              <w:rPr>
                <w:b w:val="0"/>
                <w:bCs/>
                <w:lang w:eastAsia="zh-CN"/>
              </w:rPr>
            </w:pPr>
            <w:r>
              <w:rPr>
                <w:rFonts w:hint="eastAsia"/>
                <w:b w:val="0"/>
                <w:bCs/>
                <w:lang w:eastAsia="zh-CN"/>
              </w:rPr>
              <w:t>8</w:t>
            </w:r>
          </w:p>
        </w:tc>
        <w:tc>
          <w:tcPr>
            <w:tcW w:w="2381" w:type="dxa"/>
            <w:vAlign w:val="center"/>
          </w:tcPr>
          <w:p>
            <w:pPr>
              <w:pStyle w:val="21"/>
              <w:jc w:val="center"/>
              <w:rPr>
                <w:b w:val="0"/>
                <w:bCs/>
                <w:lang w:eastAsia="zh-CN"/>
              </w:rPr>
            </w:pPr>
            <w:r>
              <w:rPr>
                <w:rFonts w:hint="eastAsia"/>
                <w:b w:val="0"/>
                <w:bCs/>
                <w:lang w:eastAsia="zh-CN"/>
              </w:rPr>
              <w:t>8</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rPr>
                <w:bCs/>
                <w:lang w:eastAsia="zh-CN"/>
              </w:rPr>
            </w:pPr>
          </w:p>
        </w:tc>
        <w:tc>
          <w:tcPr>
            <w:tcW w:w="2381" w:type="dxa"/>
            <w:vAlign w:val="center"/>
          </w:tcPr>
          <w:p>
            <w:pPr>
              <w:pStyle w:val="17"/>
              <w:jc w:val="center"/>
              <w:rPr>
                <w:bCs/>
                <w:lang w:eastAsia="zh-CN"/>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21"/>
              <w:jc w:val="center"/>
              <w:rPr>
                <w:b w:val="0"/>
                <w:bCs/>
              </w:rPr>
            </w:pPr>
            <w:r>
              <w:rPr>
                <w:rFonts w:hint="eastAsia"/>
                <w:b w:val="0"/>
                <w:bCs/>
                <w:lang w:eastAsia="zh-CN"/>
              </w:rPr>
              <w:t>8</w:t>
            </w:r>
          </w:p>
        </w:tc>
        <w:tc>
          <w:tcPr>
            <w:tcW w:w="2381" w:type="dxa"/>
            <w:vAlign w:val="center"/>
          </w:tcPr>
          <w:p>
            <w:pPr>
              <w:pStyle w:val="21"/>
              <w:jc w:val="center"/>
              <w:rPr>
                <w:b w:val="0"/>
                <w:bCs/>
              </w:rPr>
            </w:pPr>
            <w:r>
              <w:rPr>
                <w:rFonts w:hint="eastAsia"/>
                <w:b w:val="0"/>
                <w:bCs/>
                <w:lang w:eastAsia="zh-CN"/>
              </w:rPr>
              <w:t>8</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jc w:val="center"/>
              <w:rPr>
                <w:lang w:eastAsia="zh-CN"/>
              </w:rPr>
            </w:pPr>
            <w:r>
              <w:rPr>
                <w:rFonts w:hint="eastAsia"/>
                <w:lang w:eastAsia="zh-CN"/>
              </w:rPr>
              <w:t>0.6</w:t>
            </w:r>
          </w:p>
        </w:tc>
        <w:tc>
          <w:tcPr>
            <w:tcW w:w="2381" w:type="dxa"/>
            <w:vAlign w:val="center"/>
          </w:tcPr>
          <w:p>
            <w:pPr>
              <w:pStyle w:val="17"/>
              <w:jc w:val="center"/>
              <w:rPr>
                <w:lang w:eastAsia="zh-CN"/>
              </w:rPr>
            </w:pPr>
            <w:r>
              <w:rPr>
                <w:rFonts w:hint="eastAsia"/>
                <w:lang w:eastAsia="zh-CN"/>
              </w:rPr>
              <w:t>0.6</w:t>
            </w:r>
          </w:p>
        </w:tc>
        <w:tc>
          <w:tcPr>
            <w:tcW w:w="2381" w:type="dxa"/>
            <w:vAlign w:val="center"/>
          </w:tcPr>
          <w:p>
            <w:pPr>
              <w:pStyle w:val="17"/>
              <w:jc w:val="center"/>
            </w:pPr>
          </w:p>
        </w:tc>
        <w:tc>
          <w:tcPr>
            <w:tcW w:w="2381" w:type="dxa"/>
            <w:vAlign w:val="center"/>
          </w:tcPr>
          <w:p>
            <w:pPr>
              <w:pStyle w:val="17"/>
            </w:pPr>
          </w:p>
        </w:tc>
      </w:tr>
    </w:tbl>
    <w:p>
      <w:pPr>
        <w:jc w:val="center"/>
        <w:outlineLvl w:val="0"/>
        <w:sectPr>
          <w:pgSz w:w="16840" w:h="11900" w:orient="landscape"/>
          <w:pgMar w:top="1361" w:right="1020" w:bottom="1361" w:left="1020" w:header="720" w:footer="720" w:gutter="0"/>
          <w:cols w:space="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阜平县政协2023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音准</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阜平县政协2023</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00" w:lineRule="exact"/>
        <w:ind w:firstLine="560"/>
        <w:rPr>
          <w:rFonts w:eastAsia="方正仿宋_GBK"/>
          <w:color w:val="000000"/>
          <w:sz w:val="28"/>
        </w:rPr>
      </w:pPr>
      <w:r>
        <w:rPr>
          <w:rFonts w:hint="eastAsia" w:eastAsia="方正仿宋_GBK"/>
          <w:color w:val="000000"/>
          <w:sz w:val="28"/>
        </w:rPr>
        <w:t>根据中共阜平县委办公室《关于印发政协阜平县委员会</w:t>
      </w:r>
      <w:r>
        <w:rPr>
          <w:rFonts w:hint="eastAsia" w:eastAsia="方正仿宋_GBK"/>
          <w:color w:val="000000"/>
          <w:sz w:val="28"/>
          <w:lang w:eastAsia="zh-CN"/>
        </w:rPr>
        <w:t>机关</w:t>
      </w:r>
      <w:r>
        <w:rPr>
          <w:rFonts w:hint="eastAsia" w:eastAsia="方正仿宋_GBK"/>
          <w:color w:val="000000"/>
          <w:sz w:val="28"/>
        </w:rPr>
        <w:t>职能配置、内设机构和人员编制规定》的通知（阜办</w:t>
      </w:r>
      <w:r>
        <w:rPr>
          <w:rFonts w:hint="eastAsia" w:eastAsia="方正仿宋_GBK"/>
          <w:color w:val="000000"/>
          <w:sz w:val="28"/>
          <w:lang w:eastAsia="zh-CN"/>
        </w:rPr>
        <w:t>字</w:t>
      </w:r>
      <w:r>
        <w:rPr>
          <w:rFonts w:hint="eastAsia" w:eastAsia="方正仿宋_GBK"/>
          <w:color w:val="000000"/>
          <w:sz w:val="28"/>
        </w:rPr>
        <w:t>[20</w:t>
      </w:r>
      <w:r>
        <w:rPr>
          <w:rFonts w:hint="eastAsia" w:eastAsia="方正仿宋_GBK"/>
          <w:color w:val="000000"/>
          <w:sz w:val="28"/>
          <w:lang w:eastAsia="zh-CN"/>
        </w:rPr>
        <w:t>20</w:t>
      </w:r>
      <w:r>
        <w:rPr>
          <w:rFonts w:hint="eastAsia" w:eastAsia="方正仿宋_GBK"/>
          <w:color w:val="000000"/>
          <w:sz w:val="28"/>
        </w:rPr>
        <w:t>]</w:t>
      </w:r>
      <w:r>
        <w:rPr>
          <w:rFonts w:hint="eastAsia" w:eastAsia="方正仿宋_GBK"/>
          <w:color w:val="000000"/>
          <w:sz w:val="28"/>
          <w:lang w:eastAsia="zh-CN"/>
        </w:rPr>
        <w:t>33</w:t>
      </w:r>
      <w:r>
        <w:rPr>
          <w:rFonts w:hint="eastAsia" w:eastAsia="方正仿宋_GBK"/>
          <w:color w:val="000000"/>
          <w:sz w:val="28"/>
        </w:rPr>
        <w:t>号），现将我单位部门概况说明如下：</w:t>
      </w:r>
    </w:p>
    <w:p>
      <w:pPr>
        <w:spacing w:line="500" w:lineRule="exact"/>
        <w:ind w:firstLine="560"/>
        <w:rPr>
          <w:rFonts w:eastAsia="方正仿宋_GBK"/>
          <w:color w:val="000000"/>
          <w:sz w:val="28"/>
          <w:lang w:eastAsia="zh-CN"/>
        </w:rPr>
      </w:pPr>
      <w:r>
        <w:rPr>
          <w:rFonts w:eastAsia="方正仿宋_GBK"/>
          <w:color w:val="000000"/>
          <w:sz w:val="28"/>
        </w:rPr>
        <w:t>第一条</w:t>
      </w:r>
      <w:r>
        <w:rPr>
          <w:rFonts w:hint="eastAsia" w:eastAsia="方正仿宋_GBK"/>
          <w:color w:val="000000"/>
          <w:sz w:val="28"/>
          <w:lang w:eastAsia="zh-CN"/>
        </w:rPr>
        <w:t xml:space="preserve">  </w:t>
      </w:r>
      <w:r>
        <w:rPr>
          <w:rFonts w:hint="eastAsia" w:eastAsia="方正仿宋_GBK"/>
          <w:color w:val="000000"/>
          <w:sz w:val="28"/>
        </w:rPr>
        <w:t>根据《中共保定市委办公厅、保定市人民政府办公厅关于印发</w:t>
      </w:r>
      <w:r>
        <w:rPr>
          <w:rFonts w:hint="eastAsia" w:eastAsia="方正仿宋_GBK"/>
          <w:color w:val="000000"/>
          <w:sz w:val="28"/>
          <w:lang w:eastAsia="zh-CN"/>
        </w:rPr>
        <w:t>&lt;</w:t>
      </w:r>
      <w:r>
        <w:rPr>
          <w:rFonts w:hint="eastAsia" w:eastAsia="方正仿宋_GBK"/>
          <w:color w:val="000000"/>
          <w:sz w:val="28"/>
        </w:rPr>
        <w:t>保定市</w:t>
      </w:r>
      <w:r>
        <w:rPr>
          <w:rFonts w:hint="eastAsia" w:eastAsia="方正仿宋_GBK"/>
          <w:color w:val="000000"/>
          <w:sz w:val="28"/>
          <w:lang w:eastAsia="zh-CN"/>
        </w:rPr>
        <w:t>阜</w:t>
      </w:r>
      <w:r>
        <w:rPr>
          <w:rFonts w:hint="eastAsia" w:eastAsia="方正仿宋_GBK"/>
          <w:color w:val="000000"/>
          <w:sz w:val="28"/>
        </w:rPr>
        <w:t>平</w:t>
      </w:r>
      <w:r>
        <w:rPr>
          <w:rFonts w:hint="eastAsia" w:eastAsia="方正仿宋_GBK"/>
          <w:color w:val="000000"/>
          <w:sz w:val="28"/>
          <w:lang w:eastAsia="zh-CN"/>
        </w:rPr>
        <w:t>县机构改革方案&gt;的通知》（保办字</w:t>
      </w:r>
      <w:r>
        <w:rPr>
          <w:rFonts w:hint="eastAsia" w:eastAsia="方正仿宋_GBK"/>
          <w:color w:val="000000"/>
          <w:sz w:val="28"/>
        </w:rPr>
        <w:t>[2018</w:t>
      </w:r>
      <w:r>
        <w:rPr>
          <w:rFonts w:hint="eastAsia" w:eastAsia="方正仿宋_GBK"/>
          <w:color w:val="000000"/>
          <w:sz w:val="28"/>
          <w:lang w:eastAsia="zh-CN"/>
        </w:rPr>
        <w:t>]</w:t>
      </w:r>
      <w:r>
        <w:rPr>
          <w:rFonts w:hint="eastAsia" w:eastAsia="方正仿宋_GBK"/>
          <w:color w:val="000000"/>
          <w:sz w:val="28"/>
        </w:rPr>
        <w:t>63号)</w:t>
      </w:r>
      <w:r>
        <w:rPr>
          <w:rFonts w:hint="eastAsia" w:eastAsia="方正仿宋_GBK"/>
          <w:color w:val="000000"/>
          <w:sz w:val="28"/>
          <w:lang w:eastAsia="zh-CN"/>
        </w:rPr>
        <w:t>和《中国人民政治协商会议章程》，中央和省委、市委、县委政协工作会议精神，制定本规定。</w:t>
      </w:r>
    </w:p>
    <w:p>
      <w:pPr>
        <w:spacing w:line="500" w:lineRule="exact"/>
        <w:ind w:firstLine="560"/>
        <w:rPr>
          <w:rFonts w:eastAsia="方正仿宋_GBK"/>
          <w:color w:val="000000"/>
          <w:sz w:val="28"/>
          <w:lang w:eastAsia="zh-CN"/>
        </w:rPr>
      </w:pPr>
      <w:r>
        <w:rPr>
          <w:rFonts w:eastAsia="方正仿宋_GBK"/>
          <w:color w:val="000000"/>
          <w:sz w:val="28"/>
        </w:rPr>
        <w:t>第二条</w:t>
      </w:r>
      <w:r>
        <w:rPr>
          <w:rFonts w:hint="eastAsia" w:eastAsia="方正仿宋_GBK"/>
          <w:color w:val="000000"/>
          <w:sz w:val="28"/>
          <w:lang w:eastAsia="zh-CN"/>
        </w:rPr>
        <w:t xml:space="preserve">  政协阜平县委员会机关设置县政协办公室和3个专门委员会(中国)人民政治协商会议阜平县提案和社会法制委员会、中国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pPr>
        <w:spacing w:line="500" w:lineRule="exact"/>
        <w:ind w:firstLine="560"/>
        <w:rPr>
          <w:rFonts w:eastAsia="方正仿宋_GBK"/>
          <w:color w:val="000000"/>
          <w:sz w:val="28"/>
          <w:lang w:eastAsia="zh-CN"/>
        </w:rPr>
      </w:pPr>
      <w:r>
        <w:rPr>
          <w:rFonts w:eastAsia="方正仿宋_GBK"/>
          <w:color w:val="000000"/>
          <w:sz w:val="28"/>
        </w:rPr>
        <w:t>第三条</w:t>
      </w:r>
      <w:r>
        <w:rPr>
          <w:rFonts w:hint="eastAsia" w:eastAsia="方正仿宋_GBK"/>
          <w:color w:val="000000"/>
          <w:sz w:val="28"/>
          <w:lang w:eastAsia="zh-CN"/>
        </w:rPr>
        <w:t xml:space="preserve">  贯彻落实中共中央和省委、市委、县委关于政协工作的方针政策和决策部署，坚持和加强党对政协工作的集中统一领导.</w:t>
      </w:r>
    </w:p>
    <w:p>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板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86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776"/>
        <w:gridCol w:w="1473"/>
        <w:gridCol w:w="1133"/>
        <w:gridCol w:w="22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2296"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377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296"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3776"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阜平县政协</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lang w:eastAsia="zh-CN"/>
              </w:rPr>
              <w:t>县处级</w:t>
            </w:r>
          </w:p>
        </w:tc>
        <w:tc>
          <w:tcPr>
            <w:tcW w:w="2296" w:type="dxa"/>
            <w:tcBorders>
              <w:top w:val="single" w:color="000000" w:sz="6" w:space="0"/>
              <w:left w:val="single" w:color="000000" w:sz="6" w:space="0"/>
              <w:bottom w:val="single" w:color="000000" w:sz="6" w:space="0"/>
              <w:right w:val="single" w:color="000000" w:sz="6" w:space="0"/>
            </w:tcBorders>
            <w:vAlign w:val="center"/>
          </w:tcPr>
          <w:p>
            <w:pPr>
              <w:pStyle w:val="16"/>
              <w:rPr>
                <w:b w:val="0"/>
              </w:rPr>
            </w:pPr>
            <w:r>
              <w:rPr>
                <w:rFonts w:hint="eastAsia"/>
                <w:b w:val="0"/>
              </w:rPr>
              <w:t>财政拨款</w:t>
            </w:r>
          </w:p>
        </w:tc>
      </w:tr>
    </w:tbl>
    <w:p>
      <w:pPr>
        <w:jc w:val="both"/>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w:t>
      </w:r>
      <w:r>
        <w:rPr>
          <w:rFonts w:hint="eastAsia"/>
          <w:lang w:eastAsia="zh-CN"/>
        </w:rPr>
        <w:t>2023</w:t>
      </w:r>
      <w:r>
        <w:t>年预算收入</w:t>
      </w:r>
      <w:r>
        <w:rPr>
          <w:rFonts w:hint="eastAsia"/>
          <w:lang w:eastAsia="zh-CN"/>
        </w:rPr>
        <w:t>446.35</w:t>
      </w:r>
      <w:r>
        <w:t>万元，其中：一般公共预算收入</w:t>
      </w:r>
      <w:r>
        <w:rPr>
          <w:rFonts w:hint="eastAsia"/>
          <w:lang w:eastAsia="zh-CN"/>
        </w:rPr>
        <w:t>446.35</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阜平县政协</w:t>
      </w:r>
      <w:r>
        <w:t>年度</w:t>
      </w:r>
      <w:r>
        <w:rPr>
          <w:rFonts w:hint="eastAsia"/>
          <w:lang w:eastAsia="zh-CN"/>
        </w:rPr>
        <w:t>单位</w:t>
      </w:r>
      <w:r>
        <w:t>预算中支出预算的总体情况。</w:t>
      </w:r>
      <w:r>
        <w:rPr>
          <w:rFonts w:hint="eastAsia"/>
          <w:lang w:eastAsia="zh-CN"/>
        </w:rPr>
        <w:t>2023</w:t>
      </w:r>
      <w:r>
        <w:t>年支出预算</w:t>
      </w:r>
      <w:r>
        <w:rPr>
          <w:rFonts w:hint="eastAsia"/>
          <w:lang w:eastAsia="zh-CN"/>
        </w:rPr>
        <w:t>446.35</w:t>
      </w:r>
      <w:r>
        <w:t>万元，其中基本支出</w:t>
      </w:r>
      <w:r>
        <w:rPr>
          <w:rFonts w:hint="eastAsia"/>
          <w:lang w:eastAsia="zh-CN"/>
        </w:rPr>
        <w:t>367.77</w:t>
      </w:r>
      <w:r>
        <w:t>万元，包括人员经费</w:t>
      </w:r>
      <w:r>
        <w:rPr>
          <w:rFonts w:hint="eastAsia"/>
          <w:lang w:eastAsia="zh-CN"/>
        </w:rPr>
        <w:t>301.56</w:t>
      </w:r>
      <w:r>
        <w:t>万元和日常公用经费</w:t>
      </w:r>
      <w:r>
        <w:rPr>
          <w:rFonts w:hint="eastAsia"/>
          <w:lang w:eastAsia="zh-CN"/>
        </w:rPr>
        <w:t>67.21</w:t>
      </w:r>
      <w:r>
        <w:t>万元；项目支出</w:t>
      </w:r>
      <w:r>
        <w:rPr>
          <w:rFonts w:hint="eastAsia"/>
          <w:lang w:eastAsia="zh-CN"/>
        </w:rPr>
        <w:t>77.58</w:t>
      </w:r>
      <w:r>
        <w:t>万元，主要为</w:t>
      </w:r>
      <w:r>
        <w:rPr>
          <w:rFonts w:hint="eastAsia"/>
          <w:lang w:eastAsia="zh-CN"/>
        </w:rPr>
        <w:t>劳务派遣人员经费、政协会议、委员视察等项目</w:t>
      </w:r>
      <w:r>
        <w:t>。</w:t>
      </w:r>
    </w:p>
    <w:p>
      <w:pPr>
        <w:pStyle w:val="24"/>
      </w:pPr>
      <w:r>
        <w:t>3、比上年增减情况</w:t>
      </w:r>
    </w:p>
    <w:p>
      <w:pPr>
        <w:pStyle w:val="24"/>
      </w:pPr>
      <w:r>
        <w:rPr>
          <w:rFonts w:hint="eastAsia"/>
          <w:lang w:eastAsia="zh-CN"/>
        </w:rPr>
        <w:t>2023</w:t>
      </w:r>
      <w:r>
        <w:t>年预算收支安排</w:t>
      </w:r>
      <w:r>
        <w:rPr>
          <w:rFonts w:hint="eastAsia"/>
          <w:lang w:eastAsia="zh-CN"/>
        </w:rPr>
        <w:t>446.35</w:t>
      </w:r>
      <w:r>
        <w:t>万元，较</w:t>
      </w:r>
      <w:r>
        <w:rPr>
          <w:rFonts w:hint="eastAsia"/>
          <w:lang w:eastAsia="zh-CN"/>
        </w:rPr>
        <w:t>2022</w:t>
      </w:r>
      <w:r>
        <w:t>年</w:t>
      </w:r>
      <w:r>
        <w:rPr>
          <w:rFonts w:hint="eastAsia"/>
          <w:lang w:eastAsia="zh-CN"/>
        </w:rPr>
        <w:t>（460.52万元）</w:t>
      </w:r>
      <w:r>
        <w:t>预算</w:t>
      </w:r>
      <w:r>
        <w:rPr>
          <w:rFonts w:hint="eastAsia"/>
          <w:lang w:eastAsia="zh-CN"/>
        </w:rPr>
        <w:t>减少14.17</w:t>
      </w:r>
      <w:r>
        <w:t>万元，其中：基本支出增加</w:t>
      </w:r>
      <w:r>
        <w:rPr>
          <w:rFonts w:hint="eastAsia"/>
          <w:lang w:eastAsia="zh-CN"/>
        </w:rPr>
        <w:t>10.68</w:t>
      </w:r>
      <w:r>
        <w:t>万元，主要是</w:t>
      </w:r>
      <w:r>
        <w:rPr>
          <w:rFonts w:hint="eastAsia"/>
          <w:lang w:eastAsia="zh-CN"/>
        </w:rPr>
        <w:t>增</w:t>
      </w:r>
      <w:r>
        <w:t>加</w:t>
      </w:r>
      <w:r>
        <w:rPr>
          <w:rFonts w:hint="eastAsia"/>
          <w:lang w:eastAsia="zh-CN"/>
        </w:rPr>
        <w:t>了</w:t>
      </w:r>
      <w:r>
        <w:t>人员经费支出；项目支出</w:t>
      </w:r>
      <w:r>
        <w:rPr>
          <w:rFonts w:hint="eastAsia"/>
          <w:lang w:eastAsia="zh-CN"/>
        </w:rPr>
        <w:t>减少24.85万元，主要是响应八项规定，压缩开支，减少了项目</w:t>
      </w:r>
      <w:r>
        <w:t>。</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25"/>
        <w:ind w:firstLineChars="200"/>
      </w:pPr>
      <w:bookmarkStart w:id="12" w:name="_Toc_3_3_0000000013"/>
      <w:r>
        <w:rPr>
          <w:rFonts w:hint="eastAsia"/>
          <w:lang w:eastAsia="zh-CN"/>
        </w:rPr>
        <w:t>2023</w:t>
      </w:r>
      <w:r>
        <w:t>年，我</w:t>
      </w:r>
      <w:r>
        <w:rPr>
          <w:rFonts w:hint="eastAsia"/>
          <w:lang w:eastAsia="zh-CN"/>
        </w:rPr>
        <w:t>单位</w:t>
      </w:r>
      <w:r>
        <w:t>运行经费共计安排</w:t>
      </w:r>
      <w:r>
        <w:rPr>
          <w:rFonts w:hint="eastAsia"/>
          <w:lang w:eastAsia="zh-CN"/>
        </w:rPr>
        <w:t>67.21</w:t>
      </w:r>
      <w:r>
        <w:t>万元，主要用于</w:t>
      </w:r>
      <w:r>
        <w:rPr>
          <w:rFonts w:hint="eastAsia"/>
          <w:lang w:eastAsia="zh-CN"/>
        </w:rPr>
        <w:t>办公</w:t>
      </w:r>
      <w:r>
        <w:t>、</w:t>
      </w:r>
      <w:r>
        <w:rPr>
          <w:rFonts w:hint="eastAsia"/>
          <w:lang w:eastAsia="zh-CN"/>
        </w:rPr>
        <w:t>邮电、公务用车运行维护</w:t>
      </w:r>
      <w:r>
        <w:t>等日常运行支出。</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pStyle w:val="26"/>
      </w:pPr>
      <w:bookmarkStart w:id="13" w:name="_Toc_3_3_0000000014"/>
      <w:r>
        <w:rPr>
          <w:rFonts w:hint="eastAsia"/>
          <w:lang w:eastAsia="zh-CN"/>
        </w:rPr>
        <w:t>2023</w:t>
      </w:r>
      <w:r>
        <w:t>年，我</w:t>
      </w:r>
      <w:r>
        <w:rPr>
          <w:rFonts w:hint="eastAsia"/>
          <w:lang w:eastAsia="zh-CN"/>
        </w:rPr>
        <w:t>单位</w:t>
      </w:r>
      <w:r>
        <w:t>财政拨款“三公”经费预算安排</w:t>
      </w:r>
      <w:r>
        <w:rPr>
          <w:rFonts w:hint="eastAsia"/>
          <w:lang w:eastAsia="zh-CN"/>
        </w:rPr>
        <w:t>8.6</w:t>
      </w:r>
      <w:r>
        <w:t>万元，其中因公出国（境）费</w:t>
      </w:r>
      <w:r>
        <w:rPr>
          <w:rFonts w:hint="eastAsia"/>
          <w:lang w:eastAsia="zh-CN"/>
        </w:rPr>
        <w:t>0</w:t>
      </w:r>
      <w:r>
        <w:t>万元；公务用车购置及运维费</w:t>
      </w:r>
      <w:r>
        <w:rPr>
          <w:rFonts w:hint="eastAsia"/>
          <w:lang w:eastAsia="zh-CN"/>
        </w:rPr>
        <w:t>8</w:t>
      </w:r>
      <w:r>
        <w:t>万元（其中：公务用车购置费为</w:t>
      </w:r>
      <w:r>
        <w:rPr>
          <w:rFonts w:hint="eastAsia"/>
          <w:lang w:eastAsia="zh-CN"/>
        </w:rPr>
        <w:t>0</w:t>
      </w:r>
      <w:r>
        <w:t>万元，公务用车运维费</w:t>
      </w:r>
      <w:r>
        <w:rPr>
          <w:rFonts w:hint="eastAsia"/>
          <w:lang w:eastAsia="zh-CN"/>
        </w:rPr>
        <w:t>8</w:t>
      </w:r>
      <w:r>
        <w:t>万元)；公务接待费</w:t>
      </w:r>
      <w:r>
        <w:rPr>
          <w:rFonts w:hint="eastAsia"/>
          <w:lang w:eastAsia="zh-CN"/>
        </w:rPr>
        <w:t>0.60</w:t>
      </w:r>
      <w:r>
        <w:t>万元。与</w:t>
      </w:r>
      <w:r>
        <w:rPr>
          <w:rFonts w:hint="eastAsia"/>
          <w:lang w:eastAsia="zh-CN"/>
        </w:rPr>
        <w:t>2022</w:t>
      </w:r>
      <w:r>
        <w:t>年相比</w:t>
      </w:r>
      <w:r>
        <w:rPr>
          <w:rFonts w:hint="eastAsia"/>
          <w:lang w:val="en-US" w:eastAsia="zh-CN"/>
        </w:rPr>
        <w:t>减少了14.32万元，主要是减少了公务用车购置经费</w:t>
      </w:r>
      <w:r>
        <w:t>。</w:t>
      </w:r>
    </w:p>
    <w:p>
      <w:pPr>
        <w:pStyle w:val="26"/>
      </w:pP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ind w:firstLine="560" w:firstLineChars="200"/>
        <w:rPr>
          <w:rFonts w:eastAsia="方正仿宋_GBK"/>
          <w:sz w:val="28"/>
        </w:rPr>
      </w:pPr>
      <w:r>
        <w:rPr>
          <w:rFonts w:hint="eastAsia" w:eastAsia="方正仿宋_GBK"/>
          <w:sz w:val="28"/>
        </w:rPr>
        <w:t>一年来，各项工作虽然取得一定成效，但</w:t>
      </w:r>
      <w:r>
        <w:rPr>
          <w:rFonts w:hint="eastAsia" w:eastAsia="方正仿宋_GBK"/>
          <w:sz w:val="28"/>
          <w:lang w:eastAsia="zh-CN"/>
        </w:rPr>
        <w:t>仍需要在聚焦县委、县政府中心任务，提升参政议政水平上下功夫</w:t>
      </w:r>
      <w:r>
        <w:rPr>
          <w:rFonts w:hint="eastAsia" w:eastAsia="方正仿宋_GBK"/>
          <w:sz w:val="28"/>
        </w:rPr>
        <w:t>。202</w:t>
      </w:r>
      <w:r>
        <w:rPr>
          <w:rFonts w:hint="eastAsia" w:eastAsia="方正仿宋_GBK"/>
          <w:sz w:val="28"/>
          <w:lang w:eastAsia="zh-CN"/>
        </w:rPr>
        <w:t>2</w:t>
      </w:r>
      <w:r>
        <w:rPr>
          <w:rFonts w:hint="eastAsia" w:eastAsia="方正仿宋_GBK"/>
          <w:sz w:val="28"/>
        </w:rPr>
        <w:t>年县政协将高举中国特色社会主义伟大旗帜，深入学习贯彻习近平总书记系列重要讲话精神，以新发展理念为统领，坚持</w:t>
      </w:r>
      <w:r>
        <w:rPr>
          <w:rFonts w:hint="eastAsia" w:eastAsia="方正仿宋_GBK"/>
          <w:sz w:val="28"/>
          <w:lang w:eastAsia="zh-CN"/>
        </w:rPr>
        <w:t>人民至上</w:t>
      </w:r>
      <w:r>
        <w:rPr>
          <w:rFonts w:hint="eastAsia" w:eastAsia="方正仿宋_GBK"/>
          <w:sz w:val="28"/>
        </w:rPr>
        <w:t>，更加注重改革创新，更加注重履职实效，更加注重自身建设，</w:t>
      </w:r>
      <w:r>
        <w:rPr>
          <w:rFonts w:hint="eastAsia" w:eastAsia="方正仿宋_GBK"/>
          <w:sz w:val="28"/>
          <w:lang w:eastAsia="zh-CN"/>
        </w:rPr>
        <w:t>不断提升政协履职水平</w:t>
      </w:r>
      <w:r>
        <w:rPr>
          <w:rFonts w:hint="eastAsia" w:eastAsia="方正仿宋_GBK"/>
          <w:sz w:val="28"/>
        </w:rPr>
        <w:t>。</w:t>
      </w:r>
    </w:p>
    <w:p>
      <w:pPr>
        <w:ind w:firstLine="560" w:firstLineChars="200"/>
        <w:rPr>
          <w:rFonts w:eastAsia="方正仿宋_GBK"/>
          <w:b/>
          <w:bCs/>
          <w:sz w:val="28"/>
          <w:lang w:eastAsia="zh-CN"/>
        </w:rPr>
      </w:pPr>
      <w:r>
        <w:rPr>
          <w:rFonts w:hint="eastAsia" w:eastAsia="方正仿宋_GBK"/>
          <w:b/>
          <w:bCs/>
          <w:sz w:val="28"/>
          <w:lang w:eastAsia="zh-CN"/>
        </w:rPr>
        <w:t>（一）持续加强政治建设，强化理论武装，更加自觉地坚持党的全面领导</w:t>
      </w:r>
    </w:p>
    <w:p>
      <w:pPr>
        <w:ind w:firstLine="560" w:firstLineChars="200"/>
        <w:rPr>
          <w:rFonts w:eastAsia="方正仿宋_GBK"/>
          <w:sz w:val="28"/>
          <w:lang w:eastAsia="zh-CN"/>
        </w:rPr>
      </w:pPr>
      <w:r>
        <w:rPr>
          <w:rFonts w:hint="eastAsia" w:eastAsia="方正仿宋_GBK"/>
          <w:b/>
          <w:bCs/>
          <w:sz w:val="28"/>
          <w:lang w:eastAsia="zh-CN"/>
        </w:rPr>
        <w:t>1.旗帜鲜明讲政治。</w:t>
      </w:r>
      <w:r>
        <w:rPr>
          <w:rFonts w:hint="eastAsia" w:eastAsia="方正仿宋_GBK"/>
          <w:sz w:val="28"/>
          <w:lang w:eastAsia="zh-CN"/>
        </w:rPr>
        <w:t>要</w:t>
      </w:r>
      <w:r>
        <w:rPr>
          <w:rFonts w:eastAsia="方正仿宋_GBK"/>
          <w:sz w:val="28"/>
          <w:lang w:eastAsia="zh-CN"/>
        </w:rPr>
        <w:t>始终将政协工作置于党的领导之下，坚决贯彻执行</w:t>
      </w:r>
      <w:r>
        <w:rPr>
          <w:rFonts w:hint="eastAsia" w:eastAsia="方正仿宋_GBK"/>
          <w:sz w:val="28"/>
          <w:lang w:eastAsia="zh-CN"/>
        </w:rPr>
        <w:t>中央、省市县委</w:t>
      </w:r>
      <w:r>
        <w:rPr>
          <w:rFonts w:eastAsia="方正仿宋_GBK"/>
          <w:sz w:val="28"/>
          <w:lang w:eastAsia="zh-CN"/>
        </w:rPr>
        <w:t>决策部署，做到</w:t>
      </w:r>
      <w:r>
        <w:rPr>
          <w:rFonts w:hint="eastAsia" w:eastAsia="方正仿宋_GBK"/>
          <w:sz w:val="28"/>
          <w:lang w:eastAsia="zh-CN"/>
        </w:rPr>
        <w:t>县委中心</w:t>
      </w:r>
      <w:r>
        <w:rPr>
          <w:rFonts w:eastAsia="方正仿宋_GBK"/>
          <w:sz w:val="28"/>
          <w:lang w:eastAsia="zh-CN"/>
        </w:rPr>
        <w:t>工作推进到哪里</w:t>
      </w:r>
      <w:r>
        <w:rPr>
          <w:rFonts w:hint="eastAsia" w:eastAsia="方正仿宋_GBK"/>
          <w:sz w:val="28"/>
          <w:lang w:eastAsia="zh-CN"/>
        </w:rPr>
        <w:t>、</w:t>
      </w:r>
      <w:r>
        <w:rPr>
          <w:rFonts w:eastAsia="方正仿宋_GBK"/>
          <w:sz w:val="28"/>
          <w:lang w:eastAsia="zh-CN"/>
        </w:rPr>
        <w:t>政协工作就跟进到哪里</w:t>
      </w:r>
      <w:r>
        <w:rPr>
          <w:rFonts w:hint="eastAsia" w:eastAsia="方正仿宋_GBK"/>
          <w:sz w:val="28"/>
          <w:lang w:eastAsia="zh-CN"/>
        </w:rPr>
        <w:t>、</w:t>
      </w:r>
      <w:r>
        <w:rPr>
          <w:rFonts w:eastAsia="方正仿宋_GBK"/>
          <w:sz w:val="28"/>
          <w:lang w:eastAsia="zh-CN"/>
        </w:rPr>
        <w:t>合力共识就凝聚到哪里，</w:t>
      </w:r>
      <w:r>
        <w:rPr>
          <w:rFonts w:hint="eastAsia" w:eastAsia="方正仿宋_GBK"/>
          <w:sz w:val="28"/>
          <w:lang w:eastAsia="zh-CN"/>
        </w:rPr>
        <w:t>做到党委有号召、政协有响应、委员有行动，</w:t>
      </w:r>
      <w:r>
        <w:rPr>
          <w:rFonts w:eastAsia="方正仿宋_GBK"/>
          <w:sz w:val="28"/>
          <w:lang w:eastAsia="zh-CN"/>
        </w:rPr>
        <w:t>切实担负起推动</w:t>
      </w:r>
      <w:r>
        <w:rPr>
          <w:rFonts w:hint="eastAsia" w:eastAsia="方正仿宋_GBK"/>
          <w:sz w:val="28"/>
          <w:lang w:eastAsia="zh-CN"/>
        </w:rPr>
        <w:t>党委</w:t>
      </w:r>
      <w:r>
        <w:rPr>
          <w:rFonts w:eastAsia="方正仿宋_GBK"/>
          <w:sz w:val="28"/>
          <w:lang w:eastAsia="zh-CN"/>
        </w:rPr>
        <w:t>决策部署贯彻落实的政治责任。</w:t>
      </w:r>
    </w:p>
    <w:p>
      <w:pPr>
        <w:ind w:firstLine="560" w:firstLineChars="200"/>
        <w:rPr>
          <w:rFonts w:eastAsia="方正仿宋_GBK"/>
          <w:sz w:val="28"/>
          <w:lang w:eastAsia="zh-CN"/>
        </w:rPr>
      </w:pPr>
      <w:r>
        <w:rPr>
          <w:rFonts w:hint="eastAsia" w:eastAsia="方正仿宋_GBK"/>
          <w:b/>
          <w:bCs/>
          <w:sz w:val="28"/>
          <w:lang w:eastAsia="zh-CN"/>
        </w:rPr>
        <w:t>2.持之以恒抓学习。</w:t>
      </w:r>
      <w:r>
        <w:rPr>
          <w:rFonts w:hint="eastAsia" w:eastAsia="方正仿宋_GBK"/>
          <w:sz w:val="28"/>
          <w:lang w:eastAsia="zh-CN"/>
        </w:rPr>
        <w:t>把学习习近平新时代中国特色社会主义思想作为政协工作的重中之重，</w:t>
      </w:r>
      <w:r>
        <w:rPr>
          <w:rFonts w:eastAsia="方正仿宋_GBK"/>
          <w:sz w:val="28"/>
          <w:lang w:eastAsia="zh-CN"/>
        </w:rPr>
        <w:t>坚持理论联系实际，坚持学用一致，</w:t>
      </w:r>
      <w:r>
        <w:rPr>
          <w:rFonts w:hint="eastAsia" w:eastAsia="方正仿宋_GBK"/>
          <w:sz w:val="28"/>
          <w:lang w:eastAsia="zh-CN"/>
        </w:rPr>
        <w:t>切实用党的创新理论</w:t>
      </w:r>
      <w:r>
        <w:rPr>
          <w:rFonts w:eastAsia="方正仿宋_GBK"/>
          <w:sz w:val="28"/>
          <w:lang w:eastAsia="zh-CN"/>
        </w:rPr>
        <w:t>武装头脑、指导实践、推动工作</w:t>
      </w:r>
      <w:r>
        <w:rPr>
          <w:rFonts w:hint="eastAsia" w:eastAsia="方正仿宋_GBK"/>
          <w:sz w:val="28"/>
          <w:lang w:eastAsia="zh-CN"/>
        </w:rPr>
        <w:t>，</w:t>
      </w:r>
      <w:r>
        <w:rPr>
          <w:rFonts w:eastAsia="方正仿宋_GBK"/>
          <w:sz w:val="28"/>
          <w:lang w:eastAsia="zh-CN"/>
        </w:rPr>
        <w:t>增强“四个意识”、坚定“四个自信”、做到“两个维护”</w:t>
      </w:r>
      <w:r>
        <w:rPr>
          <w:rFonts w:hint="eastAsia" w:eastAsia="方正仿宋_GBK"/>
          <w:sz w:val="28"/>
          <w:lang w:eastAsia="zh-CN"/>
        </w:rPr>
        <w:t>。</w:t>
      </w:r>
    </w:p>
    <w:p>
      <w:pPr>
        <w:ind w:firstLine="560" w:firstLineChars="200"/>
        <w:rPr>
          <w:rFonts w:eastAsia="方正仿宋_GBK"/>
          <w:sz w:val="28"/>
          <w:lang w:eastAsia="zh-CN"/>
        </w:rPr>
      </w:pPr>
      <w:r>
        <w:rPr>
          <w:rFonts w:hint="eastAsia" w:eastAsia="方正仿宋_GBK"/>
          <w:b/>
          <w:bCs/>
          <w:sz w:val="28"/>
          <w:lang w:eastAsia="zh-CN"/>
        </w:rPr>
        <w:t>3.全力以赴抓提升。</w:t>
      </w:r>
      <w:r>
        <w:rPr>
          <w:rFonts w:hint="eastAsia" w:eastAsia="方正仿宋_GBK"/>
          <w:sz w:val="28"/>
          <w:lang w:eastAsia="zh-CN"/>
        </w:rPr>
        <w:t>切实加强县政协党组建设，不断提升“把方向、管大局、保落实”的能力，努力打造推动县委决策落实的坚强有力的“指挥部”和“战斗部”。着力抓好政协机关党支部建设，进一步增强政协机关党组织的凝聚力、战斗力。探索建立党员委员参加双重组织生活制度，努力实现党的组织对党员委员全覆盖，党的工作对政协委员全覆盖。</w:t>
      </w:r>
    </w:p>
    <w:p>
      <w:pPr>
        <w:ind w:firstLine="560" w:firstLineChars="200"/>
        <w:rPr>
          <w:rFonts w:eastAsia="方正仿宋_GBK"/>
          <w:b/>
          <w:bCs/>
          <w:sz w:val="28"/>
          <w:lang w:eastAsia="zh-CN"/>
        </w:rPr>
      </w:pPr>
      <w:r>
        <w:rPr>
          <w:rFonts w:hint="eastAsia" w:eastAsia="方正仿宋_GBK"/>
          <w:b/>
          <w:bCs/>
          <w:sz w:val="28"/>
          <w:lang w:eastAsia="zh-CN"/>
        </w:rPr>
        <w:t>（二）聚焦县委中心工作，立足性质定位，充分发挥好政协专门协商机构作用</w:t>
      </w:r>
    </w:p>
    <w:p>
      <w:pPr>
        <w:ind w:firstLine="560" w:firstLineChars="200"/>
        <w:rPr>
          <w:rFonts w:eastAsia="方正仿宋_GBK"/>
          <w:sz w:val="28"/>
          <w:lang w:eastAsia="zh-CN"/>
        </w:rPr>
      </w:pPr>
      <w:r>
        <w:rPr>
          <w:rFonts w:hint="eastAsia" w:eastAsia="方正仿宋_GBK"/>
          <w:b/>
          <w:bCs/>
          <w:sz w:val="28"/>
          <w:lang w:eastAsia="zh-CN"/>
        </w:rPr>
        <w:t>1.增强协商建言实效。</w:t>
      </w:r>
      <w:r>
        <w:rPr>
          <w:rFonts w:hint="eastAsia" w:eastAsia="方正仿宋_GBK"/>
          <w:sz w:val="28"/>
          <w:lang w:eastAsia="zh-CN"/>
        </w:rPr>
        <w:t>要紧紧围绕县委确定的“建设保定市西部中心城市，实现两个翻一番”发展目标，持续围绕脱贫攻坚成果巩固、乡村振兴战略实施、开发区扩区升级、旅游产业发展、县城建设、生态保护和建设、社会治理、民生改善等重点工作开展协商活动，积极为全县发展建真言、献良策，助力我县加快融入京雄保一体化发展新格局。年内，重点围绕乡村振兴、招商引资、县城建设、旅游产业发展推进情况，开展专题协商议政。</w:t>
      </w:r>
    </w:p>
    <w:p>
      <w:pPr>
        <w:ind w:firstLine="560" w:firstLineChars="200"/>
        <w:rPr>
          <w:rFonts w:eastAsia="方正仿宋_GBK"/>
          <w:sz w:val="28"/>
          <w:lang w:eastAsia="zh-CN"/>
        </w:rPr>
      </w:pPr>
      <w:r>
        <w:rPr>
          <w:rFonts w:hint="eastAsia" w:eastAsia="方正仿宋_GBK"/>
          <w:b/>
          <w:bCs/>
          <w:sz w:val="28"/>
          <w:lang w:eastAsia="zh-CN"/>
        </w:rPr>
        <w:t>2.完善协商民主形式。</w:t>
      </w:r>
      <w:r>
        <w:rPr>
          <w:rFonts w:hint="eastAsia" w:eastAsia="方正仿宋_GBK"/>
          <w:sz w:val="28"/>
          <w:lang w:eastAsia="zh-CN"/>
        </w:rPr>
        <w:t>完善以全体会议为龙头，以专题议政性常委会和专题协商会为重点，以协商座谈会、对口协商会、提案办理协商会等为常态的协商议政格局，充分发挥委员“智库”优势，持续深入组织开展协商议政。坚持把协商民主贯穿政治协商、民主监督、参政议政全过程，充分发挥协商式监督的特色优势。</w:t>
      </w:r>
    </w:p>
    <w:p>
      <w:pPr>
        <w:ind w:firstLine="560" w:firstLineChars="200"/>
        <w:rPr>
          <w:rFonts w:eastAsia="方正仿宋_GBK"/>
          <w:sz w:val="28"/>
          <w:lang w:eastAsia="zh-CN"/>
        </w:rPr>
      </w:pPr>
      <w:r>
        <w:rPr>
          <w:rFonts w:hint="eastAsia" w:eastAsia="方正仿宋_GBK"/>
          <w:b/>
          <w:bCs/>
          <w:sz w:val="28"/>
          <w:lang w:eastAsia="zh-CN"/>
        </w:rPr>
        <w:t>3.创新协商民主机制。</w:t>
      </w:r>
      <w:r>
        <w:rPr>
          <w:rFonts w:hint="eastAsia" w:eastAsia="方正仿宋_GBK"/>
          <w:sz w:val="28"/>
          <w:lang w:eastAsia="zh-CN"/>
        </w:rPr>
        <w:t>把调查研究作为政协开展民主协商的基础性工作来抓，坚持调研于协商之前，针对协商议题组织精干力量开展深入调研，摸透实情，找准症结，提实建议；探索建立与党政部门、民主团体及社会各界的联合调研制度，提升调查研究的实效性。建立健全协商成果采纳、落实和反馈机制，加强跟踪督促，推动协商成果有效转化为政策和具体工作举措。</w:t>
      </w:r>
    </w:p>
    <w:p>
      <w:pPr>
        <w:ind w:firstLine="560" w:firstLineChars="200"/>
        <w:rPr>
          <w:rFonts w:eastAsia="方正仿宋_GBK"/>
          <w:b/>
          <w:bCs/>
          <w:sz w:val="28"/>
          <w:lang w:eastAsia="zh-CN"/>
        </w:rPr>
      </w:pPr>
      <w:r>
        <w:rPr>
          <w:rFonts w:hint="eastAsia" w:eastAsia="方正仿宋_GBK"/>
          <w:b/>
          <w:bCs/>
          <w:sz w:val="28"/>
          <w:lang w:eastAsia="zh-CN"/>
        </w:rPr>
        <w:t>（三）强化思想政治引领，广泛凝聚共识，为推进高质量高速发展汇聚正能量</w:t>
      </w:r>
    </w:p>
    <w:p>
      <w:pPr>
        <w:ind w:firstLine="560" w:firstLineChars="200"/>
        <w:rPr>
          <w:rFonts w:eastAsia="方正仿宋_GBK"/>
          <w:sz w:val="28"/>
          <w:lang w:eastAsia="zh-CN"/>
        </w:rPr>
      </w:pPr>
      <w:r>
        <w:rPr>
          <w:rFonts w:hint="eastAsia" w:eastAsia="方正仿宋_GBK"/>
          <w:b/>
          <w:bCs/>
          <w:sz w:val="28"/>
          <w:lang w:eastAsia="zh-CN"/>
        </w:rPr>
        <w:t>1.做好政协委员凝聚共识工作。</w:t>
      </w:r>
      <w:r>
        <w:rPr>
          <w:rFonts w:hint="eastAsia" w:eastAsia="方正仿宋_GBK"/>
          <w:sz w:val="28"/>
          <w:lang w:eastAsia="zh-CN"/>
        </w:rPr>
        <w:t>完善委员学习座谈制度，组织开展委员读书活动，深化党的创新理论学习，不断加深对党委政府决策部署的理解、认同，筑牢共同思想政治基础。严格落实谈心谈话制度，探索建立委员接待日等制度，加强与委员的沟通交流，思想引导。将凝聚共识融入各项履职活动，在各种协商会议中、视察考察调研中、走访看望委员中、提案办理中、反映社情民意中凝聚广大委员的共识。</w:t>
      </w:r>
    </w:p>
    <w:p>
      <w:pPr>
        <w:ind w:firstLine="560" w:firstLineChars="200"/>
        <w:rPr>
          <w:rFonts w:eastAsia="方正仿宋_GBK"/>
          <w:sz w:val="28"/>
          <w:lang w:eastAsia="zh-CN"/>
        </w:rPr>
      </w:pPr>
      <w:r>
        <w:rPr>
          <w:rFonts w:hint="eastAsia" w:eastAsia="方正仿宋_GBK"/>
          <w:b/>
          <w:bCs/>
          <w:sz w:val="28"/>
          <w:lang w:eastAsia="zh-CN"/>
        </w:rPr>
        <w:t>2.做好各党派团体和社会各界人士凝聚共识工作。</w:t>
      </w:r>
      <w:r>
        <w:rPr>
          <w:rFonts w:hint="eastAsia" w:eastAsia="方正仿宋_GBK"/>
          <w:sz w:val="28"/>
          <w:lang w:eastAsia="zh-CN"/>
        </w:rPr>
        <w:t>组织召开县各民主团体、驻县民主党派人士联谊座谈会，同时探索建立邀请县各民主团体、驻县民主党派人士、党外知识分子、非公有制经济人士、新社会阶层人士参加政协重要活动制度，在座谈交流、视察调研、考察学习中听取建议、凝聚共识。组织引导广大政协委员深入宣传党和国家的方针政策、县委县政府的决策部署，全力做好协调关系、理顺情绪、化解矛盾等工作，切实把党的主张转化为广大人民群众的普遍共识，形成推动阜平高质量高速发展的强大合力。</w:t>
      </w:r>
    </w:p>
    <w:p>
      <w:pPr>
        <w:ind w:firstLine="560" w:firstLineChars="200"/>
        <w:rPr>
          <w:rFonts w:eastAsia="方正仿宋_GBK"/>
          <w:sz w:val="28"/>
          <w:lang w:eastAsia="zh-CN"/>
        </w:rPr>
      </w:pPr>
      <w:r>
        <w:rPr>
          <w:rFonts w:hint="eastAsia" w:eastAsia="方正仿宋_GBK"/>
          <w:b/>
          <w:bCs/>
          <w:sz w:val="28"/>
          <w:lang w:eastAsia="zh-CN"/>
        </w:rPr>
        <w:t>3.积极面向社会广泛传播共识。</w:t>
      </w:r>
      <w:r>
        <w:rPr>
          <w:rFonts w:hint="eastAsia" w:eastAsia="方正仿宋_GBK"/>
          <w:sz w:val="28"/>
          <w:lang w:eastAsia="zh-CN"/>
        </w:rPr>
        <w:t>扎实推进政协文史工作，以创建政协系统寻根初心和共识的学习实践基地为抓手，深入挖掘，广泛宣传，重点打造城南庄“五一口号”发布地这张历史文化名片。组织动员广大政协委员带着感情和责任，宣传阜平大好的发展形势、良好的投资环境、成熟的招商政策，认真履行好招商引资工作“宣传员”“战斗员”责任，为招商引资牵线搭桥、设台铺路，努力为我县发展营造良好的舆论氛围。</w:t>
      </w:r>
    </w:p>
    <w:p>
      <w:pPr>
        <w:ind w:firstLine="560" w:firstLineChars="200"/>
        <w:rPr>
          <w:rFonts w:eastAsia="方正仿宋_GBK"/>
          <w:b/>
          <w:bCs/>
          <w:sz w:val="28"/>
          <w:lang w:eastAsia="zh-CN"/>
        </w:rPr>
      </w:pPr>
      <w:r>
        <w:rPr>
          <w:rFonts w:hint="eastAsia" w:eastAsia="方正仿宋_GBK"/>
          <w:b/>
          <w:bCs/>
          <w:sz w:val="28"/>
          <w:lang w:eastAsia="zh-CN"/>
        </w:rPr>
        <w:t>（四）围绕新时代新要求，加强自身建设，不断提升政协履职能力</w:t>
      </w:r>
    </w:p>
    <w:p>
      <w:pPr>
        <w:ind w:firstLine="560" w:firstLineChars="200"/>
        <w:rPr>
          <w:rFonts w:eastAsia="方正仿宋_GBK"/>
          <w:sz w:val="28"/>
          <w:lang w:eastAsia="zh-CN"/>
        </w:rPr>
      </w:pPr>
      <w:r>
        <w:rPr>
          <w:rFonts w:hint="eastAsia" w:eastAsia="方正仿宋_GBK"/>
          <w:b/>
          <w:bCs/>
          <w:sz w:val="28"/>
          <w:lang w:eastAsia="zh-CN"/>
        </w:rPr>
        <w:t>1.加强政协制度建设。</w:t>
      </w:r>
      <w:r>
        <w:rPr>
          <w:rFonts w:hint="eastAsia" w:eastAsia="方正仿宋_GBK"/>
          <w:sz w:val="28"/>
          <w:lang w:eastAsia="zh-CN"/>
        </w:rPr>
        <w:t>依据《中华人民共和国宪法》《中国人民政治协商会议章程》和其他有关规定，不断健全完善常委会工作制度及议事民主程序，推进各项工作制度化、规范化、程序化。健全</w:t>
      </w:r>
      <w:r>
        <w:rPr>
          <w:rFonts w:hint="eastAsia" w:eastAsia="方正仿宋_GBK"/>
          <w:sz w:val="28"/>
        </w:rPr>
        <w:t>履职活动等规则</w:t>
      </w:r>
      <w:r>
        <w:rPr>
          <w:rFonts w:hint="eastAsia" w:eastAsia="方正仿宋_GBK"/>
          <w:sz w:val="28"/>
          <w:lang w:eastAsia="zh-CN"/>
        </w:rPr>
        <w:t>，完善</w:t>
      </w:r>
      <w:r>
        <w:rPr>
          <w:rFonts w:hint="eastAsia" w:eastAsia="方正仿宋_GBK"/>
          <w:sz w:val="28"/>
        </w:rPr>
        <w:t>政协办公室、专门委员会向主席会议报告工作，主席会议向常务委员会会议报告工作等制度</w:t>
      </w:r>
      <w:r>
        <w:rPr>
          <w:rFonts w:hint="eastAsia" w:eastAsia="方正仿宋_GBK"/>
          <w:sz w:val="28"/>
          <w:lang w:eastAsia="zh-CN"/>
        </w:rPr>
        <w:t>，</w:t>
      </w:r>
      <w:r>
        <w:rPr>
          <w:rFonts w:hint="eastAsia" w:eastAsia="方正仿宋_GBK"/>
          <w:sz w:val="28"/>
        </w:rPr>
        <w:t>为</w:t>
      </w:r>
      <w:r>
        <w:rPr>
          <w:rFonts w:hint="eastAsia" w:eastAsia="方正仿宋_GBK"/>
          <w:sz w:val="28"/>
          <w:lang w:eastAsia="zh-CN"/>
        </w:rPr>
        <w:t>政协高效运转</w:t>
      </w:r>
      <w:r>
        <w:rPr>
          <w:rFonts w:hint="eastAsia" w:eastAsia="方正仿宋_GBK"/>
          <w:sz w:val="28"/>
        </w:rPr>
        <w:t>提供有力保证。</w:t>
      </w:r>
      <w:r>
        <w:rPr>
          <w:rFonts w:hint="eastAsia" w:eastAsia="方正仿宋_GBK"/>
          <w:sz w:val="28"/>
          <w:lang w:eastAsia="zh-CN"/>
        </w:rPr>
        <w:t>严格执行“常委交作文、委员交作业”制度，政协常委每年向常委会书面提交履职报告，政协委员每年至少提交一份提案、一篇社情民意信息、参加一次履职活动。不断总结政协成熟经验，及时提炼上升为制度，努力推动政协履职制度更加规范、更加成熟、更加定型。</w:t>
      </w:r>
    </w:p>
    <w:p>
      <w:pPr>
        <w:ind w:firstLine="560" w:firstLineChars="200"/>
        <w:rPr>
          <w:rFonts w:eastAsia="方正仿宋_GBK"/>
          <w:sz w:val="28"/>
          <w:lang w:eastAsia="zh-CN"/>
        </w:rPr>
      </w:pPr>
      <w:r>
        <w:rPr>
          <w:rFonts w:hint="eastAsia" w:eastAsia="方正仿宋_GBK"/>
          <w:b/>
          <w:bCs/>
          <w:sz w:val="28"/>
          <w:lang w:eastAsia="zh-CN"/>
        </w:rPr>
        <w:t>2.加强委员队伍建设。</w:t>
      </w:r>
      <w:r>
        <w:rPr>
          <w:rFonts w:hint="eastAsia" w:eastAsia="方正仿宋_GBK"/>
          <w:sz w:val="28"/>
          <w:lang w:eastAsia="zh-CN"/>
        </w:rPr>
        <w:t>常态化推进委员学习培训，持续拓宽委员知情明政平台，不断完善考评激励机制，充分激发委员主体意识，调动委员履职主动性和自觉性，全面增强履职本领，不断提升政治把握能力、调查研究能力、联系实际能力、合作共事能力。特别是发挥好政协常委表率榜样作用，在工作中展现新作为、树立新形象。</w:t>
      </w:r>
    </w:p>
    <w:p>
      <w:pPr>
        <w:ind w:firstLine="560" w:firstLineChars="200"/>
        <w:rPr>
          <w:rFonts w:eastAsia="方正仿宋_GBK"/>
          <w:sz w:val="28"/>
        </w:rPr>
      </w:pPr>
      <w:r>
        <w:rPr>
          <w:rFonts w:hint="eastAsia" w:eastAsia="方正仿宋_GBK"/>
          <w:b/>
          <w:bCs/>
          <w:sz w:val="28"/>
          <w:lang w:eastAsia="zh-CN"/>
        </w:rPr>
        <w:t>3.加强政协机关建设。</w:t>
      </w:r>
      <w:r>
        <w:rPr>
          <w:rFonts w:hint="eastAsia" w:eastAsia="方正仿宋_GBK"/>
          <w:sz w:val="28"/>
          <w:lang w:eastAsia="zh-CN"/>
        </w:rPr>
        <w:t>树牢一线意识，坚持一线标准，创造一流业绩，展现一流形象，努力建设让人民满意、委员满意、组织满意的模范机关。要强化思想政治教育，引导广大机关干部树牢“四个意识”、坚定“四个自信”、做到“两个维护”，打造</w:t>
      </w:r>
      <w:r>
        <w:rPr>
          <w:rFonts w:eastAsia="方正仿宋_GBK"/>
          <w:sz w:val="28"/>
          <w:lang w:eastAsia="zh-CN"/>
        </w:rPr>
        <w:t>政治过硬的政协机关。</w:t>
      </w:r>
      <w:r>
        <w:rPr>
          <w:rFonts w:hint="eastAsia" w:eastAsia="方正仿宋_GBK"/>
          <w:sz w:val="28"/>
          <w:lang w:eastAsia="zh-CN"/>
        </w:rPr>
        <w:t>进一步完善制度规则，，不断提升协调服务能力，打造业务过硬的政协机关。</w:t>
      </w:r>
      <w:r>
        <w:rPr>
          <w:rFonts w:eastAsia="方正仿宋_GBK"/>
          <w:sz w:val="28"/>
          <w:lang w:eastAsia="zh-CN"/>
        </w:rPr>
        <w:t>树立担当作为的鲜明导向，</w:t>
      </w:r>
      <w:r>
        <w:rPr>
          <w:rFonts w:hint="eastAsia" w:eastAsia="方正仿宋_GBK"/>
          <w:sz w:val="28"/>
          <w:lang w:eastAsia="zh-CN"/>
        </w:rPr>
        <w:t>让干事创业成为政协机关的“主旋律”、“最强音”，打造作风过硬的政协机关。</w:t>
      </w:r>
      <w:r>
        <w:rPr>
          <w:rFonts w:eastAsia="方正仿宋_GBK"/>
          <w:sz w:val="28"/>
          <w:lang w:eastAsia="zh-CN"/>
        </w:rPr>
        <w:t>坚持经常性教育、常态化管理，</w:t>
      </w:r>
      <w:r>
        <w:rPr>
          <w:rFonts w:hint="eastAsia" w:eastAsia="方正仿宋_GBK"/>
          <w:sz w:val="28"/>
          <w:lang w:eastAsia="zh-CN"/>
        </w:rPr>
        <w:t>坚持</w:t>
      </w:r>
      <w:r>
        <w:rPr>
          <w:rFonts w:eastAsia="方正仿宋_GBK"/>
          <w:sz w:val="28"/>
          <w:lang w:eastAsia="zh-CN"/>
        </w:rPr>
        <w:t>用制度管人、用流程管事、依纪依规用权，打造廉洁</w:t>
      </w:r>
      <w:r>
        <w:rPr>
          <w:rFonts w:hint="eastAsia" w:eastAsia="方正仿宋_GBK"/>
          <w:sz w:val="28"/>
          <w:lang w:eastAsia="zh-CN"/>
        </w:rPr>
        <w:t>过硬</w:t>
      </w:r>
      <w:r>
        <w:rPr>
          <w:rFonts w:eastAsia="方正仿宋_GBK"/>
          <w:sz w:val="28"/>
          <w:lang w:eastAsia="zh-CN"/>
        </w:rPr>
        <w:t>的政协机关。</w:t>
      </w:r>
      <w:r>
        <w:rPr>
          <w:rFonts w:hint="eastAsia" w:eastAsia="方正仿宋_GBK"/>
          <w:sz w:val="28"/>
        </w:rPr>
        <w:t>努力锻造一支讲政治、爱学习、重实干、有担当的干部队伍，为推进政协履行职能现代化提供有力保障</w:t>
      </w:r>
      <w:r>
        <w:rPr>
          <w:rFonts w:hint="eastAsia" w:eastAsia="方正仿宋_GBK"/>
          <w:sz w:val="28"/>
          <w:lang w:eastAsia="zh-CN"/>
        </w:rPr>
        <w:t>，</w:t>
      </w:r>
      <w:r>
        <w:rPr>
          <w:rFonts w:hint="eastAsia" w:eastAsia="方正仿宋_GBK"/>
          <w:sz w:val="28"/>
        </w:rPr>
        <w:t>为建设“保定市西部中心城市”作出新的更大的贡献。</w:t>
      </w:r>
    </w:p>
    <w:p>
      <w:pPr>
        <w:spacing w:line="500" w:lineRule="exact"/>
        <w:ind w:firstLine="560"/>
        <w:rPr>
          <w:rFonts w:eastAsia="方正仿宋_GBK"/>
          <w:color w:val="000000"/>
          <w:sz w:val="28"/>
        </w:rPr>
      </w:pPr>
      <w:r>
        <w:rPr>
          <w:rFonts w:eastAsia="方正仿宋_GBK"/>
          <w:color w:val="000000"/>
          <w:sz w:val="28"/>
        </w:rPr>
        <w:t>（二）分项绩效目标</w:t>
      </w:r>
    </w:p>
    <w:p>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eastAsia="zh-CN"/>
        </w:rPr>
        <w:t>3</w:t>
      </w:r>
      <w:r>
        <w:rPr>
          <w:rFonts w:hint="eastAsia" w:eastAsia="方正仿宋_GBK"/>
          <w:sz w:val="28"/>
        </w:rPr>
        <w:t>年</w:t>
      </w:r>
      <w:r>
        <w:rPr>
          <w:rFonts w:hint="eastAsia" w:eastAsia="方正仿宋_GBK"/>
          <w:sz w:val="28"/>
          <w:lang w:eastAsia="zh-CN"/>
        </w:rPr>
        <w:t>单位</w:t>
      </w:r>
      <w:r>
        <w:rPr>
          <w:rFonts w:hint="eastAsia" w:eastAsia="方正仿宋_GBK"/>
          <w:sz w:val="28"/>
        </w:rPr>
        <w:t>职责分类绩效目标情况说明</w:t>
      </w:r>
    </w:p>
    <w:p>
      <w:pPr>
        <w:spacing w:line="500" w:lineRule="exact"/>
        <w:ind w:firstLine="560" w:firstLineChars="200"/>
        <w:rPr>
          <w:rFonts w:eastAsia="方正仿宋_GBK"/>
          <w:sz w:val="28"/>
        </w:rPr>
      </w:pPr>
      <w:r>
        <w:rPr>
          <w:rFonts w:eastAsia="方正仿宋_GBK"/>
          <w:sz w:val="28"/>
        </w:rPr>
        <w:t>一、政治协商</w:t>
      </w:r>
    </w:p>
    <w:p>
      <w:pPr>
        <w:spacing w:line="500" w:lineRule="exact"/>
        <w:ind w:firstLine="560" w:firstLineChars="200"/>
        <w:rPr>
          <w:rFonts w:eastAsia="方正仿宋_GBK"/>
          <w:sz w:val="28"/>
        </w:rPr>
      </w:pPr>
      <w:r>
        <w:rPr>
          <w:rFonts w:eastAsia="方正仿宋_GBK"/>
          <w:sz w:val="28"/>
        </w:rPr>
        <w:t>就大政方针以及政治、经济、文化、社会和生态文明中的重要问题在决策之前进行协商和就决策执行过程中的重要问题进行协商。</w:t>
      </w:r>
    </w:p>
    <w:p>
      <w:pPr>
        <w:spacing w:line="500" w:lineRule="exact"/>
        <w:ind w:firstLine="560" w:firstLineChars="200"/>
        <w:rPr>
          <w:rFonts w:eastAsia="方正仿宋_GBK"/>
          <w:sz w:val="28"/>
        </w:rPr>
      </w:pPr>
      <w:r>
        <w:rPr>
          <w:rFonts w:eastAsia="方正仿宋_GBK"/>
          <w:sz w:val="28"/>
        </w:rPr>
        <w:t>1、完善各项会议制度，规范会议程序，提高会议质量，提高政治协商水平。</w:t>
      </w:r>
    </w:p>
    <w:p>
      <w:pPr>
        <w:spacing w:line="500" w:lineRule="exact"/>
        <w:ind w:firstLine="560" w:firstLineChars="200"/>
        <w:rPr>
          <w:rFonts w:eastAsia="方正仿宋_GBK"/>
          <w:sz w:val="28"/>
        </w:rPr>
      </w:pPr>
      <w:r>
        <w:rPr>
          <w:rFonts w:eastAsia="方正仿宋_GBK"/>
          <w:sz w:val="28"/>
        </w:rPr>
        <w:t>２、增强开展政治协商的自觉性和主动性，规范协商内容，丰富协商形式和层次，把政治协商纳入决策程序。</w:t>
      </w:r>
    </w:p>
    <w:p>
      <w:pPr>
        <w:spacing w:line="500" w:lineRule="exact"/>
        <w:ind w:firstLine="560" w:firstLineChars="200"/>
        <w:rPr>
          <w:rFonts w:eastAsia="方正仿宋_GBK"/>
          <w:sz w:val="28"/>
        </w:rPr>
      </w:pPr>
      <w:r>
        <w:rPr>
          <w:rFonts w:eastAsia="方正仿宋_GBK"/>
          <w:sz w:val="28"/>
        </w:rPr>
        <w:t>二、民主监督</w:t>
      </w:r>
    </w:p>
    <w:p>
      <w:pPr>
        <w:spacing w:line="500" w:lineRule="exact"/>
        <w:ind w:firstLine="560" w:firstLineChars="200"/>
        <w:rPr>
          <w:rFonts w:eastAsia="方正仿宋_GBK"/>
          <w:sz w:val="28"/>
        </w:rPr>
      </w:pPr>
      <w:r>
        <w:rPr>
          <w:rFonts w:eastAsia="方正仿宋_GBK"/>
          <w:sz w:val="28"/>
        </w:rPr>
        <w:t>有效履行民主监督职责，发挥好协调关系、汇聚力量、建言献策、服务大局的作用。通过意见、建议、批评的方式对国家法律法规的实施、重大方针政策的贯彻执行、党和政府的工作进行政治监督。</w:t>
      </w:r>
    </w:p>
    <w:p>
      <w:pPr>
        <w:spacing w:line="500" w:lineRule="exact"/>
        <w:ind w:firstLine="560" w:firstLineChars="200"/>
        <w:rPr>
          <w:rFonts w:eastAsia="方正仿宋_GBK"/>
          <w:sz w:val="28"/>
        </w:rPr>
      </w:pPr>
      <w:r>
        <w:rPr>
          <w:rFonts w:eastAsia="方正仿宋_GBK"/>
          <w:sz w:val="28"/>
        </w:rPr>
        <w:t>１、完善民主监督机制，畅通民主监督渠道，建立健全知情、沟通制度，加强工作协调配合，提高民主监督的质量和成效。</w:t>
      </w:r>
    </w:p>
    <w:p>
      <w:pPr>
        <w:spacing w:line="500" w:lineRule="exact"/>
        <w:ind w:firstLine="560" w:firstLineChars="200"/>
        <w:rPr>
          <w:rFonts w:eastAsia="方正仿宋_GBK"/>
          <w:sz w:val="28"/>
        </w:rPr>
      </w:pPr>
      <w:r>
        <w:rPr>
          <w:rFonts w:eastAsia="方正仿宋_GBK"/>
          <w:sz w:val="28"/>
        </w:rPr>
        <w:t>２、完善提案审查、办理和反馈机制，做到提案程序更加规范，制度更加完善，提案质量和办理质量不断提高，政协履职作用更加突出。</w:t>
      </w:r>
    </w:p>
    <w:p>
      <w:pPr>
        <w:spacing w:line="500" w:lineRule="exact"/>
        <w:ind w:firstLine="560" w:firstLineChars="200"/>
        <w:rPr>
          <w:rFonts w:eastAsia="方正仿宋_GBK"/>
          <w:sz w:val="28"/>
        </w:rPr>
      </w:pPr>
      <w:r>
        <w:rPr>
          <w:rFonts w:eastAsia="方正仿宋_GBK"/>
          <w:sz w:val="28"/>
        </w:rPr>
        <w:t>三、参政议政</w:t>
      </w:r>
    </w:p>
    <w:p>
      <w:pPr>
        <w:spacing w:line="500" w:lineRule="exact"/>
        <w:ind w:firstLine="560" w:firstLineChars="200"/>
        <w:rPr>
          <w:rFonts w:eastAsia="方正仿宋_GBK"/>
          <w:sz w:val="28"/>
        </w:rPr>
      </w:pPr>
      <w:r>
        <w:rPr>
          <w:rFonts w:eastAsia="方正仿宋_GBK"/>
          <w:sz w:val="28"/>
        </w:rPr>
        <w:t>通过对重大问题以及人民群众普遍关心的问题，开展调查研究，反映社情民意，进行协商讨论，以调研报告、建议案或其他形式，向县委、县政府提出意见和建议。</w:t>
      </w:r>
    </w:p>
    <w:p>
      <w:pPr>
        <w:spacing w:line="500" w:lineRule="exact"/>
        <w:ind w:firstLine="560" w:firstLineChars="200"/>
        <w:rPr>
          <w:rFonts w:eastAsia="方正仿宋_GBK"/>
          <w:sz w:val="28"/>
        </w:rPr>
      </w:pPr>
      <w:r>
        <w:rPr>
          <w:rFonts w:eastAsia="方正仿宋_GBK"/>
          <w:sz w:val="28"/>
        </w:rPr>
        <w:t>１、通过调研课题就党和政府关注的问题，提出客观、有价值、有分量、有影响的意见建议，促进决策民主化和科学化。</w:t>
      </w:r>
    </w:p>
    <w:p>
      <w:pPr>
        <w:spacing w:line="500" w:lineRule="exact"/>
        <w:ind w:firstLine="560" w:firstLineChars="200"/>
        <w:rPr>
          <w:rFonts w:eastAsia="方正仿宋_GBK"/>
          <w:sz w:val="28"/>
        </w:rPr>
      </w:pPr>
      <w:r>
        <w:rPr>
          <w:rFonts w:eastAsia="方正仿宋_GBK"/>
          <w:sz w:val="28"/>
        </w:rPr>
        <w:t>２、通过界别渠道密切联系群众，反映社情民意，努力做到协调关系、化解矛盾、理顺情绪，增进社会各阶层不同利益群体的和谐和稳定。</w:t>
      </w:r>
    </w:p>
    <w:p>
      <w:pPr>
        <w:spacing w:line="500" w:lineRule="exact"/>
        <w:ind w:firstLine="560" w:firstLineChars="200"/>
        <w:rPr>
          <w:rFonts w:eastAsia="方正仿宋_GBK"/>
          <w:sz w:val="28"/>
        </w:rPr>
      </w:pPr>
      <w:r>
        <w:rPr>
          <w:rFonts w:eastAsia="方正仿宋_GBK"/>
          <w:sz w:val="28"/>
        </w:rPr>
        <w:t>四、政协事务管理</w:t>
      </w:r>
    </w:p>
    <w:p>
      <w:pPr>
        <w:spacing w:line="500" w:lineRule="exact"/>
        <w:ind w:firstLine="560" w:firstLineChars="200"/>
        <w:rPr>
          <w:rFonts w:eastAsia="方正仿宋_GBK"/>
          <w:sz w:val="28"/>
        </w:rPr>
      </w:pPr>
      <w:r>
        <w:rPr>
          <w:rFonts w:eastAsia="方正仿宋_GBK"/>
          <w:sz w:val="28"/>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pPr>
        <w:spacing w:line="500" w:lineRule="exact"/>
        <w:ind w:firstLine="560" w:firstLineChars="200"/>
        <w:rPr>
          <w:rFonts w:eastAsia="方正仿宋_GBK"/>
          <w:sz w:val="28"/>
        </w:rPr>
      </w:pPr>
      <w:r>
        <w:rPr>
          <w:rFonts w:eastAsia="方正仿宋_GBK"/>
          <w:sz w:val="28"/>
        </w:rPr>
        <w:t>１、政协自身建设质量更加扎实，工作科学化水平进一步提升。文史资料的社会功能增强，理论研究成果服务履职作用明显。</w:t>
      </w:r>
    </w:p>
    <w:p>
      <w:pPr>
        <w:spacing w:line="500" w:lineRule="exact"/>
        <w:ind w:firstLine="560" w:firstLineChars="200"/>
        <w:rPr>
          <w:rFonts w:eastAsia="方正仿宋_GBK"/>
          <w:sz w:val="28"/>
        </w:rPr>
      </w:pPr>
      <w:r>
        <w:rPr>
          <w:rFonts w:eastAsia="方正仿宋_GBK"/>
          <w:sz w:val="28"/>
        </w:rPr>
        <w:t>２、机关基本设施设备正常运转、信息化保障、老干部服务保障能力进一步提高。</w:t>
      </w:r>
    </w:p>
    <w:p>
      <w:pPr>
        <w:ind w:firstLine="560" w:firstLineChars="200"/>
        <w:rPr>
          <w:rFonts w:eastAsia="方正仿宋_GBK"/>
          <w:sz w:val="28"/>
        </w:rPr>
      </w:pPr>
    </w:p>
    <w:p>
      <w:pPr>
        <w:ind w:firstLine="560" w:firstLineChars="200"/>
        <w:rPr>
          <w:rFonts w:eastAsia="方正仿宋_GBK"/>
          <w:color w:val="000000"/>
          <w:sz w:val="28"/>
          <w:lang w:val="uk-UA"/>
        </w:rPr>
      </w:pPr>
      <w:r>
        <w:rPr>
          <w:rFonts w:eastAsia="方正仿宋_GBK"/>
          <w:color w:val="000000"/>
          <w:sz w:val="28"/>
        </w:rPr>
        <w:t>（三）工作保障措施</w:t>
      </w:r>
    </w:p>
    <w:p>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hint="eastAsia" w:eastAsia="方正仿宋_GBK"/>
          <w:sz w:val="28"/>
          <w:lang w:eastAsia="zh-CN"/>
        </w:rPr>
        <w:t>中央八项规定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pPr>
        <w:spacing w:line="500" w:lineRule="exact"/>
        <w:ind w:firstLine="560" w:firstLineChars="200"/>
        <w:rPr>
          <w:rFonts w:eastAsia="方正仿宋_GBK"/>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w:t>
      </w:r>
      <w:r>
        <w:rPr>
          <w:rFonts w:hint="eastAsia" w:hAnsi="MS Gothic" w:eastAsia="方正仿宋_GBK" w:cs="MS Gothic"/>
          <w:sz w:val="28"/>
          <w:lang w:eastAsia="zh-CN"/>
        </w:rPr>
        <w:t>建立工作台账</w:t>
      </w:r>
      <w:r>
        <w:rPr>
          <w:rFonts w:hint="eastAsia" w:hAnsi="MS Gothic" w:eastAsia="方正仿宋_GBK" w:cs="MS Gothic"/>
          <w:sz w:val="28"/>
        </w:rPr>
        <w:t>，着力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pPr>
        <w:rPr>
          <w:rFonts w:eastAsia="方正仿宋_GBK"/>
          <w:sz w:val="28"/>
          <w:lang w:eastAsia="zh-CN"/>
        </w:rPr>
      </w:pPr>
    </w:p>
    <w:p>
      <w:pPr>
        <w:pStyle w:val="2"/>
        <w:ind w:firstLine="560"/>
        <w:rPr>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第二部分  专项资金绩效目标</w:t>
      </w:r>
    </w:p>
    <w:p>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1.《动员令》出版印刷绩效目标表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13062423P00725010001L</w:t>
            </w:r>
          </w:p>
        </w:tc>
        <w:tc>
          <w:tcPr>
            <w:tcW w:w="1587" w:type="dxa"/>
            <w:vAlign w:val="center"/>
          </w:tcPr>
          <w:p>
            <w:pPr>
              <w:pStyle w:val="16"/>
            </w:pPr>
            <w:r>
              <w:t>项目名称</w:t>
            </w:r>
          </w:p>
        </w:tc>
        <w:tc>
          <w:tcPr>
            <w:tcW w:w="4422" w:type="dxa"/>
            <w:gridSpan w:val="3"/>
            <w:vAlign w:val="center"/>
          </w:tcPr>
          <w:p>
            <w:pPr>
              <w:pStyle w:val="18"/>
            </w:pPr>
            <w:r>
              <w:t>《动员令》出版印刷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t>20.00</w:t>
            </w:r>
          </w:p>
        </w:tc>
        <w:tc>
          <w:tcPr>
            <w:tcW w:w="1587" w:type="dxa"/>
            <w:vAlign w:val="center"/>
          </w:tcPr>
          <w:p>
            <w:pPr>
              <w:pStyle w:val="16"/>
            </w:pPr>
            <w:r>
              <w:t>其中：财政    资金</w:t>
            </w:r>
          </w:p>
        </w:tc>
        <w:tc>
          <w:tcPr>
            <w:tcW w:w="1304" w:type="dxa"/>
            <w:vAlign w:val="center"/>
          </w:tcPr>
          <w:p>
            <w:pPr>
              <w:pStyle w:val="18"/>
            </w:pPr>
            <w:r>
              <w:t>20.00</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8"/>
            </w:pPr>
            <w:r>
              <w:t>用于《动员令》一书的编撰，出版印刷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5.00</w:t>
            </w:r>
          </w:p>
        </w:tc>
        <w:tc>
          <w:tcPr>
            <w:tcW w:w="1587" w:type="dxa"/>
            <w:vAlign w:val="center"/>
          </w:tcPr>
          <w:p>
            <w:pPr>
              <w:pStyle w:val="19"/>
            </w:pPr>
            <w:r>
              <w:t>10.00</w:t>
            </w:r>
          </w:p>
        </w:tc>
        <w:tc>
          <w:tcPr>
            <w:tcW w:w="1304" w:type="dxa"/>
            <w:vAlign w:val="center"/>
          </w:tcPr>
          <w:p>
            <w:pPr>
              <w:pStyle w:val="19"/>
            </w:pPr>
            <w:r>
              <w:t>15.00</w:t>
            </w:r>
          </w:p>
        </w:tc>
        <w:tc>
          <w:tcPr>
            <w:tcW w:w="3118" w:type="dxa"/>
            <w:gridSpan w:val="2"/>
            <w:vAlign w:val="center"/>
          </w:tcPr>
          <w:p>
            <w:pPr>
              <w:pStyle w:val="19"/>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7" w:type="dxa"/>
            <w:gridSpan w:val="6"/>
            <w:vAlign w:val="center"/>
          </w:tcPr>
          <w:p>
            <w:pPr>
              <w:pStyle w:val="18"/>
            </w:pPr>
            <w:r>
              <w:t>1.使文史资料的社会功能增强，理论研究成果服务履职作用明显，提升政协文史工作的重要性，为政协事业增添新内容。</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动员令一书的编撰出版印制</w:t>
            </w:r>
          </w:p>
        </w:tc>
        <w:tc>
          <w:tcPr>
            <w:tcW w:w="2891" w:type="dxa"/>
            <w:vAlign w:val="center"/>
          </w:tcPr>
          <w:p>
            <w:pPr>
              <w:pStyle w:val="18"/>
            </w:pPr>
            <w:r>
              <w:t>动员令一书的编撰人员，出版册数</w:t>
            </w:r>
          </w:p>
        </w:tc>
        <w:tc>
          <w:tcPr>
            <w:tcW w:w="1276" w:type="dxa"/>
            <w:vAlign w:val="center"/>
          </w:tcPr>
          <w:p>
            <w:pPr>
              <w:pStyle w:val="18"/>
            </w:pPr>
            <w:r>
              <w:t>100百分比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文史资料的全面、真实、准确性</w:t>
            </w:r>
          </w:p>
        </w:tc>
        <w:tc>
          <w:tcPr>
            <w:tcW w:w="2891" w:type="dxa"/>
            <w:vAlign w:val="center"/>
          </w:tcPr>
          <w:p>
            <w:pPr>
              <w:pStyle w:val="18"/>
            </w:pPr>
            <w:r>
              <w:t>文史资料的全面、真实、准确性</w:t>
            </w:r>
          </w:p>
        </w:tc>
        <w:tc>
          <w:tcPr>
            <w:tcW w:w="1276" w:type="dxa"/>
            <w:vAlign w:val="center"/>
          </w:tcPr>
          <w:p>
            <w:pPr>
              <w:pStyle w:val="18"/>
            </w:pPr>
            <w:r>
              <w:t>≥95百分比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文史资料征集率</w:t>
            </w:r>
          </w:p>
        </w:tc>
        <w:tc>
          <w:tcPr>
            <w:tcW w:w="2891" w:type="dxa"/>
            <w:vAlign w:val="center"/>
          </w:tcPr>
          <w:p>
            <w:pPr>
              <w:pStyle w:val="18"/>
            </w:pPr>
            <w:r>
              <w:t>文史资料征集率</w:t>
            </w:r>
          </w:p>
        </w:tc>
        <w:tc>
          <w:tcPr>
            <w:tcW w:w="1276" w:type="dxa"/>
            <w:vAlign w:val="center"/>
          </w:tcPr>
          <w:p>
            <w:pPr>
              <w:pStyle w:val="18"/>
            </w:pPr>
            <w:r>
              <w:t>≥95百分比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成本控制</w:t>
            </w:r>
          </w:p>
        </w:tc>
        <w:tc>
          <w:tcPr>
            <w:tcW w:w="2891" w:type="dxa"/>
            <w:vAlign w:val="center"/>
          </w:tcPr>
          <w:p>
            <w:pPr>
              <w:pStyle w:val="18"/>
            </w:pPr>
            <w:r>
              <w:t>成本控制</w:t>
            </w:r>
          </w:p>
        </w:tc>
        <w:tc>
          <w:tcPr>
            <w:tcW w:w="1276" w:type="dxa"/>
            <w:vAlign w:val="center"/>
          </w:tcPr>
          <w:p>
            <w:pPr>
              <w:pStyle w:val="18"/>
            </w:pPr>
            <w:r>
              <w:t>≥95百分比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经济效益指标</w:t>
            </w:r>
          </w:p>
        </w:tc>
        <w:tc>
          <w:tcPr>
            <w:tcW w:w="1332" w:type="dxa"/>
            <w:vAlign w:val="center"/>
          </w:tcPr>
          <w:p>
            <w:pPr>
              <w:pStyle w:val="18"/>
            </w:pPr>
            <w:r>
              <w:t>经济效益指标</w:t>
            </w:r>
          </w:p>
        </w:tc>
        <w:tc>
          <w:tcPr>
            <w:tcW w:w="2891" w:type="dxa"/>
            <w:vAlign w:val="center"/>
          </w:tcPr>
          <w:p>
            <w:pPr>
              <w:pStyle w:val="18"/>
            </w:pPr>
            <w:r>
              <w:t>经济效益指标</w:t>
            </w:r>
          </w:p>
        </w:tc>
        <w:tc>
          <w:tcPr>
            <w:tcW w:w="1276" w:type="dxa"/>
            <w:vAlign w:val="center"/>
          </w:tcPr>
          <w:p>
            <w:pPr>
              <w:pStyle w:val="18"/>
            </w:pPr>
            <w:r>
              <w:t>≥95百分比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社会效益指标</w:t>
            </w:r>
          </w:p>
        </w:tc>
        <w:tc>
          <w:tcPr>
            <w:tcW w:w="1332" w:type="dxa"/>
            <w:vAlign w:val="center"/>
          </w:tcPr>
          <w:p>
            <w:pPr>
              <w:pStyle w:val="18"/>
            </w:pPr>
            <w:r>
              <w:t>文史资料的推广宣传</w:t>
            </w:r>
          </w:p>
        </w:tc>
        <w:tc>
          <w:tcPr>
            <w:tcW w:w="2891" w:type="dxa"/>
            <w:vAlign w:val="center"/>
          </w:tcPr>
          <w:p>
            <w:pPr>
              <w:pStyle w:val="18"/>
            </w:pPr>
            <w:r>
              <w:t>文史资料的推广宣传</w:t>
            </w:r>
          </w:p>
        </w:tc>
        <w:tc>
          <w:tcPr>
            <w:tcW w:w="1276" w:type="dxa"/>
            <w:vAlign w:val="center"/>
          </w:tcPr>
          <w:p>
            <w:pPr>
              <w:pStyle w:val="18"/>
            </w:pPr>
            <w:r>
              <w:t>≥95百分比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促进生态文明建设，推动绿色发展</w:t>
            </w:r>
          </w:p>
        </w:tc>
        <w:tc>
          <w:tcPr>
            <w:tcW w:w="2891" w:type="dxa"/>
            <w:vAlign w:val="center"/>
          </w:tcPr>
          <w:p>
            <w:pPr>
              <w:pStyle w:val="18"/>
            </w:pPr>
            <w:r>
              <w:t>促进生态文明建设，推动绿色发展和绿色生活方式</w:t>
            </w:r>
          </w:p>
        </w:tc>
        <w:tc>
          <w:tcPr>
            <w:tcW w:w="1276" w:type="dxa"/>
            <w:vAlign w:val="center"/>
          </w:tcPr>
          <w:p>
            <w:pPr>
              <w:pStyle w:val="18"/>
            </w:pPr>
            <w:r>
              <w:t>≥95百分比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维护社会稳定</w:t>
            </w:r>
          </w:p>
        </w:tc>
        <w:tc>
          <w:tcPr>
            <w:tcW w:w="2891" w:type="dxa"/>
            <w:vAlign w:val="center"/>
          </w:tcPr>
          <w:p>
            <w:pPr>
              <w:pStyle w:val="18"/>
            </w:pPr>
            <w:r>
              <w:t>维护社会稳定</w:t>
            </w:r>
          </w:p>
        </w:tc>
        <w:tc>
          <w:tcPr>
            <w:tcW w:w="1276" w:type="dxa"/>
            <w:vAlign w:val="center"/>
          </w:tcPr>
          <w:p>
            <w:pPr>
              <w:pStyle w:val="18"/>
            </w:pPr>
            <w:r>
              <w:t>≥95百分比</w:t>
            </w:r>
          </w:p>
        </w:tc>
        <w:tc>
          <w:tcPr>
            <w:tcW w:w="1843" w:type="dxa"/>
            <w:vAlign w:val="center"/>
          </w:tcPr>
          <w:p>
            <w:pPr>
              <w:pStyle w:val="18"/>
            </w:pPr>
            <w:r>
              <w:t>2023年工作计划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服务满意度</w:t>
            </w:r>
          </w:p>
        </w:tc>
        <w:tc>
          <w:tcPr>
            <w:tcW w:w="2891" w:type="dxa"/>
            <w:vAlign w:val="center"/>
          </w:tcPr>
          <w:p>
            <w:pPr>
              <w:pStyle w:val="18"/>
            </w:pPr>
            <w:r>
              <w:t>服务满意度</w:t>
            </w:r>
          </w:p>
        </w:tc>
        <w:tc>
          <w:tcPr>
            <w:tcW w:w="1276" w:type="dxa"/>
            <w:vAlign w:val="center"/>
          </w:tcPr>
          <w:p>
            <w:pPr>
              <w:pStyle w:val="18"/>
            </w:pPr>
            <w:r>
              <w:t>≥95百分比</w:t>
            </w:r>
          </w:p>
        </w:tc>
        <w:tc>
          <w:tcPr>
            <w:tcW w:w="1843" w:type="dxa"/>
            <w:vAlign w:val="center"/>
          </w:tcPr>
          <w:p>
            <w:pPr>
              <w:pStyle w:val="18"/>
            </w:pPr>
            <w:r>
              <w:t>2023年工作计划</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5"/>
      <w:r>
        <w:rPr>
          <w:rFonts w:ascii="方正仿宋_GBK" w:hAnsi="方正仿宋_GBK" w:eastAsia="方正仿宋_GBK" w:cs="方正仿宋_GBK"/>
          <w:color w:val="000000"/>
          <w:sz w:val="28"/>
        </w:rPr>
        <w:t>2.《乡音》杂志订阅绩效目标表</w:t>
      </w:r>
      <w:bookmarkEnd w:id="16"/>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13062423P00725710001C</w:t>
            </w:r>
          </w:p>
        </w:tc>
        <w:tc>
          <w:tcPr>
            <w:tcW w:w="1587" w:type="dxa"/>
            <w:vAlign w:val="center"/>
          </w:tcPr>
          <w:p>
            <w:pPr>
              <w:pStyle w:val="16"/>
            </w:pPr>
            <w:r>
              <w:t>项目名称</w:t>
            </w:r>
          </w:p>
        </w:tc>
        <w:tc>
          <w:tcPr>
            <w:tcW w:w="4422" w:type="dxa"/>
            <w:gridSpan w:val="3"/>
            <w:vAlign w:val="center"/>
          </w:tcPr>
          <w:p>
            <w:pPr>
              <w:pStyle w:val="18"/>
            </w:pPr>
            <w:r>
              <w:t>《乡音》杂志订阅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t>1.68</w:t>
            </w:r>
          </w:p>
        </w:tc>
        <w:tc>
          <w:tcPr>
            <w:tcW w:w="1587" w:type="dxa"/>
            <w:vAlign w:val="center"/>
          </w:tcPr>
          <w:p>
            <w:pPr>
              <w:pStyle w:val="16"/>
            </w:pPr>
            <w:r>
              <w:t>其中：财政    资金</w:t>
            </w:r>
          </w:p>
        </w:tc>
        <w:tc>
          <w:tcPr>
            <w:tcW w:w="1304" w:type="dxa"/>
            <w:vAlign w:val="center"/>
          </w:tcPr>
          <w:p>
            <w:pPr>
              <w:pStyle w:val="18"/>
            </w:pPr>
            <w:r>
              <w:t>1.68</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8"/>
            </w:pPr>
            <w:r>
              <w:t>用于《乡音》杂志的订阅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0.42</w:t>
            </w:r>
          </w:p>
        </w:tc>
        <w:tc>
          <w:tcPr>
            <w:tcW w:w="1587" w:type="dxa"/>
            <w:vAlign w:val="center"/>
          </w:tcPr>
          <w:p>
            <w:pPr>
              <w:pStyle w:val="19"/>
            </w:pPr>
            <w:r>
              <w:t>0.84</w:t>
            </w:r>
          </w:p>
        </w:tc>
        <w:tc>
          <w:tcPr>
            <w:tcW w:w="1304" w:type="dxa"/>
            <w:vAlign w:val="center"/>
          </w:tcPr>
          <w:p>
            <w:pPr>
              <w:pStyle w:val="19"/>
            </w:pPr>
            <w:r>
              <w:t>1.26</w:t>
            </w:r>
          </w:p>
        </w:tc>
        <w:tc>
          <w:tcPr>
            <w:tcW w:w="3118" w:type="dxa"/>
            <w:gridSpan w:val="2"/>
            <w:vAlign w:val="center"/>
          </w:tcPr>
          <w:p>
            <w:pPr>
              <w:pStyle w:val="19"/>
            </w:pPr>
            <w:r>
              <w:t>1.68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7" w:type="dxa"/>
            <w:gridSpan w:val="6"/>
            <w:vAlign w:val="center"/>
          </w:tcPr>
          <w:p>
            <w:pPr>
              <w:pStyle w:val="18"/>
            </w:pPr>
            <w:r>
              <w:t>1.全面贯彻落实习近平总书记关于加强和改进人民政协工作的重要思，深入宣传新时代我省政协系统履职成果，提高政协新闻舆论工作质量，切实提高政协刊物的传播力、引导力、影响力和公信力。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乡音杂志订阅份数</w:t>
            </w:r>
          </w:p>
        </w:tc>
        <w:tc>
          <w:tcPr>
            <w:tcW w:w="2891" w:type="dxa"/>
            <w:vAlign w:val="center"/>
          </w:tcPr>
          <w:p>
            <w:pPr>
              <w:pStyle w:val="18"/>
            </w:pPr>
            <w:r>
              <w:t>乡音杂志订阅份数</w:t>
            </w:r>
          </w:p>
        </w:tc>
        <w:tc>
          <w:tcPr>
            <w:tcW w:w="1276" w:type="dxa"/>
            <w:vAlign w:val="center"/>
          </w:tcPr>
          <w:p>
            <w:pPr>
              <w:pStyle w:val="18"/>
            </w:pPr>
            <w:r>
              <w:t>100百分比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乡音杂志订阅达标率</w:t>
            </w:r>
          </w:p>
        </w:tc>
        <w:tc>
          <w:tcPr>
            <w:tcW w:w="2891" w:type="dxa"/>
            <w:vAlign w:val="center"/>
          </w:tcPr>
          <w:p>
            <w:pPr>
              <w:pStyle w:val="18"/>
            </w:pPr>
            <w:r>
              <w:t>政协委员订阅覆盖率</w:t>
            </w:r>
          </w:p>
        </w:tc>
        <w:tc>
          <w:tcPr>
            <w:tcW w:w="1276" w:type="dxa"/>
            <w:vAlign w:val="center"/>
          </w:tcPr>
          <w:p>
            <w:pPr>
              <w:pStyle w:val="18"/>
            </w:pPr>
            <w:r>
              <w:t>100百分比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乡音杂志订阅工作完成情况</w:t>
            </w:r>
          </w:p>
        </w:tc>
        <w:tc>
          <w:tcPr>
            <w:tcW w:w="2891" w:type="dxa"/>
            <w:vAlign w:val="center"/>
          </w:tcPr>
          <w:p>
            <w:pPr>
              <w:pStyle w:val="18"/>
            </w:pPr>
            <w:r>
              <w:t>杂志订阅的完成率</w:t>
            </w:r>
          </w:p>
        </w:tc>
        <w:tc>
          <w:tcPr>
            <w:tcW w:w="1276" w:type="dxa"/>
            <w:vAlign w:val="center"/>
          </w:tcPr>
          <w:p>
            <w:pPr>
              <w:pStyle w:val="18"/>
            </w:pPr>
            <w:r>
              <w:t>100百分比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成本控制</w:t>
            </w:r>
          </w:p>
        </w:tc>
        <w:tc>
          <w:tcPr>
            <w:tcW w:w="2891" w:type="dxa"/>
            <w:vAlign w:val="center"/>
          </w:tcPr>
          <w:p>
            <w:pPr>
              <w:pStyle w:val="18"/>
            </w:pPr>
            <w:r>
              <w:t>成本控制</w:t>
            </w:r>
          </w:p>
        </w:tc>
        <w:tc>
          <w:tcPr>
            <w:tcW w:w="1276" w:type="dxa"/>
            <w:vAlign w:val="center"/>
          </w:tcPr>
          <w:p>
            <w:pPr>
              <w:pStyle w:val="18"/>
            </w:pPr>
            <w:r>
              <w:t>≥95百分比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经济效益指标</w:t>
            </w:r>
          </w:p>
        </w:tc>
        <w:tc>
          <w:tcPr>
            <w:tcW w:w="1332" w:type="dxa"/>
            <w:vAlign w:val="center"/>
          </w:tcPr>
          <w:p>
            <w:pPr>
              <w:pStyle w:val="18"/>
            </w:pPr>
            <w:r>
              <w:t>成本节约</w:t>
            </w:r>
          </w:p>
        </w:tc>
        <w:tc>
          <w:tcPr>
            <w:tcW w:w="2891" w:type="dxa"/>
            <w:vAlign w:val="center"/>
          </w:tcPr>
          <w:p>
            <w:pPr>
              <w:pStyle w:val="18"/>
            </w:pPr>
            <w:r>
              <w:t>为全体政协委员了解政协工作提供便利</w:t>
            </w:r>
          </w:p>
        </w:tc>
        <w:tc>
          <w:tcPr>
            <w:tcW w:w="1276" w:type="dxa"/>
            <w:vAlign w:val="center"/>
          </w:tcPr>
          <w:p>
            <w:pPr>
              <w:pStyle w:val="18"/>
            </w:pPr>
            <w:r>
              <w:t>≥95百分比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社会效益指标</w:t>
            </w:r>
          </w:p>
        </w:tc>
        <w:tc>
          <w:tcPr>
            <w:tcW w:w="1332" w:type="dxa"/>
            <w:vAlign w:val="center"/>
          </w:tcPr>
          <w:p>
            <w:pPr>
              <w:pStyle w:val="18"/>
            </w:pPr>
            <w:r>
              <w:t>服务的改善与提升</w:t>
            </w:r>
          </w:p>
        </w:tc>
        <w:tc>
          <w:tcPr>
            <w:tcW w:w="2891" w:type="dxa"/>
            <w:vAlign w:val="center"/>
          </w:tcPr>
          <w:p>
            <w:pPr>
              <w:pStyle w:val="18"/>
            </w:pPr>
            <w:r>
              <w:t>服务的改善与提升</w:t>
            </w:r>
          </w:p>
        </w:tc>
        <w:tc>
          <w:tcPr>
            <w:tcW w:w="1276" w:type="dxa"/>
            <w:vAlign w:val="center"/>
          </w:tcPr>
          <w:p>
            <w:pPr>
              <w:pStyle w:val="18"/>
            </w:pPr>
            <w:r>
              <w:t>≥95百分比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生态影响</w:t>
            </w:r>
          </w:p>
        </w:tc>
        <w:tc>
          <w:tcPr>
            <w:tcW w:w="2891" w:type="dxa"/>
            <w:vAlign w:val="center"/>
          </w:tcPr>
          <w:p>
            <w:pPr>
              <w:pStyle w:val="18"/>
            </w:pPr>
            <w:r>
              <w:t>生态影响</w:t>
            </w:r>
          </w:p>
        </w:tc>
        <w:tc>
          <w:tcPr>
            <w:tcW w:w="1276" w:type="dxa"/>
            <w:vAlign w:val="center"/>
          </w:tcPr>
          <w:p>
            <w:pPr>
              <w:pStyle w:val="18"/>
            </w:pPr>
            <w:r>
              <w:t>≥95百分比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维护社会稳定</w:t>
            </w:r>
          </w:p>
        </w:tc>
        <w:tc>
          <w:tcPr>
            <w:tcW w:w="2891" w:type="dxa"/>
            <w:vAlign w:val="center"/>
          </w:tcPr>
          <w:p>
            <w:pPr>
              <w:pStyle w:val="18"/>
            </w:pPr>
            <w:r>
              <w:t>维护社会稳定</w:t>
            </w:r>
          </w:p>
        </w:tc>
        <w:tc>
          <w:tcPr>
            <w:tcW w:w="1276" w:type="dxa"/>
            <w:vAlign w:val="center"/>
          </w:tcPr>
          <w:p>
            <w:pPr>
              <w:pStyle w:val="18"/>
            </w:pPr>
            <w:r>
              <w:t>≥95百分比</w:t>
            </w:r>
          </w:p>
        </w:tc>
        <w:tc>
          <w:tcPr>
            <w:tcW w:w="1843" w:type="dxa"/>
            <w:vAlign w:val="center"/>
          </w:tcPr>
          <w:p>
            <w:pPr>
              <w:pStyle w:val="18"/>
            </w:pPr>
            <w:r>
              <w:t>省政协来文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满意率</w:t>
            </w:r>
          </w:p>
        </w:tc>
        <w:tc>
          <w:tcPr>
            <w:tcW w:w="2891" w:type="dxa"/>
            <w:vAlign w:val="center"/>
          </w:tcPr>
          <w:p>
            <w:pPr>
              <w:pStyle w:val="18"/>
            </w:pPr>
            <w:r>
              <w:t>满意率</w:t>
            </w:r>
          </w:p>
        </w:tc>
        <w:tc>
          <w:tcPr>
            <w:tcW w:w="1276" w:type="dxa"/>
            <w:vAlign w:val="center"/>
          </w:tcPr>
          <w:p>
            <w:pPr>
              <w:pStyle w:val="18"/>
            </w:pPr>
            <w:r>
              <w:t>≥95百分比</w:t>
            </w:r>
          </w:p>
        </w:tc>
        <w:tc>
          <w:tcPr>
            <w:tcW w:w="1843" w:type="dxa"/>
            <w:vAlign w:val="center"/>
          </w:tcPr>
          <w:p>
            <w:pPr>
              <w:pStyle w:val="18"/>
            </w:pPr>
            <w:r>
              <w:t>省政协来文</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6"/>
      <w:r>
        <w:rPr>
          <w:rFonts w:ascii="方正仿宋_GBK" w:hAnsi="方正仿宋_GBK" w:eastAsia="方正仿宋_GBK" w:cs="方正仿宋_GBK"/>
          <w:color w:val="000000"/>
          <w:sz w:val="28"/>
        </w:rPr>
        <w:t>3.劳务派遣人员工资绩效目标表</w:t>
      </w:r>
      <w:bookmarkEnd w:id="17"/>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13062423P00010710003M</w:t>
            </w:r>
          </w:p>
        </w:tc>
        <w:tc>
          <w:tcPr>
            <w:tcW w:w="1587" w:type="dxa"/>
            <w:vAlign w:val="center"/>
          </w:tcPr>
          <w:p>
            <w:pPr>
              <w:pStyle w:val="16"/>
            </w:pPr>
            <w:r>
              <w:t>项目名称</w:t>
            </w:r>
          </w:p>
        </w:tc>
        <w:tc>
          <w:tcPr>
            <w:tcW w:w="4422" w:type="dxa"/>
            <w:gridSpan w:val="3"/>
            <w:vAlign w:val="center"/>
          </w:tcPr>
          <w:p>
            <w:pPr>
              <w:pStyle w:val="18"/>
            </w:pPr>
            <w:r>
              <w:t>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t>3.90</w:t>
            </w:r>
          </w:p>
        </w:tc>
        <w:tc>
          <w:tcPr>
            <w:tcW w:w="1587" w:type="dxa"/>
            <w:vAlign w:val="center"/>
          </w:tcPr>
          <w:p>
            <w:pPr>
              <w:pStyle w:val="16"/>
            </w:pPr>
            <w:r>
              <w:t>其中：财政    资金</w:t>
            </w:r>
          </w:p>
        </w:tc>
        <w:tc>
          <w:tcPr>
            <w:tcW w:w="1304" w:type="dxa"/>
            <w:vAlign w:val="center"/>
          </w:tcPr>
          <w:p>
            <w:pPr>
              <w:pStyle w:val="18"/>
            </w:pPr>
            <w:r>
              <w:t>3.90</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8"/>
            </w:pPr>
            <w:r>
              <w:t>用于劳务派遣人员工资发放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0.98</w:t>
            </w:r>
          </w:p>
        </w:tc>
        <w:tc>
          <w:tcPr>
            <w:tcW w:w="1587" w:type="dxa"/>
            <w:vAlign w:val="center"/>
          </w:tcPr>
          <w:p>
            <w:pPr>
              <w:pStyle w:val="19"/>
            </w:pPr>
            <w:r>
              <w:t>1.95</w:t>
            </w:r>
          </w:p>
        </w:tc>
        <w:tc>
          <w:tcPr>
            <w:tcW w:w="1304" w:type="dxa"/>
            <w:vAlign w:val="center"/>
          </w:tcPr>
          <w:p>
            <w:pPr>
              <w:pStyle w:val="19"/>
            </w:pPr>
            <w:r>
              <w:t>2.93</w:t>
            </w:r>
          </w:p>
        </w:tc>
        <w:tc>
          <w:tcPr>
            <w:tcW w:w="3118" w:type="dxa"/>
            <w:gridSpan w:val="2"/>
            <w:vAlign w:val="center"/>
          </w:tcPr>
          <w:p>
            <w:pPr>
              <w:pStyle w:val="19"/>
            </w:pPr>
            <w:r>
              <w:t>3.90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7" w:type="dxa"/>
            <w:gridSpan w:val="6"/>
            <w:vAlign w:val="center"/>
          </w:tcPr>
          <w:p>
            <w:pPr>
              <w:pStyle w:val="18"/>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发放工资人数</w:t>
            </w:r>
          </w:p>
        </w:tc>
        <w:tc>
          <w:tcPr>
            <w:tcW w:w="2891" w:type="dxa"/>
            <w:vAlign w:val="center"/>
          </w:tcPr>
          <w:p>
            <w:pPr>
              <w:pStyle w:val="18"/>
            </w:pPr>
            <w:r>
              <w:t>劳务派遣人员</w:t>
            </w:r>
          </w:p>
        </w:tc>
        <w:tc>
          <w:tcPr>
            <w:tcW w:w="1276" w:type="dxa"/>
            <w:vAlign w:val="center"/>
          </w:tcPr>
          <w:p>
            <w:pPr>
              <w:pStyle w:val="18"/>
            </w:pPr>
            <w:r>
              <w:t>1人</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质量指标</w:t>
            </w:r>
          </w:p>
        </w:tc>
        <w:tc>
          <w:tcPr>
            <w:tcW w:w="2891" w:type="dxa"/>
            <w:vAlign w:val="center"/>
          </w:tcPr>
          <w:p>
            <w:pPr>
              <w:pStyle w:val="18"/>
            </w:pPr>
            <w:r>
              <w:t>质量指标</w:t>
            </w:r>
          </w:p>
        </w:tc>
        <w:tc>
          <w:tcPr>
            <w:tcW w:w="1276" w:type="dxa"/>
            <w:vAlign w:val="center"/>
          </w:tcPr>
          <w:p>
            <w:pPr>
              <w:pStyle w:val="18"/>
            </w:pPr>
            <w:r>
              <w:t>100百分比</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足额发放</w:t>
            </w:r>
          </w:p>
        </w:tc>
        <w:tc>
          <w:tcPr>
            <w:tcW w:w="2891" w:type="dxa"/>
            <w:vAlign w:val="center"/>
          </w:tcPr>
          <w:p>
            <w:pPr>
              <w:pStyle w:val="18"/>
            </w:pPr>
            <w:r>
              <w:t>足额发放</w:t>
            </w:r>
          </w:p>
        </w:tc>
        <w:tc>
          <w:tcPr>
            <w:tcW w:w="1276" w:type="dxa"/>
            <w:vAlign w:val="center"/>
          </w:tcPr>
          <w:p>
            <w:pPr>
              <w:pStyle w:val="18"/>
            </w:pPr>
            <w:r>
              <w:t>100百分比</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资金成本</w:t>
            </w:r>
          </w:p>
        </w:tc>
        <w:tc>
          <w:tcPr>
            <w:tcW w:w="2891" w:type="dxa"/>
            <w:vAlign w:val="center"/>
          </w:tcPr>
          <w:p>
            <w:pPr>
              <w:pStyle w:val="18"/>
            </w:pPr>
            <w:r>
              <w:t>资金成本</w:t>
            </w:r>
          </w:p>
        </w:tc>
        <w:tc>
          <w:tcPr>
            <w:tcW w:w="1276" w:type="dxa"/>
            <w:vAlign w:val="center"/>
          </w:tcPr>
          <w:p>
            <w:pPr>
              <w:pStyle w:val="18"/>
            </w:pPr>
            <w:r>
              <w:t>3.9万元</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经济效益指标</w:t>
            </w:r>
          </w:p>
        </w:tc>
        <w:tc>
          <w:tcPr>
            <w:tcW w:w="1332" w:type="dxa"/>
            <w:vAlign w:val="center"/>
          </w:tcPr>
          <w:p>
            <w:pPr>
              <w:pStyle w:val="18"/>
            </w:pPr>
            <w:r>
              <w:t>成本利用率</w:t>
            </w:r>
          </w:p>
        </w:tc>
        <w:tc>
          <w:tcPr>
            <w:tcW w:w="2891" w:type="dxa"/>
            <w:vAlign w:val="center"/>
          </w:tcPr>
          <w:p>
            <w:pPr>
              <w:pStyle w:val="18"/>
            </w:pPr>
            <w:r>
              <w:t>成本利用率</w:t>
            </w:r>
          </w:p>
        </w:tc>
        <w:tc>
          <w:tcPr>
            <w:tcW w:w="1276" w:type="dxa"/>
            <w:vAlign w:val="center"/>
          </w:tcPr>
          <w:p>
            <w:pPr>
              <w:pStyle w:val="18"/>
            </w:pPr>
            <w:r>
              <w:t>100百分比</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社会效益指标</w:t>
            </w:r>
          </w:p>
        </w:tc>
        <w:tc>
          <w:tcPr>
            <w:tcW w:w="1332" w:type="dxa"/>
            <w:vAlign w:val="center"/>
          </w:tcPr>
          <w:p>
            <w:pPr>
              <w:pStyle w:val="18"/>
            </w:pPr>
            <w:r>
              <w:t>社会效益</w:t>
            </w:r>
          </w:p>
        </w:tc>
        <w:tc>
          <w:tcPr>
            <w:tcW w:w="2891" w:type="dxa"/>
            <w:vAlign w:val="center"/>
          </w:tcPr>
          <w:p>
            <w:pPr>
              <w:pStyle w:val="18"/>
            </w:pPr>
            <w:r>
              <w:t>社会效益</w:t>
            </w:r>
          </w:p>
        </w:tc>
        <w:tc>
          <w:tcPr>
            <w:tcW w:w="1276" w:type="dxa"/>
            <w:vAlign w:val="center"/>
          </w:tcPr>
          <w:p>
            <w:pPr>
              <w:pStyle w:val="18"/>
            </w:pPr>
            <w:r>
              <w:t>≥95百分比</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生态效益指标</w:t>
            </w:r>
          </w:p>
        </w:tc>
        <w:tc>
          <w:tcPr>
            <w:tcW w:w="2891" w:type="dxa"/>
            <w:vAlign w:val="center"/>
          </w:tcPr>
          <w:p>
            <w:pPr>
              <w:pStyle w:val="18"/>
            </w:pPr>
            <w:r>
              <w:t>生态效益指标</w:t>
            </w:r>
          </w:p>
        </w:tc>
        <w:tc>
          <w:tcPr>
            <w:tcW w:w="1276" w:type="dxa"/>
            <w:vAlign w:val="center"/>
          </w:tcPr>
          <w:p>
            <w:pPr>
              <w:pStyle w:val="18"/>
            </w:pPr>
            <w:r>
              <w:t>≥90百分比</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可持续性</w:t>
            </w:r>
          </w:p>
        </w:tc>
        <w:tc>
          <w:tcPr>
            <w:tcW w:w="2891" w:type="dxa"/>
            <w:vAlign w:val="center"/>
          </w:tcPr>
          <w:p>
            <w:pPr>
              <w:pStyle w:val="18"/>
            </w:pPr>
            <w:r>
              <w:t>可持续性</w:t>
            </w:r>
          </w:p>
        </w:tc>
        <w:tc>
          <w:tcPr>
            <w:tcW w:w="1276" w:type="dxa"/>
            <w:vAlign w:val="center"/>
          </w:tcPr>
          <w:p>
            <w:pPr>
              <w:pStyle w:val="18"/>
            </w:pPr>
            <w:r>
              <w:t>≥95百分比</w:t>
            </w:r>
          </w:p>
        </w:tc>
        <w:tc>
          <w:tcPr>
            <w:tcW w:w="1843" w:type="dxa"/>
            <w:vAlign w:val="center"/>
          </w:tcPr>
          <w:p>
            <w:pPr>
              <w:pStyle w:val="18"/>
            </w:pPr>
            <w:r>
              <w:t>请示和协议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满意率</w:t>
            </w:r>
          </w:p>
        </w:tc>
        <w:tc>
          <w:tcPr>
            <w:tcW w:w="2891" w:type="dxa"/>
            <w:vAlign w:val="center"/>
          </w:tcPr>
          <w:p>
            <w:pPr>
              <w:pStyle w:val="18"/>
            </w:pPr>
            <w:r>
              <w:t>满意率</w:t>
            </w:r>
          </w:p>
        </w:tc>
        <w:tc>
          <w:tcPr>
            <w:tcW w:w="1276" w:type="dxa"/>
            <w:vAlign w:val="center"/>
          </w:tcPr>
          <w:p>
            <w:pPr>
              <w:pStyle w:val="18"/>
            </w:pPr>
            <w:r>
              <w:t>≥95百分比</w:t>
            </w:r>
          </w:p>
        </w:tc>
        <w:tc>
          <w:tcPr>
            <w:tcW w:w="1843" w:type="dxa"/>
            <w:vAlign w:val="center"/>
          </w:tcPr>
          <w:p>
            <w:pPr>
              <w:pStyle w:val="18"/>
            </w:pPr>
            <w:r>
              <w:t>请示和协议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7"/>
      <w:r>
        <w:rPr>
          <w:rFonts w:ascii="方正仿宋_GBK" w:hAnsi="方正仿宋_GBK" w:eastAsia="方正仿宋_GBK" w:cs="方正仿宋_GBK"/>
          <w:color w:val="000000"/>
          <w:sz w:val="28"/>
        </w:rPr>
        <w:t>4.委员之家建设经费绩效目标表</w:t>
      </w:r>
      <w:bookmarkEnd w:id="1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13062423P00725610001N</w:t>
            </w:r>
          </w:p>
        </w:tc>
        <w:tc>
          <w:tcPr>
            <w:tcW w:w="1587" w:type="dxa"/>
            <w:vAlign w:val="center"/>
          </w:tcPr>
          <w:p>
            <w:pPr>
              <w:pStyle w:val="16"/>
            </w:pPr>
            <w:r>
              <w:t>项目名称</w:t>
            </w:r>
          </w:p>
        </w:tc>
        <w:tc>
          <w:tcPr>
            <w:tcW w:w="4422" w:type="dxa"/>
            <w:gridSpan w:val="3"/>
            <w:vAlign w:val="center"/>
          </w:tcPr>
          <w:p>
            <w:pPr>
              <w:pStyle w:val="18"/>
            </w:pPr>
            <w:r>
              <w:t>委员之家建设经费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t>10.00</w:t>
            </w:r>
          </w:p>
        </w:tc>
        <w:tc>
          <w:tcPr>
            <w:tcW w:w="1587" w:type="dxa"/>
            <w:vAlign w:val="center"/>
          </w:tcPr>
          <w:p>
            <w:pPr>
              <w:pStyle w:val="16"/>
            </w:pPr>
            <w:r>
              <w:t>其中：财政    资金</w:t>
            </w:r>
          </w:p>
        </w:tc>
        <w:tc>
          <w:tcPr>
            <w:tcW w:w="1304" w:type="dxa"/>
            <w:vAlign w:val="center"/>
          </w:tcPr>
          <w:p>
            <w:pPr>
              <w:pStyle w:val="18"/>
            </w:pPr>
            <w:r>
              <w:t>10.00</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8"/>
            </w:pPr>
            <w:r>
              <w:t>用于委员之家活动场所建设经费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2.50</w:t>
            </w:r>
          </w:p>
        </w:tc>
        <w:tc>
          <w:tcPr>
            <w:tcW w:w="1587" w:type="dxa"/>
            <w:vAlign w:val="center"/>
          </w:tcPr>
          <w:p>
            <w:pPr>
              <w:pStyle w:val="19"/>
            </w:pPr>
            <w:r>
              <w:t>5.00</w:t>
            </w:r>
          </w:p>
        </w:tc>
        <w:tc>
          <w:tcPr>
            <w:tcW w:w="1304" w:type="dxa"/>
            <w:vAlign w:val="center"/>
          </w:tcPr>
          <w:p>
            <w:pPr>
              <w:pStyle w:val="19"/>
            </w:pPr>
            <w:r>
              <w:t>7.50</w:t>
            </w:r>
          </w:p>
        </w:tc>
        <w:tc>
          <w:tcPr>
            <w:tcW w:w="3118" w:type="dxa"/>
            <w:gridSpan w:val="2"/>
            <w:vAlign w:val="center"/>
          </w:tcPr>
          <w:p>
            <w:pPr>
              <w:pStyle w:val="19"/>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7" w:type="dxa"/>
            <w:gridSpan w:val="6"/>
            <w:vAlign w:val="center"/>
          </w:tcPr>
          <w:p>
            <w:pPr>
              <w:pStyle w:val="18"/>
            </w:pPr>
            <w:r>
              <w:t>1.建立健全政协系统党组织体系，有效实现党组织对赏委员全覆盖，党的工作对政协委员全覆盖，全面加强党的领导。</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政协委员参与率</w:t>
            </w:r>
          </w:p>
        </w:tc>
        <w:tc>
          <w:tcPr>
            <w:tcW w:w="2891" w:type="dxa"/>
            <w:vAlign w:val="center"/>
          </w:tcPr>
          <w:p>
            <w:pPr>
              <w:pStyle w:val="18"/>
            </w:pPr>
            <w:r>
              <w:t>阜平县全体政协委员</w:t>
            </w:r>
          </w:p>
        </w:tc>
        <w:tc>
          <w:tcPr>
            <w:tcW w:w="1276" w:type="dxa"/>
            <w:vAlign w:val="center"/>
          </w:tcPr>
          <w:p>
            <w:pPr>
              <w:pStyle w:val="18"/>
            </w:pPr>
            <w:r>
              <w:t>≥100百分比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政协委员覆盖率</w:t>
            </w:r>
          </w:p>
        </w:tc>
        <w:tc>
          <w:tcPr>
            <w:tcW w:w="2891" w:type="dxa"/>
            <w:vAlign w:val="center"/>
          </w:tcPr>
          <w:p>
            <w:pPr>
              <w:pStyle w:val="18"/>
            </w:pPr>
            <w:r>
              <w:t>政协委员参与情况</w:t>
            </w:r>
          </w:p>
        </w:tc>
        <w:tc>
          <w:tcPr>
            <w:tcW w:w="1276" w:type="dxa"/>
            <w:vAlign w:val="center"/>
          </w:tcPr>
          <w:p>
            <w:pPr>
              <w:pStyle w:val="18"/>
            </w:pPr>
            <w:r>
              <w:t>≥95百分比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委员之家筹备达标率</w:t>
            </w:r>
          </w:p>
        </w:tc>
        <w:tc>
          <w:tcPr>
            <w:tcW w:w="2891" w:type="dxa"/>
            <w:vAlign w:val="center"/>
          </w:tcPr>
          <w:p>
            <w:pPr>
              <w:pStyle w:val="18"/>
            </w:pPr>
            <w:r>
              <w:t>委员之家筹备及委员之家工作的达标率</w:t>
            </w:r>
          </w:p>
        </w:tc>
        <w:tc>
          <w:tcPr>
            <w:tcW w:w="1276" w:type="dxa"/>
            <w:vAlign w:val="center"/>
          </w:tcPr>
          <w:p>
            <w:pPr>
              <w:pStyle w:val="18"/>
            </w:pPr>
            <w:r>
              <w:t>≥95百分比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委员之家活动场所达标率</w:t>
            </w:r>
          </w:p>
        </w:tc>
        <w:tc>
          <w:tcPr>
            <w:tcW w:w="2891" w:type="dxa"/>
            <w:vAlign w:val="center"/>
          </w:tcPr>
          <w:p>
            <w:pPr>
              <w:pStyle w:val="18"/>
            </w:pPr>
            <w:r>
              <w:t>委员之家活动场所建设情况</w:t>
            </w:r>
          </w:p>
        </w:tc>
        <w:tc>
          <w:tcPr>
            <w:tcW w:w="1276" w:type="dxa"/>
            <w:vAlign w:val="center"/>
          </w:tcPr>
          <w:p>
            <w:pPr>
              <w:pStyle w:val="18"/>
            </w:pPr>
            <w:r>
              <w:t>≥95百分比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经济效益指标</w:t>
            </w:r>
          </w:p>
        </w:tc>
        <w:tc>
          <w:tcPr>
            <w:tcW w:w="1332" w:type="dxa"/>
            <w:vAlign w:val="center"/>
          </w:tcPr>
          <w:p>
            <w:pPr>
              <w:pStyle w:val="18"/>
            </w:pPr>
            <w:r>
              <w:t>资金的使用效率</w:t>
            </w:r>
          </w:p>
        </w:tc>
        <w:tc>
          <w:tcPr>
            <w:tcW w:w="2891" w:type="dxa"/>
            <w:vAlign w:val="center"/>
          </w:tcPr>
          <w:p>
            <w:pPr>
              <w:pStyle w:val="18"/>
            </w:pPr>
            <w:r>
              <w:t>为全体政协委员提供活动场地</w:t>
            </w:r>
          </w:p>
        </w:tc>
        <w:tc>
          <w:tcPr>
            <w:tcW w:w="1276" w:type="dxa"/>
            <w:vAlign w:val="center"/>
          </w:tcPr>
          <w:p>
            <w:pPr>
              <w:pStyle w:val="18"/>
            </w:pPr>
            <w:r>
              <w:t>≥95百分比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社会效益指标</w:t>
            </w:r>
          </w:p>
        </w:tc>
        <w:tc>
          <w:tcPr>
            <w:tcW w:w="1332" w:type="dxa"/>
            <w:vAlign w:val="center"/>
          </w:tcPr>
          <w:p>
            <w:pPr>
              <w:pStyle w:val="18"/>
            </w:pPr>
            <w:r>
              <w:t>社会效益增长率</w:t>
            </w:r>
          </w:p>
        </w:tc>
        <w:tc>
          <w:tcPr>
            <w:tcW w:w="2891" w:type="dxa"/>
            <w:vAlign w:val="center"/>
          </w:tcPr>
          <w:p>
            <w:pPr>
              <w:pStyle w:val="18"/>
            </w:pPr>
            <w:r>
              <w:t>社会效益增长率</w:t>
            </w:r>
          </w:p>
        </w:tc>
        <w:tc>
          <w:tcPr>
            <w:tcW w:w="1276" w:type="dxa"/>
            <w:vAlign w:val="center"/>
          </w:tcPr>
          <w:p>
            <w:pPr>
              <w:pStyle w:val="18"/>
            </w:pPr>
            <w:r>
              <w:t>≥95百分比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生态环境质量改善</w:t>
            </w:r>
          </w:p>
        </w:tc>
        <w:tc>
          <w:tcPr>
            <w:tcW w:w="2891" w:type="dxa"/>
            <w:vAlign w:val="center"/>
          </w:tcPr>
          <w:p>
            <w:pPr>
              <w:pStyle w:val="18"/>
            </w:pPr>
            <w:r>
              <w:t>生态环境质量改善</w:t>
            </w:r>
          </w:p>
        </w:tc>
        <w:tc>
          <w:tcPr>
            <w:tcW w:w="1276" w:type="dxa"/>
            <w:vAlign w:val="center"/>
          </w:tcPr>
          <w:p>
            <w:pPr>
              <w:pStyle w:val="18"/>
            </w:pPr>
            <w:r>
              <w:t>≥95百分比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维护社会稳定</w:t>
            </w:r>
          </w:p>
        </w:tc>
        <w:tc>
          <w:tcPr>
            <w:tcW w:w="2891" w:type="dxa"/>
            <w:vAlign w:val="center"/>
          </w:tcPr>
          <w:p>
            <w:pPr>
              <w:pStyle w:val="18"/>
            </w:pPr>
            <w:r>
              <w:t>维护社会稳定</w:t>
            </w:r>
          </w:p>
        </w:tc>
        <w:tc>
          <w:tcPr>
            <w:tcW w:w="1276" w:type="dxa"/>
            <w:vAlign w:val="center"/>
          </w:tcPr>
          <w:p>
            <w:pPr>
              <w:pStyle w:val="18"/>
            </w:pPr>
            <w:r>
              <w:t>≥95百分比</w:t>
            </w:r>
          </w:p>
        </w:tc>
        <w:tc>
          <w:tcPr>
            <w:tcW w:w="1843" w:type="dxa"/>
            <w:vAlign w:val="center"/>
          </w:tcPr>
          <w:p>
            <w:pPr>
              <w:pStyle w:val="18"/>
            </w:pPr>
            <w:r>
              <w:t>省市县来文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活动参与人员满意度</w:t>
            </w:r>
          </w:p>
        </w:tc>
        <w:tc>
          <w:tcPr>
            <w:tcW w:w="2891" w:type="dxa"/>
            <w:vAlign w:val="center"/>
          </w:tcPr>
          <w:p>
            <w:pPr>
              <w:pStyle w:val="18"/>
            </w:pPr>
            <w:r>
              <w:t>活动参与人员满意度</w:t>
            </w:r>
          </w:p>
        </w:tc>
        <w:tc>
          <w:tcPr>
            <w:tcW w:w="1276" w:type="dxa"/>
            <w:vAlign w:val="center"/>
          </w:tcPr>
          <w:p>
            <w:pPr>
              <w:pStyle w:val="18"/>
            </w:pPr>
            <w:r>
              <w:t>≥95百分比</w:t>
            </w:r>
          </w:p>
        </w:tc>
        <w:tc>
          <w:tcPr>
            <w:tcW w:w="1843" w:type="dxa"/>
            <w:vAlign w:val="center"/>
          </w:tcPr>
          <w:p>
            <w:pPr>
              <w:pStyle w:val="18"/>
            </w:pPr>
            <w:r>
              <w:t>省市县来文</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8"/>
      <w:r>
        <w:rPr>
          <w:rFonts w:ascii="方正仿宋_GBK" w:hAnsi="方正仿宋_GBK" w:eastAsia="方正仿宋_GBK" w:cs="方正仿宋_GBK"/>
          <w:color w:val="000000"/>
          <w:sz w:val="28"/>
        </w:rPr>
        <w:t>5.政协会议绩效目标表</w:t>
      </w:r>
      <w:bookmarkEnd w:id="1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13062423P00724710002Q</w:t>
            </w:r>
          </w:p>
        </w:tc>
        <w:tc>
          <w:tcPr>
            <w:tcW w:w="1587" w:type="dxa"/>
            <w:vAlign w:val="center"/>
          </w:tcPr>
          <w:p>
            <w:pPr>
              <w:pStyle w:val="16"/>
            </w:pPr>
            <w:r>
              <w:t>项目名称</w:t>
            </w:r>
          </w:p>
        </w:tc>
        <w:tc>
          <w:tcPr>
            <w:tcW w:w="4422" w:type="dxa"/>
            <w:gridSpan w:val="3"/>
            <w:vAlign w:val="center"/>
          </w:tcPr>
          <w:p>
            <w:pPr>
              <w:pStyle w:val="18"/>
            </w:pPr>
            <w:r>
              <w:t>政协会议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t>35.00</w:t>
            </w:r>
          </w:p>
        </w:tc>
        <w:tc>
          <w:tcPr>
            <w:tcW w:w="1587" w:type="dxa"/>
            <w:vAlign w:val="center"/>
          </w:tcPr>
          <w:p>
            <w:pPr>
              <w:pStyle w:val="16"/>
            </w:pPr>
            <w:r>
              <w:t>其中：财政    资金</w:t>
            </w:r>
          </w:p>
        </w:tc>
        <w:tc>
          <w:tcPr>
            <w:tcW w:w="1304" w:type="dxa"/>
            <w:vAlign w:val="center"/>
          </w:tcPr>
          <w:p>
            <w:pPr>
              <w:pStyle w:val="18"/>
            </w:pPr>
            <w:r>
              <w:t>35.00</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8"/>
            </w:pPr>
            <w:r>
              <w:t>用于每年一次的政协会议项目支出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8.75</w:t>
            </w:r>
          </w:p>
        </w:tc>
        <w:tc>
          <w:tcPr>
            <w:tcW w:w="1587" w:type="dxa"/>
            <w:vAlign w:val="center"/>
          </w:tcPr>
          <w:p>
            <w:pPr>
              <w:pStyle w:val="19"/>
            </w:pPr>
            <w:r>
              <w:t>17.50</w:t>
            </w:r>
          </w:p>
        </w:tc>
        <w:tc>
          <w:tcPr>
            <w:tcW w:w="1304" w:type="dxa"/>
            <w:vAlign w:val="center"/>
          </w:tcPr>
          <w:p>
            <w:pPr>
              <w:pStyle w:val="19"/>
            </w:pPr>
            <w:r>
              <w:t>26.25</w:t>
            </w:r>
          </w:p>
        </w:tc>
        <w:tc>
          <w:tcPr>
            <w:tcW w:w="3118" w:type="dxa"/>
            <w:gridSpan w:val="2"/>
            <w:vAlign w:val="center"/>
          </w:tcPr>
          <w:p>
            <w:pPr>
              <w:pStyle w:val="19"/>
            </w:pPr>
            <w:r>
              <w:t>35.00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7" w:type="dxa"/>
            <w:gridSpan w:val="6"/>
            <w:vAlign w:val="center"/>
          </w:tcPr>
          <w:p>
            <w:pPr>
              <w:pStyle w:val="18"/>
            </w:pPr>
            <w:r>
              <w:t>1.紧密配合县委中心工作，切实发行政治协商、民主监督、参政议政职能，充分发挥协调关系，汇聚力量，服务大局作用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举办活动场次</w:t>
            </w:r>
          </w:p>
        </w:tc>
        <w:tc>
          <w:tcPr>
            <w:tcW w:w="2891" w:type="dxa"/>
            <w:vAlign w:val="center"/>
          </w:tcPr>
          <w:p>
            <w:pPr>
              <w:pStyle w:val="18"/>
            </w:pPr>
            <w:r>
              <w:t>阜平县全体政协委员及工作人员</w:t>
            </w:r>
          </w:p>
        </w:tc>
        <w:tc>
          <w:tcPr>
            <w:tcW w:w="1276" w:type="dxa"/>
            <w:vAlign w:val="center"/>
          </w:tcPr>
          <w:p>
            <w:pPr>
              <w:pStyle w:val="18"/>
            </w:pPr>
            <w:r>
              <w:t>100百分比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会议标准达标率</w:t>
            </w:r>
          </w:p>
        </w:tc>
        <w:tc>
          <w:tcPr>
            <w:tcW w:w="2891" w:type="dxa"/>
            <w:vAlign w:val="center"/>
          </w:tcPr>
          <w:p>
            <w:pPr>
              <w:pStyle w:val="18"/>
            </w:pPr>
            <w:r>
              <w:t>会议标准达标率</w:t>
            </w:r>
          </w:p>
        </w:tc>
        <w:tc>
          <w:tcPr>
            <w:tcW w:w="1276" w:type="dxa"/>
            <w:vAlign w:val="center"/>
          </w:tcPr>
          <w:p>
            <w:pPr>
              <w:pStyle w:val="18"/>
            </w:pPr>
            <w:r>
              <w:t>≥95百分比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工作任务完成及时率</w:t>
            </w:r>
          </w:p>
        </w:tc>
        <w:tc>
          <w:tcPr>
            <w:tcW w:w="2891" w:type="dxa"/>
            <w:vAlign w:val="center"/>
          </w:tcPr>
          <w:p>
            <w:pPr>
              <w:pStyle w:val="18"/>
            </w:pPr>
            <w:r>
              <w:t>会议筹备及会务工作的完成率</w:t>
            </w:r>
          </w:p>
        </w:tc>
        <w:tc>
          <w:tcPr>
            <w:tcW w:w="1276" w:type="dxa"/>
            <w:vAlign w:val="center"/>
          </w:tcPr>
          <w:p>
            <w:pPr>
              <w:pStyle w:val="18"/>
            </w:pPr>
            <w:r>
              <w:t>≥95百分比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会议费标准</w:t>
            </w:r>
          </w:p>
        </w:tc>
        <w:tc>
          <w:tcPr>
            <w:tcW w:w="2891" w:type="dxa"/>
            <w:vAlign w:val="center"/>
          </w:tcPr>
          <w:p>
            <w:pPr>
              <w:pStyle w:val="18"/>
            </w:pPr>
            <w:r>
              <w:t>会议费标准</w:t>
            </w:r>
          </w:p>
        </w:tc>
        <w:tc>
          <w:tcPr>
            <w:tcW w:w="1276" w:type="dxa"/>
            <w:vAlign w:val="center"/>
          </w:tcPr>
          <w:p>
            <w:pPr>
              <w:pStyle w:val="18"/>
            </w:pPr>
            <w:r>
              <w:t>≥95百分比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经济效益指标</w:t>
            </w:r>
          </w:p>
        </w:tc>
        <w:tc>
          <w:tcPr>
            <w:tcW w:w="1332" w:type="dxa"/>
            <w:vAlign w:val="center"/>
          </w:tcPr>
          <w:p>
            <w:pPr>
              <w:pStyle w:val="18"/>
            </w:pPr>
            <w:r>
              <w:t>经济效益指标</w:t>
            </w:r>
          </w:p>
        </w:tc>
        <w:tc>
          <w:tcPr>
            <w:tcW w:w="2891" w:type="dxa"/>
            <w:vAlign w:val="center"/>
          </w:tcPr>
          <w:p>
            <w:pPr>
              <w:pStyle w:val="18"/>
            </w:pPr>
            <w:r>
              <w:t>经济效益指标</w:t>
            </w:r>
          </w:p>
        </w:tc>
        <w:tc>
          <w:tcPr>
            <w:tcW w:w="1276" w:type="dxa"/>
            <w:vAlign w:val="center"/>
          </w:tcPr>
          <w:p>
            <w:pPr>
              <w:pStyle w:val="18"/>
            </w:pPr>
            <w:r>
              <w:t>≥95百分比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社会效益指标</w:t>
            </w:r>
          </w:p>
        </w:tc>
        <w:tc>
          <w:tcPr>
            <w:tcW w:w="1332" w:type="dxa"/>
            <w:vAlign w:val="center"/>
          </w:tcPr>
          <w:p>
            <w:pPr>
              <w:pStyle w:val="18"/>
            </w:pPr>
            <w:r>
              <w:t>提案成果</w:t>
            </w:r>
          </w:p>
        </w:tc>
        <w:tc>
          <w:tcPr>
            <w:tcW w:w="2891" w:type="dxa"/>
            <w:vAlign w:val="center"/>
          </w:tcPr>
          <w:p>
            <w:pPr>
              <w:pStyle w:val="18"/>
            </w:pPr>
            <w:r>
              <w:t>提案征集率</w:t>
            </w:r>
          </w:p>
        </w:tc>
        <w:tc>
          <w:tcPr>
            <w:tcW w:w="1276" w:type="dxa"/>
            <w:vAlign w:val="center"/>
          </w:tcPr>
          <w:p>
            <w:pPr>
              <w:pStyle w:val="18"/>
            </w:pPr>
            <w:r>
              <w:t>≥95百分比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加强节约集约利用，促进生态文明</w:t>
            </w:r>
          </w:p>
        </w:tc>
        <w:tc>
          <w:tcPr>
            <w:tcW w:w="2891" w:type="dxa"/>
            <w:vAlign w:val="center"/>
          </w:tcPr>
          <w:p>
            <w:pPr>
              <w:pStyle w:val="18"/>
            </w:pPr>
            <w:r>
              <w:t>加强节约集约利用，促进生态文明建设</w:t>
            </w:r>
          </w:p>
        </w:tc>
        <w:tc>
          <w:tcPr>
            <w:tcW w:w="1276" w:type="dxa"/>
            <w:vAlign w:val="center"/>
          </w:tcPr>
          <w:p>
            <w:pPr>
              <w:pStyle w:val="18"/>
            </w:pPr>
            <w:r>
              <w:t>≥95百分比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维护社会稳定</w:t>
            </w:r>
          </w:p>
        </w:tc>
        <w:tc>
          <w:tcPr>
            <w:tcW w:w="2891" w:type="dxa"/>
            <w:vAlign w:val="center"/>
          </w:tcPr>
          <w:p>
            <w:pPr>
              <w:pStyle w:val="18"/>
            </w:pPr>
            <w:r>
              <w:t>维护社会稳定</w:t>
            </w:r>
          </w:p>
        </w:tc>
        <w:tc>
          <w:tcPr>
            <w:tcW w:w="1276" w:type="dxa"/>
            <w:vAlign w:val="center"/>
          </w:tcPr>
          <w:p>
            <w:pPr>
              <w:pStyle w:val="18"/>
            </w:pPr>
            <w:r>
              <w:t>≥95百分比</w:t>
            </w:r>
          </w:p>
        </w:tc>
        <w:tc>
          <w:tcPr>
            <w:tcW w:w="1843" w:type="dxa"/>
            <w:vAlign w:val="center"/>
          </w:tcPr>
          <w:p>
            <w:pPr>
              <w:pStyle w:val="18"/>
            </w:pPr>
            <w:r>
              <w:t>政协会议安排议程日程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服务对象满意度</w:t>
            </w:r>
          </w:p>
        </w:tc>
        <w:tc>
          <w:tcPr>
            <w:tcW w:w="2891" w:type="dxa"/>
            <w:vAlign w:val="center"/>
          </w:tcPr>
          <w:p>
            <w:pPr>
              <w:pStyle w:val="18"/>
            </w:pPr>
            <w:r>
              <w:t>服务对象满意度</w:t>
            </w:r>
          </w:p>
        </w:tc>
        <w:tc>
          <w:tcPr>
            <w:tcW w:w="1276" w:type="dxa"/>
            <w:vAlign w:val="center"/>
          </w:tcPr>
          <w:p>
            <w:pPr>
              <w:pStyle w:val="18"/>
            </w:pPr>
            <w:r>
              <w:t>≥95百分比</w:t>
            </w:r>
          </w:p>
        </w:tc>
        <w:tc>
          <w:tcPr>
            <w:tcW w:w="1843" w:type="dxa"/>
            <w:vAlign w:val="center"/>
          </w:tcPr>
          <w:p>
            <w:pPr>
              <w:pStyle w:val="18"/>
            </w:pPr>
            <w:r>
              <w:t>政协会议安排议程日程</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09"/>
      <w:r>
        <w:rPr>
          <w:rFonts w:ascii="方正仿宋_GBK" w:hAnsi="方正仿宋_GBK" w:eastAsia="方正仿宋_GBK" w:cs="方正仿宋_GBK"/>
          <w:color w:val="000000"/>
          <w:sz w:val="28"/>
        </w:rPr>
        <w:t>6.政协委员视察调研绩效目标表</w:t>
      </w:r>
      <w:bookmarkEnd w:id="20"/>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13062423P007249100024</w:t>
            </w:r>
          </w:p>
        </w:tc>
        <w:tc>
          <w:tcPr>
            <w:tcW w:w="1587" w:type="dxa"/>
            <w:vAlign w:val="center"/>
          </w:tcPr>
          <w:p>
            <w:pPr>
              <w:pStyle w:val="16"/>
            </w:pPr>
            <w:r>
              <w:t>项目名称</w:t>
            </w:r>
          </w:p>
        </w:tc>
        <w:tc>
          <w:tcPr>
            <w:tcW w:w="4422" w:type="dxa"/>
            <w:gridSpan w:val="3"/>
            <w:vAlign w:val="center"/>
          </w:tcPr>
          <w:p>
            <w:pPr>
              <w:pStyle w:val="18"/>
            </w:pPr>
            <w:r>
              <w:t>政协委员视察调研</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t>5.00</w:t>
            </w:r>
          </w:p>
        </w:tc>
        <w:tc>
          <w:tcPr>
            <w:tcW w:w="1587" w:type="dxa"/>
            <w:vAlign w:val="center"/>
          </w:tcPr>
          <w:p>
            <w:pPr>
              <w:pStyle w:val="16"/>
            </w:pPr>
            <w:r>
              <w:t>其中：财政    资金</w:t>
            </w:r>
          </w:p>
        </w:tc>
        <w:tc>
          <w:tcPr>
            <w:tcW w:w="1304" w:type="dxa"/>
            <w:vAlign w:val="center"/>
          </w:tcPr>
          <w:p>
            <w:pPr>
              <w:pStyle w:val="18"/>
            </w:pPr>
            <w:r>
              <w:t>5.00</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8"/>
            </w:pPr>
            <w:r>
              <w:t>用于一年四次的委员视察项目经费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1.25</w:t>
            </w:r>
          </w:p>
        </w:tc>
        <w:tc>
          <w:tcPr>
            <w:tcW w:w="1587" w:type="dxa"/>
            <w:vAlign w:val="center"/>
          </w:tcPr>
          <w:p>
            <w:pPr>
              <w:pStyle w:val="19"/>
            </w:pPr>
            <w:r>
              <w:t>2.50</w:t>
            </w:r>
          </w:p>
        </w:tc>
        <w:tc>
          <w:tcPr>
            <w:tcW w:w="1304" w:type="dxa"/>
            <w:vAlign w:val="center"/>
          </w:tcPr>
          <w:p>
            <w:pPr>
              <w:pStyle w:val="19"/>
            </w:pPr>
            <w:r>
              <w:t>3.75</w:t>
            </w:r>
          </w:p>
        </w:tc>
        <w:tc>
          <w:tcPr>
            <w:tcW w:w="3118" w:type="dxa"/>
            <w:gridSpan w:val="2"/>
            <w:vAlign w:val="center"/>
          </w:tcPr>
          <w:p>
            <w:pPr>
              <w:pStyle w:val="19"/>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7" w:type="dxa"/>
            <w:gridSpan w:val="6"/>
            <w:vAlign w:val="center"/>
          </w:tcPr>
          <w:p>
            <w:pPr>
              <w:pStyle w:val="18"/>
            </w:pPr>
            <w:r>
              <w:t>1.政协常委视察调研每季度开展一次，全年四次，组织政协委员对县内外课题进行视察调研</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6"/>
            </w:pPr>
            <w:r>
              <w:t>一级指标</w:t>
            </w:r>
          </w:p>
        </w:tc>
        <w:tc>
          <w:tcPr>
            <w:tcW w:w="1276" w:type="dxa"/>
            <w:vAlign w:val="center"/>
          </w:tcPr>
          <w:p>
            <w:pPr>
              <w:pStyle w:val="16"/>
            </w:pPr>
            <w:r>
              <w:t>二级指标</w:t>
            </w:r>
          </w:p>
        </w:tc>
        <w:tc>
          <w:tcPr>
            <w:tcW w:w="1332" w:type="dxa"/>
            <w:vAlign w:val="center"/>
          </w:tcPr>
          <w:p>
            <w:pPr>
              <w:pStyle w:val="16"/>
            </w:pPr>
            <w:r>
              <w:t>三级指标</w:t>
            </w:r>
          </w:p>
        </w:tc>
        <w:tc>
          <w:tcPr>
            <w:tcW w:w="2891" w:type="dxa"/>
            <w:vAlign w:val="center"/>
          </w:tcPr>
          <w:p>
            <w:pPr>
              <w:pStyle w:val="16"/>
            </w:pPr>
            <w:r>
              <w:t>绩效指标描述</w:t>
            </w:r>
          </w:p>
        </w:tc>
        <w:tc>
          <w:tcPr>
            <w:tcW w:w="1276" w:type="dxa"/>
            <w:vAlign w:val="center"/>
          </w:tcPr>
          <w:p>
            <w:pPr>
              <w:pStyle w:val="16"/>
            </w:pPr>
            <w:r>
              <w:t>指标值</w:t>
            </w:r>
          </w:p>
        </w:tc>
        <w:tc>
          <w:tcPr>
            <w:tcW w:w="184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产出指标</w:t>
            </w:r>
          </w:p>
        </w:tc>
        <w:tc>
          <w:tcPr>
            <w:tcW w:w="1276" w:type="dxa"/>
            <w:vAlign w:val="center"/>
          </w:tcPr>
          <w:p>
            <w:pPr>
              <w:pStyle w:val="18"/>
            </w:pPr>
            <w:r>
              <w:t>数量指标</w:t>
            </w:r>
          </w:p>
        </w:tc>
        <w:tc>
          <w:tcPr>
            <w:tcW w:w="1332" w:type="dxa"/>
            <w:vAlign w:val="center"/>
          </w:tcPr>
          <w:p>
            <w:pPr>
              <w:pStyle w:val="18"/>
            </w:pPr>
            <w:r>
              <w:t>政协委员人数</w:t>
            </w:r>
          </w:p>
        </w:tc>
        <w:tc>
          <w:tcPr>
            <w:tcW w:w="2891" w:type="dxa"/>
            <w:vAlign w:val="center"/>
          </w:tcPr>
          <w:p>
            <w:pPr>
              <w:pStyle w:val="18"/>
            </w:pPr>
            <w:r>
              <w:t>全体县政协常委及工作人员</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质量指标</w:t>
            </w:r>
          </w:p>
        </w:tc>
        <w:tc>
          <w:tcPr>
            <w:tcW w:w="1332" w:type="dxa"/>
            <w:vAlign w:val="center"/>
          </w:tcPr>
          <w:p>
            <w:pPr>
              <w:pStyle w:val="18"/>
            </w:pPr>
            <w:r>
              <w:t>视察方案达标率</w:t>
            </w:r>
          </w:p>
        </w:tc>
        <w:tc>
          <w:tcPr>
            <w:tcW w:w="2891" w:type="dxa"/>
            <w:vAlign w:val="center"/>
          </w:tcPr>
          <w:p>
            <w:pPr>
              <w:pStyle w:val="18"/>
            </w:pPr>
            <w:r>
              <w:t>视察方案达标情况</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时效指标</w:t>
            </w:r>
          </w:p>
        </w:tc>
        <w:tc>
          <w:tcPr>
            <w:tcW w:w="1332" w:type="dxa"/>
            <w:vAlign w:val="center"/>
          </w:tcPr>
          <w:p>
            <w:pPr>
              <w:pStyle w:val="18"/>
            </w:pPr>
            <w:r>
              <w:t>视察工作完成率</w:t>
            </w:r>
          </w:p>
        </w:tc>
        <w:tc>
          <w:tcPr>
            <w:tcW w:w="2891" w:type="dxa"/>
            <w:vAlign w:val="center"/>
          </w:tcPr>
          <w:p>
            <w:pPr>
              <w:pStyle w:val="18"/>
            </w:pPr>
            <w:r>
              <w:t>视察工作筹备及完成情况</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成本指标</w:t>
            </w:r>
          </w:p>
        </w:tc>
        <w:tc>
          <w:tcPr>
            <w:tcW w:w="1332" w:type="dxa"/>
            <w:vAlign w:val="center"/>
          </w:tcPr>
          <w:p>
            <w:pPr>
              <w:pStyle w:val="18"/>
            </w:pPr>
            <w:r>
              <w:t>视察活动费用标准</w:t>
            </w:r>
          </w:p>
        </w:tc>
        <w:tc>
          <w:tcPr>
            <w:tcW w:w="2891" w:type="dxa"/>
            <w:vAlign w:val="center"/>
          </w:tcPr>
          <w:p>
            <w:pPr>
              <w:pStyle w:val="18"/>
            </w:pPr>
            <w:r>
              <w:t>视察活动费用标准</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9"/>
            </w:pPr>
            <w:r>
              <w:t>效益指标</w:t>
            </w:r>
          </w:p>
        </w:tc>
        <w:tc>
          <w:tcPr>
            <w:tcW w:w="1276" w:type="dxa"/>
            <w:vAlign w:val="center"/>
          </w:tcPr>
          <w:p>
            <w:pPr>
              <w:pStyle w:val="18"/>
            </w:pPr>
            <w:r>
              <w:t>经济效益指标</w:t>
            </w:r>
          </w:p>
        </w:tc>
        <w:tc>
          <w:tcPr>
            <w:tcW w:w="1332" w:type="dxa"/>
            <w:vAlign w:val="center"/>
          </w:tcPr>
          <w:p>
            <w:pPr>
              <w:pStyle w:val="18"/>
            </w:pPr>
            <w:r>
              <w:t>视察调研建议率</w:t>
            </w:r>
          </w:p>
        </w:tc>
        <w:tc>
          <w:tcPr>
            <w:tcW w:w="2891" w:type="dxa"/>
            <w:vAlign w:val="center"/>
          </w:tcPr>
          <w:p>
            <w:pPr>
              <w:pStyle w:val="18"/>
            </w:pPr>
            <w:r>
              <w:t>视察调研建议率</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社会效益指标</w:t>
            </w:r>
          </w:p>
        </w:tc>
        <w:tc>
          <w:tcPr>
            <w:tcW w:w="1332" w:type="dxa"/>
            <w:vAlign w:val="center"/>
          </w:tcPr>
          <w:p>
            <w:pPr>
              <w:pStyle w:val="18"/>
            </w:pPr>
            <w:r>
              <w:t>重点课题和专项视察调研完成率</w:t>
            </w:r>
          </w:p>
        </w:tc>
        <w:tc>
          <w:tcPr>
            <w:tcW w:w="2891" w:type="dxa"/>
            <w:vAlign w:val="center"/>
          </w:tcPr>
          <w:p>
            <w:pPr>
              <w:pStyle w:val="18"/>
            </w:pPr>
            <w:r>
              <w:t>重点课题和专项视察调研完成情况</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生态效益指标</w:t>
            </w:r>
          </w:p>
        </w:tc>
        <w:tc>
          <w:tcPr>
            <w:tcW w:w="1332" w:type="dxa"/>
            <w:vAlign w:val="center"/>
          </w:tcPr>
          <w:p>
            <w:pPr>
              <w:pStyle w:val="18"/>
            </w:pPr>
            <w:r>
              <w:t>促进生态文明建设，推动绿色发展</w:t>
            </w:r>
          </w:p>
        </w:tc>
        <w:tc>
          <w:tcPr>
            <w:tcW w:w="2891" w:type="dxa"/>
            <w:vAlign w:val="center"/>
          </w:tcPr>
          <w:p>
            <w:pPr>
              <w:pStyle w:val="18"/>
            </w:pPr>
            <w:r>
              <w:t>促进生态文明建设，推动绿色发展和绿色生活方式</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8"/>
            </w:pPr>
            <w:r>
              <w:t>可持续影响指标</w:t>
            </w:r>
          </w:p>
        </w:tc>
        <w:tc>
          <w:tcPr>
            <w:tcW w:w="1332" w:type="dxa"/>
            <w:vAlign w:val="center"/>
          </w:tcPr>
          <w:p>
            <w:pPr>
              <w:pStyle w:val="18"/>
            </w:pPr>
            <w:r>
              <w:t>维护社会稳定</w:t>
            </w:r>
          </w:p>
        </w:tc>
        <w:tc>
          <w:tcPr>
            <w:tcW w:w="2891" w:type="dxa"/>
            <w:vAlign w:val="center"/>
          </w:tcPr>
          <w:p>
            <w:pPr>
              <w:pStyle w:val="18"/>
            </w:pPr>
            <w:r>
              <w:t>维护社会稳定</w:t>
            </w:r>
          </w:p>
        </w:tc>
        <w:tc>
          <w:tcPr>
            <w:tcW w:w="1276" w:type="dxa"/>
            <w:vAlign w:val="center"/>
          </w:tcPr>
          <w:p>
            <w:pPr>
              <w:pStyle w:val="18"/>
            </w:pPr>
            <w:r>
              <w:t>≥95百分比</w:t>
            </w:r>
          </w:p>
        </w:tc>
        <w:tc>
          <w:tcPr>
            <w:tcW w:w="1843" w:type="dxa"/>
            <w:vAlign w:val="center"/>
          </w:tcPr>
          <w:p>
            <w:pPr>
              <w:pStyle w:val="18"/>
            </w:pPr>
            <w:r>
              <w:t>委员视察方案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9"/>
            </w:pPr>
            <w:r>
              <w:t>满意度指标</w:t>
            </w:r>
          </w:p>
        </w:tc>
        <w:tc>
          <w:tcPr>
            <w:tcW w:w="1276" w:type="dxa"/>
            <w:vAlign w:val="center"/>
          </w:tcPr>
          <w:p>
            <w:pPr>
              <w:pStyle w:val="18"/>
            </w:pPr>
            <w:r>
              <w:t>服务对象满意度指标</w:t>
            </w:r>
          </w:p>
        </w:tc>
        <w:tc>
          <w:tcPr>
            <w:tcW w:w="1332" w:type="dxa"/>
            <w:vAlign w:val="center"/>
          </w:tcPr>
          <w:p>
            <w:pPr>
              <w:pStyle w:val="18"/>
            </w:pPr>
            <w:r>
              <w:t>服务满意度</w:t>
            </w:r>
          </w:p>
        </w:tc>
        <w:tc>
          <w:tcPr>
            <w:tcW w:w="2891" w:type="dxa"/>
            <w:vAlign w:val="center"/>
          </w:tcPr>
          <w:p>
            <w:pPr>
              <w:pStyle w:val="18"/>
            </w:pPr>
            <w:r>
              <w:t>服务满意度</w:t>
            </w:r>
          </w:p>
        </w:tc>
        <w:tc>
          <w:tcPr>
            <w:tcW w:w="1276" w:type="dxa"/>
            <w:vAlign w:val="center"/>
          </w:tcPr>
          <w:p>
            <w:pPr>
              <w:pStyle w:val="18"/>
            </w:pPr>
            <w:r>
              <w:t>≥95百分比</w:t>
            </w:r>
          </w:p>
        </w:tc>
        <w:tc>
          <w:tcPr>
            <w:tcW w:w="1843" w:type="dxa"/>
            <w:vAlign w:val="center"/>
          </w:tcPr>
          <w:p>
            <w:pPr>
              <w:pStyle w:val="18"/>
            </w:pPr>
            <w:r>
              <w:t>委员视察方案</w:t>
            </w:r>
          </w:p>
        </w:tc>
      </w:tr>
    </w:tbl>
    <w:p/>
    <w:p>
      <w:pPr>
        <w:sectPr>
          <w:pgSz w:w="11900" w:h="16840"/>
          <w:pgMar w:top="1984" w:right="1304" w:bottom="1134" w:left="1304" w:header="720" w:footer="720" w:gutter="0"/>
          <w:cols w:space="720" w:num="1"/>
        </w:sectPr>
      </w:pPr>
    </w:p>
    <w:p>
      <w:pPr>
        <w:outlineLvl w:val="3"/>
      </w:pPr>
      <w:bookmarkStart w:id="21" w:name="_Toc_4_4_0000000010"/>
      <w:r>
        <w:rPr>
          <w:rFonts w:ascii="方正仿宋_GBK" w:hAnsi="方正仿宋_GBK" w:eastAsia="方正仿宋_GBK" w:cs="方正仿宋_GBK"/>
          <w:color w:val="000000"/>
          <w:sz w:val="28"/>
        </w:rPr>
        <w:t>7.政协文史书画展绩效目标表</w:t>
      </w:r>
      <w:bookmarkEnd w:id="21"/>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2"/>
            </w:pPr>
            <w:r>
              <w:t>131001阜平县政协（本级）</w:t>
            </w:r>
          </w:p>
        </w:tc>
        <w:tc>
          <w:tcPr>
            <w:tcW w:w="1843" w:type="dxa"/>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项目编码</w:t>
            </w:r>
          </w:p>
        </w:tc>
        <w:tc>
          <w:tcPr>
            <w:tcW w:w="2608" w:type="dxa"/>
            <w:gridSpan w:val="2"/>
            <w:vAlign w:val="center"/>
          </w:tcPr>
          <w:p>
            <w:pPr>
              <w:pStyle w:val="18"/>
            </w:pPr>
            <w:r>
              <w:t>13062423P007255100011</w:t>
            </w:r>
          </w:p>
        </w:tc>
        <w:tc>
          <w:tcPr>
            <w:tcW w:w="1587" w:type="dxa"/>
            <w:vAlign w:val="center"/>
          </w:tcPr>
          <w:p>
            <w:pPr>
              <w:pStyle w:val="16"/>
            </w:pPr>
            <w:r>
              <w:t>项目名称</w:t>
            </w:r>
          </w:p>
        </w:tc>
        <w:tc>
          <w:tcPr>
            <w:tcW w:w="4422" w:type="dxa"/>
            <w:gridSpan w:val="3"/>
            <w:vAlign w:val="center"/>
          </w:tcPr>
          <w:p>
            <w:pPr>
              <w:pStyle w:val="18"/>
            </w:pPr>
            <w:r>
              <w:t>政协文史书画展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预算规模及资金用途</w:t>
            </w:r>
          </w:p>
        </w:tc>
        <w:tc>
          <w:tcPr>
            <w:tcW w:w="1276" w:type="dxa"/>
            <w:vAlign w:val="center"/>
          </w:tcPr>
          <w:p>
            <w:pPr>
              <w:pStyle w:val="16"/>
            </w:pPr>
            <w:r>
              <w:t>预算数</w:t>
            </w:r>
          </w:p>
        </w:tc>
        <w:tc>
          <w:tcPr>
            <w:tcW w:w="1332" w:type="dxa"/>
            <w:vAlign w:val="center"/>
          </w:tcPr>
          <w:p>
            <w:pPr>
              <w:pStyle w:val="18"/>
            </w:pPr>
            <w:r>
              <w:t>2.00</w:t>
            </w:r>
          </w:p>
        </w:tc>
        <w:tc>
          <w:tcPr>
            <w:tcW w:w="1587" w:type="dxa"/>
            <w:vAlign w:val="center"/>
          </w:tcPr>
          <w:p>
            <w:pPr>
              <w:pStyle w:val="16"/>
            </w:pPr>
            <w:r>
              <w:t>其中：财政    资金</w:t>
            </w:r>
          </w:p>
        </w:tc>
        <w:tc>
          <w:tcPr>
            <w:tcW w:w="1304" w:type="dxa"/>
            <w:vAlign w:val="center"/>
          </w:tcPr>
          <w:p>
            <w:pPr>
              <w:pStyle w:val="18"/>
            </w:pPr>
            <w:r>
              <w:t>2.00</w:t>
            </w:r>
          </w:p>
        </w:tc>
        <w:tc>
          <w:tcPr>
            <w:tcW w:w="1276" w:type="dxa"/>
            <w:vAlign w:val="center"/>
          </w:tcPr>
          <w:p>
            <w:pPr>
              <w:pStyle w:val="16"/>
            </w:pPr>
            <w:r>
              <w:t>其他资金</w:t>
            </w:r>
          </w:p>
        </w:tc>
        <w:tc>
          <w:tcPr>
            <w:tcW w:w="1843" w:type="dxa"/>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8"/>
            </w:pPr>
            <w:r>
              <w:t>用于每年不少于一次的文史书画展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资金支出计划（%）</w:t>
            </w:r>
          </w:p>
        </w:tc>
        <w:tc>
          <w:tcPr>
            <w:tcW w:w="2608" w:type="dxa"/>
            <w:gridSpan w:val="2"/>
            <w:vAlign w:val="center"/>
          </w:tcPr>
          <w:p>
            <w:pPr>
              <w:pStyle w:val="16"/>
            </w:pPr>
            <w:r>
              <w:t>3月底</w:t>
            </w:r>
          </w:p>
        </w:tc>
        <w:tc>
          <w:tcPr>
            <w:tcW w:w="1587" w:type="dxa"/>
            <w:vAlign w:val="center"/>
          </w:tcPr>
          <w:p>
            <w:pPr>
              <w:pStyle w:val="16"/>
            </w:pPr>
            <w:r>
              <w:t>6月底</w:t>
            </w:r>
          </w:p>
        </w:tc>
        <w:tc>
          <w:tcPr>
            <w:tcW w:w="1304" w:type="dxa"/>
            <w:vAlign w:val="center"/>
          </w:tcPr>
          <w:p>
            <w:pPr>
              <w:pStyle w:val="16"/>
            </w:pPr>
            <w:r>
              <w:t>10月底</w:t>
            </w:r>
          </w:p>
        </w:tc>
        <w:tc>
          <w:tcPr>
            <w:tcW w:w="3118" w:type="dxa"/>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9"/>
            </w:pPr>
            <w:r>
              <w:t>0.50</w:t>
            </w:r>
          </w:p>
        </w:tc>
        <w:tc>
          <w:tcPr>
            <w:tcW w:w="1587" w:type="dxa"/>
            <w:vAlign w:val="center"/>
          </w:tcPr>
          <w:p>
            <w:pPr>
              <w:pStyle w:val="19"/>
            </w:pPr>
            <w:r>
              <w:t>1.00</w:t>
            </w:r>
          </w:p>
        </w:tc>
        <w:tc>
          <w:tcPr>
            <w:tcW w:w="1304" w:type="dxa"/>
            <w:vAlign w:val="center"/>
          </w:tcPr>
          <w:p>
            <w:pPr>
              <w:pStyle w:val="19"/>
            </w:pPr>
            <w:r>
              <w:t>1.50</w:t>
            </w:r>
          </w:p>
        </w:tc>
        <w:tc>
          <w:tcPr>
            <w:tcW w:w="3118" w:type="dxa"/>
            <w:gridSpan w:val="2"/>
            <w:vAlign w:val="center"/>
          </w:tcPr>
          <w:p>
            <w:pPr>
              <w:pStyle w:val="19"/>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绩效目标</w:t>
            </w:r>
          </w:p>
        </w:tc>
        <w:tc>
          <w:tcPr>
            <w:tcW w:w="8617" w:type="dxa"/>
            <w:gridSpan w:val="6"/>
            <w:vAlign w:val="center"/>
          </w:tcPr>
          <w:p>
            <w:pPr>
              <w:pStyle w:val="18"/>
            </w:pPr>
            <w:r>
              <w:t>1.积极抢救，认真研学文史，打造文史资料品牌， 提升文史资料质量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31"/>
        <w:gridCol w:w="1331"/>
        <w:gridCol w:w="1331"/>
        <w:gridCol w:w="2662"/>
        <w:gridCol w:w="1331"/>
        <w:gridCol w:w="13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tblHeader/>
          <w:jc w:val="center"/>
        </w:trPr>
        <w:tc>
          <w:tcPr>
            <w:tcW w:w="1331" w:type="dxa"/>
            <w:vAlign w:val="center"/>
          </w:tcPr>
          <w:p>
            <w:pPr>
              <w:pStyle w:val="16"/>
            </w:pPr>
            <w:r>
              <w:t>一级指标</w:t>
            </w:r>
          </w:p>
        </w:tc>
        <w:tc>
          <w:tcPr>
            <w:tcW w:w="1331" w:type="dxa"/>
            <w:vAlign w:val="center"/>
          </w:tcPr>
          <w:p>
            <w:pPr>
              <w:pStyle w:val="16"/>
            </w:pPr>
            <w:r>
              <w:t>二级指标</w:t>
            </w:r>
          </w:p>
        </w:tc>
        <w:tc>
          <w:tcPr>
            <w:tcW w:w="1331" w:type="dxa"/>
            <w:vAlign w:val="center"/>
          </w:tcPr>
          <w:p>
            <w:pPr>
              <w:pStyle w:val="16"/>
            </w:pPr>
            <w:r>
              <w:t>三级指标</w:t>
            </w:r>
          </w:p>
        </w:tc>
        <w:tc>
          <w:tcPr>
            <w:tcW w:w="2662" w:type="dxa"/>
            <w:vAlign w:val="center"/>
          </w:tcPr>
          <w:p>
            <w:pPr>
              <w:pStyle w:val="16"/>
            </w:pPr>
            <w:r>
              <w:t>绩效指标描述</w:t>
            </w:r>
          </w:p>
        </w:tc>
        <w:tc>
          <w:tcPr>
            <w:tcW w:w="1331" w:type="dxa"/>
            <w:vAlign w:val="center"/>
          </w:tcPr>
          <w:p>
            <w:pPr>
              <w:pStyle w:val="16"/>
            </w:pPr>
            <w:r>
              <w:t>指标值</w:t>
            </w:r>
          </w:p>
        </w:tc>
        <w:tc>
          <w:tcPr>
            <w:tcW w:w="1331"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331" w:type="dxa"/>
            <w:vMerge w:val="restart"/>
            <w:vAlign w:val="center"/>
          </w:tcPr>
          <w:p>
            <w:pPr>
              <w:pStyle w:val="19"/>
            </w:pPr>
            <w:r>
              <w:t>产出指标</w:t>
            </w:r>
          </w:p>
        </w:tc>
        <w:tc>
          <w:tcPr>
            <w:tcW w:w="1331" w:type="dxa"/>
            <w:vAlign w:val="center"/>
          </w:tcPr>
          <w:p>
            <w:pPr>
              <w:pStyle w:val="18"/>
            </w:pPr>
            <w:r>
              <w:t>数量指标</w:t>
            </w:r>
          </w:p>
        </w:tc>
        <w:tc>
          <w:tcPr>
            <w:tcW w:w="1331" w:type="dxa"/>
            <w:vAlign w:val="center"/>
          </w:tcPr>
          <w:p>
            <w:pPr>
              <w:pStyle w:val="18"/>
            </w:pPr>
            <w:r>
              <w:t>参加书画展人员及筹备人员</w:t>
            </w:r>
          </w:p>
        </w:tc>
        <w:tc>
          <w:tcPr>
            <w:tcW w:w="2662" w:type="dxa"/>
            <w:vAlign w:val="center"/>
          </w:tcPr>
          <w:p>
            <w:pPr>
              <w:pStyle w:val="18"/>
            </w:pPr>
            <w:r>
              <w:t>书画展筹备工作人员数量及参加人员</w:t>
            </w: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1331" w:type="dxa"/>
            <w:vMerge w:val="continue"/>
            <w:vAlign w:val="center"/>
          </w:tcPr>
          <w:p/>
        </w:tc>
        <w:tc>
          <w:tcPr>
            <w:tcW w:w="1331" w:type="dxa"/>
            <w:vAlign w:val="center"/>
          </w:tcPr>
          <w:p>
            <w:pPr>
              <w:pStyle w:val="18"/>
            </w:pPr>
            <w:r>
              <w:t>质量指标</w:t>
            </w:r>
          </w:p>
        </w:tc>
        <w:tc>
          <w:tcPr>
            <w:tcW w:w="1331" w:type="dxa"/>
            <w:vAlign w:val="center"/>
          </w:tcPr>
          <w:p>
            <w:pPr>
              <w:pStyle w:val="18"/>
            </w:pPr>
            <w:r>
              <w:t>书画展召开标准达标率</w:t>
            </w:r>
          </w:p>
        </w:tc>
        <w:tc>
          <w:tcPr>
            <w:tcW w:w="2662" w:type="dxa"/>
            <w:vAlign w:val="center"/>
          </w:tcPr>
          <w:p>
            <w:pPr>
              <w:pStyle w:val="18"/>
            </w:pPr>
            <w:r>
              <w:t>书画展筹备及召开情况</w:t>
            </w: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2" w:hRule="exact"/>
          <w:jc w:val="center"/>
        </w:trPr>
        <w:tc>
          <w:tcPr>
            <w:tcW w:w="1331" w:type="dxa"/>
            <w:vMerge w:val="continue"/>
            <w:vAlign w:val="center"/>
          </w:tcPr>
          <w:p/>
        </w:tc>
        <w:tc>
          <w:tcPr>
            <w:tcW w:w="1331" w:type="dxa"/>
            <w:vAlign w:val="center"/>
          </w:tcPr>
          <w:p>
            <w:pPr>
              <w:pStyle w:val="18"/>
            </w:pPr>
            <w:r>
              <w:t>时效指标</w:t>
            </w:r>
          </w:p>
        </w:tc>
        <w:tc>
          <w:tcPr>
            <w:tcW w:w="1331" w:type="dxa"/>
            <w:vAlign w:val="center"/>
          </w:tcPr>
          <w:p>
            <w:pPr>
              <w:pStyle w:val="18"/>
            </w:pPr>
            <w:r>
              <w:t>工作完成的时效</w:t>
            </w:r>
          </w:p>
          <w:p>
            <w:pPr>
              <w:pStyle w:val="18"/>
            </w:pPr>
          </w:p>
          <w:p>
            <w:pPr>
              <w:pStyle w:val="18"/>
            </w:pPr>
          </w:p>
          <w:p>
            <w:pPr>
              <w:pStyle w:val="18"/>
            </w:pPr>
          </w:p>
          <w:p>
            <w:pPr>
              <w:pStyle w:val="18"/>
            </w:pPr>
          </w:p>
        </w:tc>
        <w:tc>
          <w:tcPr>
            <w:tcW w:w="2662" w:type="dxa"/>
            <w:vAlign w:val="center"/>
          </w:tcPr>
          <w:p>
            <w:pPr>
              <w:pStyle w:val="18"/>
            </w:pPr>
            <w:r>
              <w:t>工作完成的时效</w:t>
            </w:r>
          </w:p>
          <w:p>
            <w:pPr>
              <w:pStyle w:val="18"/>
            </w:pPr>
          </w:p>
          <w:p>
            <w:pPr>
              <w:pStyle w:val="18"/>
            </w:pPr>
          </w:p>
          <w:p>
            <w:pPr>
              <w:pStyle w:val="18"/>
            </w:pPr>
          </w:p>
          <w:p>
            <w:pPr>
              <w:pStyle w:val="18"/>
            </w:pP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1331" w:type="dxa"/>
            <w:vMerge w:val="continue"/>
            <w:vAlign w:val="center"/>
          </w:tcPr>
          <w:p/>
        </w:tc>
        <w:tc>
          <w:tcPr>
            <w:tcW w:w="1331" w:type="dxa"/>
            <w:vAlign w:val="center"/>
          </w:tcPr>
          <w:p>
            <w:pPr>
              <w:pStyle w:val="18"/>
            </w:pPr>
            <w:r>
              <w:t>成本指标</w:t>
            </w:r>
          </w:p>
        </w:tc>
        <w:tc>
          <w:tcPr>
            <w:tcW w:w="1331" w:type="dxa"/>
            <w:vAlign w:val="center"/>
          </w:tcPr>
          <w:p>
            <w:pPr>
              <w:pStyle w:val="18"/>
            </w:pPr>
            <w:r>
              <w:t>成本控制</w:t>
            </w:r>
          </w:p>
        </w:tc>
        <w:tc>
          <w:tcPr>
            <w:tcW w:w="2662" w:type="dxa"/>
            <w:vAlign w:val="center"/>
          </w:tcPr>
          <w:p>
            <w:pPr>
              <w:pStyle w:val="18"/>
            </w:pPr>
            <w:r>
              <w:t>成本控制</w:t>
            </w: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1331" w:type="dxa"/>
            <w:vMerge w:val="restart"/>
            <w:vAlign w:val="center"/>
          </w:tcPr>
          <w:p>
            <w:pPr>
              <w:pStyle w:val="19"/>
            </w:pPr>
            <w:r>
              <w:t>效益指标</w:t>
            </w:r>
          </w:p>
        </w:tc>
        <w:tc>
          <w:tcPr>
            <w:tcW w:w="1331" w:type="dxa"/>
            <w:vAlign w:val="center"/>
          </w:tcPr>
          <w:p>
            <w:pPr>
              <w:pStyle w:val="18"/>
            </w:pPr>
            <w:r>
              <w:t>经济效益指标</w:t>
            </w:r>
          </w:p>
        </w:tc>
        <w:tc>
          <w:tcPr>
            <w:tcW w:w="1331" w:type="dxa"/>
            <w:vAlign w:val="center"/>
          </w:tcPr>
          <w:p>
            <w:pPr>
              <w:pStyle w:val="18"/>
            </w:pPr>
            <w:r>
              <w:t>经济效益指标</w:t>
            </w:r>
          </w:p>
        </w:tc>
        <w:tc>
          <w:tcPr>
            <w:tcW w:w="2662" w:type="dxa"/>
            <w:vAlign w:val="center"/>
          </w:tcPr>
          <w:p>
            <w:pPr>
              <w:pStyle w:val="18"/>
            </w:pPr>
            <w:r>
              <w:t>经济效益指标</w:t>
            </w: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1331" w:type="dxa"/>
            <w:vMerge w:val="continue"/>
            <w:vAlign w:val="center"/>
          </w:tcPr>
          <w:p/>
        </w:tc>
        <w:tc>
          <w:tcPr>
            <w:tcW w:w="1331" w:type="dxa"/>
            <w:vAlign w:val="center"/>
          </w:tcPr>
          <w:p>
            <w:pPr>
              <w:pStyle w:val="18"/>
            </w:pPr>
            <w:r>
              <w:t>社会效益指标</w:t>
            </w:r>
          </w:p>
        </w:tc>
        <w:tc>
          <w:tcPr>
            <w:tcW w:w="1331" w:type="dxa"/>
            <w:vAlign w:val="center"/>
          </w:tcPr>
          <w:p>
            <w:pPr>
              <w:pStyle w:val="18"/>
            </w:pPr>
            <w:r>
              <w:t>对阜平文史的宣传推广</w:t>
            </w:r>
          </w:p>
        </w:tc>
        <w:tc>
          <w:tcPr>
            <w:tcW w:w="2662" w:type="dxa"/>
            <w:vAlign w:val="center"/>
          </w:tcPr>
          <w:p>
            <w:pPr>
              <w:pStyle w:val="18"/>
            </w:pPr>
            <w:r>
              <w:t>对阜平文史的宣传推广</w:t>
            </w: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331" w:type="dxa"/>
            <w:vMerge w:val="continue"/>
            <w:vAlign w:val="center"/>
          </w:tcPr>
          <w:p/>
        </w:tc>
        <w:tc>
          <w:tcPr>
            <w:tcW w:w="1331" w:type="dxa"/>
            <w:vAlign w:val="center"/>
          </w:tcPr>
          <w:p>
            <w:pPr>
              <w:pStyle w:val="18"/>
            </w:pPr>
            <w:r>
              <w:t>生态效益指标</w:t>
            </w:r>
          </w:p>
        </w:tc>
        <w:tc>
          <w:tcPr>
            <w:tcW w:w="1331" w:type="dxa"/>
            <w:vAlign w:val="center"/>
          </w:tcPr>
          <w:p>
            <w:pPr>
              <w:pStyle w:val="18"/>
            </w:pPr>
            <w:r>
              <w:t>促进生态文明建设，推动绿色发展</w:t>
            </w:r>
          </w:p>
        </w:tc>
        <w:tc>
          <w:tcPr>
            <w:tcW w:w="2662" w:type="dxa"/>
            <w:vAlign w:val="center"/>
          </w:tcPr>
          <w:p>
            <w:pPr>
              <w:pStyle w:val="18"/>
            </w:pPr>
            <w:r>
              <w:t>促进生态文明建设，推动绿色发展和绿色生活方式</w:t>
            </w: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1331" w:type="dxa"/>
            <w:vMerge w:val="continue"/>
            <w:vAlign w:val="center"/>
          </w:tcPr>
          <w:p/>
        </w:tc>
        <w:tc>
          <w:tcPr>
            <w:tcW w:w="1331" w:type="dxa"/>
            <w:vAlign w:val="center"/>
          </w:tcPr>
          <w:p>
            <w:pPr>
              <w:pStyle w:val="18"/>
            </w:pPr>
            <w:r>
              <w:t>可持续影响指标</w:t>
            </w:r>
          </w:p>
        </w:tc>
        <w:tc>
          <w:tcPr>
            <w:tcW w:w="1331" w:type="dxa"/>
            <w:vAlign w:val="center"/>
          </w:tcPr>
          <w:p>
            <w:pPr>
              <w:pStyle w:val="18"/>
            </w:pPr>
            <w:r>
              <w:t>维护社会稳定</w:t>
            </w:r>
          </w:p>
        </w:tc>
        <w:tc>
          <w:tcPr>
            <w:tcW w:w="2662" w:type="dxa"/>
            <w:vAlign w:val="center"/>
          </w:tcPr>
          <w:p>
            <w:pPr>
              <w:pStyle w:val="18"/>
            </w:pPr>
            <w:r>
              <w:t>维护社会稳定</w:t>
            </w:r>
          </w:p>
        </w:tc>
        <w:tc>
          <w:tcPr>
            <w:tcW w:w="1331" w:type="dxa"/>
            <w:vAlign w:val="center"/>
          </w:tcPr>
          <w:p>
            <w:pPr>
              <w:pStyle w:val="18"/>
            </w:pPr>
            <w:r>
              <w:t>≥95百分比</w:t>
            </w:r>
          </w:p>
        </w:tc>
        <w:tc>
          <w:tcPr>
            <w:tcW w:w="1331" w:type="dxa"/>
            <w:vAlign w:val="center"/>
          </w:tcPr>
          <w:p>
            <w:pPr>
              <w:pStyle w:val="18"/>
            </w:pPr>
            <w:r>
              <w:t>工作安排方案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1" w:hRule="atLeast"/>
          <w:jc w:val="center"/>
        </w:trPr>
        <w:tc>
          <w:tcPr>
            <w:tcW w:w="1331" w:type="dxa"/>
            <w:vAlign w:val="center"/>
          </w:tcPr>
          <w:p>
            <w:pPr>
              <w:pStyle w:val="19"/>
            </w:pPr>
            <w:r>
              <w:t>满意度指标</w:t>
            </w:r>
          </w:p>
        </w:tc>
        <w:tc>
          <w:tcPr>
            <w:tcW w:w="1331" w:type="dxa"/>
            <w:vAlign w:val="center"/>
          </w:tcPr>
          <w:p>
            <w:pPr>
              <w:pStyle w:val="18"/>
            </w:pPr>
            <w:r>
              <w:t>服务对象满意度指标</w:t>
            </w:r>
          </w:p>
        </w:tc>
        <w:tc>
          <w:tcPr>
            <w:tcW w:w="1331" w:type="dxa"/>
            <w:vAlign w:val="center"/>
          </w:tcPr>
          <w:p>
            <w:pPr>
              <w:pStyle w:val="18"/>
            </w:pPr>
            <w:r>
              <w:t>满意率</w:t>
            </w:r>
          </w:p>
        </w:tc>
        <w:tc>
          <w:tcPr>
            <w:tcW w:w="2662" w:type="dxa"/>
            <w:vAlign w:val="center"/>
          </w:tcPr>
          <w:p>
            <w:pPr>
              <w:pStyle w:val="18"/>
            </w:pPr>
            <w:r>
              <w:t>满意率</w:t>
            </w:r>
          </w:p>
        </w:tc>
        <w:tc>
          <w:tcPr>
            <w:tcW w:w="1331" w:type="dxa"/>
            <w:vAlign w:val="center"/>
          </w:tcPr>
          <w:p>
            <w:pPr>
              <w:pStyle w:val="18"/>
            </w:pPr>
            <w:r>
              <w:t>≥95百分比</w:t>
            </w:r>
          </w:p>
        </w:tc>
        <w:tc>
          <w:tcPr>
            <w:tcW w:w="1331" w:type="dxa"/>
            <w:vAlign w:val="center"/>
          </w:tcPr>
          <w:p>
            <w:pPr>
              <w:pStyle w:val="18"/>
            </w:pPr>
            <w:r>
              <w:t>工作安排方案</w:t>
            </w:r>
          </w:p>
        </w:tc>
      </w:tr>
    </w:tbl>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sectPr>
          <w:pgSz w:w="11900" w:h="16840"/>
          <w:pgMar w:top="1984" w:right="1304" w:bottom="1134" w:left="1304" w:header="720" w:footer="720" w:gutter="0"/>
          <w:cols w:space="0" w:num="1"/>
        </w:sectPr>
      </w:pPr>
    </w:p>
    <w:p>
      <w:pPr>
        <w:pStyle w:val="2"/>
        <w:ind w:firstLine="560"/>
      </w:pPr>
    </w:p>
    <w:p>
      <w:pPr>
        <w:spacing w:before="10" w:after="10"/>
        <w:ind w:firstLine="640"/>
        <w:outlineLvl w:val="2"/>
      </w:pPr>
      <w:r>
        <w:rPr>
          <w:rFonts w:ascii="黑体" w:hAnsi="黑体" w:eastAsia="黑体" w:cs="黑体"/>
          <w:color w:val="000000"/>
          <w:sz w:val="32"/>
        </w:rPr>
        <w:t>六、政府采购预算情况</w:t>
      </w:r>
      <w:bookmarkEnd w:id="15"/>
    </w:p>
    <w:p>
      <w:pPr>
        <w:ind w:firstLine="640"/>
        <w:rPr>
          <w:rFonts w:eastAsia="方正仿宋_GBK"/>
          <w:color w:val="000000"/>
          <w:sz w:val="28"/>
          <w:lang w:eastAsia="zh-CN"/>
        </w:rPr>
      </w:pPr>
      <w:bookmarkStart w:id="22" w:name="_Toc_3_3_0000000016"/>
      <w:r>
        <w:rPr>
          <w:rFonts w:hint="eastAsia" w:eastAsia="方正仿宋_GBK"/>
          <w:color w:val="000000"/>
          <w:sz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both"/>
        <w:outlineLvl w:val="1"/>
        <w:rPr>
          <w:rFonts w:ascii="方正小标宋_GBK" w:eastAsia="方正小标宋_GBK"/>
          <w:sz w:val="32"/>
        </w:rPr>
      </w:pPr>
      <w:bookmarkStart w:id="23" w:name="_Toc65076694"/>
    </w:p>
    <w:p>
      <w:pPr>
        <w:ind w:firstLine="5760" w:firstLineChars="1800"/>
        <w:jc w:val="both"/>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bookmarkEnd w:id="23"/>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131 阜平县政协</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pPr>
      <w:r>
        <w:rPr>
          <w:rFonts w:ascii="黑体" w:hAnsi="黑体" w:eastAsia="黑体" w:cs="黑体"/>
          <w:color w:val="000000"/>
          <w:sz w:val="32"/>
        </w:rPr>
        <w:t>七、国有资产信息</w:t>
      </w:r>
      <w:bookmarkEnd w:id="22"/>
    </w:p>
    <w:p>
      <w:pPr>
        <w:spacing w:line="520" w:lineRule="exact"/>
        <w:ind w:firstLine="560" w:firstLineChars="200"/>
        <w:rPr>
          <w:rFonts w:eastAsia="方正仿宋_GBK"/>
          <w:color w:val="000000"/>
          <w:sz w:val="28"/>
        </w:rPr>
      </w:pPr>
      <w:r>
        <w:rPr>
          <w:rFonts w:hint="eastAsia" w:eastAsia="方正仿宋_GBK"/>
          <w:color w:val="000000"/>
          <w:sz w:val="28"/>
          <w:lang w:eastAsia="zh-CN"/>
        </w:rPr>
        <w:t>阜平县政协2022</w:t>
      </w:r>
      <w:r>
        <w:rPr>
          <w:rFonts w:eastAsia="方正仿宋_GBK"/>
          <w:color w:val="000000"/>
          <w:sz w:val="28"/>
        </w:rPr>
        <w:t>年末固定资产金额为</w:t>
      </w:r>
      <w:r>
        <w:rPr>
          <w:rFonts w:hint="eastAsia" w:eastAsia="方正仿宋_GBK"/>
          <w:color w:val="000000"/>
          <w:sz w:val="28"/>
          <w:lang w:eastAsia="zh-CN"/>
        </w:rPr>
        <w:t>53.567</w:t>
      </w:r>
      <w:r>
        <w:rPr>
          <w:rFonts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我</w:t>
      </w:r>
      <w:r>
        <w:rPr>
          <w:rFonts w:hint="eastAsia" w:eastAsia="方正仿宋_GBK"/>
          <w:color w:val="000000"/>
          <w:sz w:val="28"/>
          <w:lang w:eastAsia="zh-CN"/>
        </w:rPr>
        <w:t>单位</w:t>
      </w: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年度</w:t>
      </w:r>
      <w:r>
        <w:rPr>
          <w:rFonts w:hint="eastAsia" w:eastAsia="方正仿宋_GBK"/>
          <w:color w:val="000000"/>
          <w:sz w:val="28"/>
          <w:lang w:eastAsia="zh-CN"/>
        </w:rPr>
        <w:t>无</w:t>
      </w:r>
      <w:r>
        <w:rPr>
          <w:rFonts w:hint="eastAsia" w:eastAsia="方正仿宋_GBK"/>
          <w:color w:val="000000"/>
          <w:sz w:val="28"/>
        </w:rPr>
        <w:t>拟购置</w:t>
      </w:r>
      <w:r>
        <w:rPr>
          <w:rFonts w:hint="eastAsia" w:eastAsia="方正仿宋_GBK"/>
          <w:color w:val="000000"/>
          <w:sz w:val="28"/>
          <w:lang w:eastAsia="zh-CN"/>
        </w:rPr>
        <w:t>固定资产计划</w:t>
      </w:r>
      <w:r>
        <w:rPr>
          <w:rFonts w:hint="eastAsia" w:eastAsia="方正仿宋_GBK"/>
          <w:color w:val="000000"/>
          <w:sz w:val="28"/>
        </w:rPr>
        <w:t>。</w:t>
      </w:r>
    </w:p>
    <w:p>
      <w:pPr>
        <w:spacing w:line="520" w:lineRule="exact"/>
        <w:ind w:firstLine="560" w:firstLineChars="200"/>
        <w:rPr>
          <w:rFonts w:eastAsia="方正仿宋_GBK"/>
          <w:color w:val="000000"/>
          <w:sz w:val="28"/>
        </w:rPr>
      </w:pPr>
      <w:r>
        <w:rPr>
          <w:rFonts w:eastAsia="方正仿宋_GBK"/>
          <w:color w:val="000000"/>
          <w:sz w:val="28"/>
        </w:rPr>
        <w:t>（详见下表）。</w:t>
      </w: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0"/>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131阜平县政协</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w:t>
            </w:r>
            <w:r>
              <w:rPr>
                <w:rFonts w:hint="eastAsia"/>
                <w:lang w:eastAsia="zh-CN"/>
              </w:rPr>
              <w:t>2022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rPr>
                <w:lang w:eastAsia="zh-CN"/>
              </w:rPr>
            </w:pPr>
            <w:r>
              <w:rPr>
                <w:rFonts w:hint="eastAsia"/>
                <w:lang w:eastAsia="zh-CN"/>
              </w:rPr>
              <w:t>53.567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pPr>
              <w:pStyle w:val="18"/>
            </w:pPr>
            <w:r>
              <w:t>1、房屋（平方米）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2</w:t>
            </w:r>
          </w:p>
        </w:tc>
        <w:tc>
          <w:tcPr>
            <w:tcW w:w="2835" w:type="dxa"/>
            <w:vAlign w:val="center"/>
          </w:tcPr>
          <w:p>
            <w:pPr>
              <w:pStyle w:val="17"/>
              <w:rPr>
                <w:lang w:eastAsia="zh-CN"/>
              </w:rPr>
            </w:pPr>
            <w:r>
              <w:rPr>
                <w:rFonts w:hint="eastAsia"/>
                <w:lang w:eastAsia="zh-CN"/>
              </w:rPr>
              <w:t>22.32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p>
        </w:tc>
        <w:tc>
          <w:tcPr>
            <w:tcW w:w="2835" w:type="dxa"/>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rPr>
                <w:lang w:eastAsia="zh-CN"/>
              </w:rPr>
            </w:pPr>
            <w:r>
              <w:rPr>
                <w:rFonts w:hint="eastAsia"/>
                <w:lang w:eastAsia="zh-CN"/>
              </w:rPr>
              <w:t>223</w:t>
            </w:r>
          </w:p>
        </w:tc>
        <w:tc>
          <w:tcPr>
            <w:tcW w:w="2835" w:type="dxa"/>
            <w:vAlign w:val="center"/>
          </w:tcPr>
          <w:p>
            <w:pPr>
              <w:pStyle w:val="17"/>
              <w:rPr>
                <w:lang w:eastAsia="zh-CN"/>
              </w:rPr>
            </w:pPr>
            <w:r>
              <w:rPr>
                <w:rFonts w:hint="eastAsia"/>
                <w:lang w:eastAsia="zh-CN"/>
              </w:rPr>
              <w:t>31.247</w:t>
            </w:r>
          </w:p>
        </w:tc>
      </w:tr>
    </w:tbl>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rPr>
      </w:pPr>
      <w:bookmarkStart w:id="24" w:name="_Toc_3_3_0000000017"/>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bookmarkEnd w:id="24"/>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5" w:name="_Toc_3_3_0000000018"/>
      <w:r>
        <w:rPr>
          <w:rFonts w:ascii="黑体" w:hAnsi="黑体" w:eastAsia="黑体" w:cs="黑体"/>
          <w:color w:val="000000"/>
          <w:sz w:val="32"/>
        </w:rPr>
        <w:t>九、其他需要说明的事项</w:t>
      </w:r>
      <w:bookmarkEnd w:id="25"/>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sectPr>
      <w:footerReference r:id="rId5" w:type="default"/>
      <w:pgSz w:w="16840" w:h="11900" w:orient="landscape"/>
      <w:pgMar w:top="1361" w:right="1020" w:bottom="1361" w:left="1020"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roman"/>
    <w:pitch w:val="default"/>
    <w:sig w:usb0="00000000" w:usb1="00000000" w:usb2="00082016" w:usb3="00000000" w:csb0="00040001"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jc w:val="right"/>
                          </w:pPr>
                          <w:r>
                            <w:fldChar w:fldCharType="begin"/>
                          </w:r>
                          <w:r>
                            <w:instrText xml:space="preserve">PAGE "page number"</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2MGI1MzYxYWM5N2M3ZmE2MzMwYWJiYTcxODY5ZGMifQ=="/>
    <w:docVar w:name="KSO_WPS_MARK_KEY" w:val="b2310c8f-b195-4f07-87dd-7d14fd92a4f9"/>
  </w:docVars>
  <w:rsids>
    <w:rsidRoot w:val="00BB3BBC"/>
    <w:rsid w:val="000133C3"/>
    <w:rsid w:val="00077BF0"/>
    <w:rsid w:val="00093291"/>
    <w:rsid w:val="000A1D33"/>
    <w:rsid w:val="000D2356"/>
    <w:rsid w:val="00123130"/>
    <w:rsid w:val="00123CEC"/>
    <w:rsid w:val="001263C6"/>
    <w:rsid w:val="0013151E"/>
    <w:rsid w:val="0015442F"/>
    <w:rsid w:val="0018517A"/>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36E95"/>
    <w:rsid w:val="003478F2"/>
    <w:rsid w:val="00356479"/>
    <w:rsid w:val="00381309"/>
    <w:rsid w:val="00382ED3"/>
    <w:rsid w:val="00390258"/>
    <w:rsid w:val="00396333"/>
    <w:rsid w:val="003D5097"/>
    <w:rsid w:val="003E3DBD"/>
    <w:rsid w:val="003F2778"/>
    <w:rsid w:val="00400676"/>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64034"/>
    <w:rsid w:val="007D0569"/>
    <w:rsid w:val="00803004"/>
    <w:rsid w:val="00835F95"/>
    <w:rsid w:val="008C78F7"/>
    <w:rsid w:val="00900374"/>
    <w:rsid w:val="00954A90"/>
    <w:rsid w:val="009B243C"/>
    <w:rsid w:val="009C061B"/>
    <w:rsid w:val="009E1B04"/>
    <w:rsid w:val="009F4A28"/>
    <w:rsid w:val="00A0025F"/>
    <w:rsid w:val="00A16289"/>
    <w:rsid w:val="00A24658"/>
    <w:rsid w:val="00A359A6"/>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2A89"/>
    <w:rsid w:val="00FF64C5"/>
    <w:rsid w:val="0143581A"/>
    <w:rsid w:val="04074E63"/>
    <w:rsid w:val="05663693"/>
    <w:rsid w:val="064D4C07"/>
    <w:rsid w:val="0666421B"/>
    <w:rsid w:val="08E30E15"/>
    <w:rsid w:val="0998621A"/>
    <w:rsid w:val="0B192D02"/>
    <w:rsid w:val="0C6D74D4"/>
    <w:rsid w:val="0CA53923"/>
    <w:rsid w:val="0CB12FC3"/>
    <w:rsid w:val="0E1D49B8"/>
    <w:rsid w:val="0EE62E16"/>
    <w:rsid w:val="10275670"/>
    <w:rsid w:val="10C0502C"/>
    <w:rsid w:val="10CB2081"/>
    <w:rsid w:val="111D0BAA"/>
    <w:rsid w:val="1168113A"/>
    <w:rsid w:val="12EF721B"/>
    <w:rsid w:val="13BF6544"/>
    <w:rsid w:val="143B4771"/>
    <w:rsid w:val="15123ACF"/>
    <w:rsid w:val="157B6557"/>
    <w:rsid w:val="16EF58B6"/>
    <w:rsid w:val="17D55FD6"/>
    <w:rsid w:val="1A775F86"/>
    <w:rsid w:val="1BD122B6"/>
    <w:rsid w:val="1C2D3FC8"/>
    <w:rsid w:val="1DDB39C6"/>
    <w:rsid w:val="1E394709"/>
    <w:rsid w:val="1EA67481"/>
    <w:rsid w:val="1EB07E6F"/>
    <w:rsid w:val="1EB76C13"/>
    <w:rsid w:val="1F636F87"/>
    <w:rsid w:val="1F8135B5"/>
    <w:rsid w:val="20872014"/>
    <w:rsid w:val="21603D75"/>
    <w:rsid w:val="21DF0D52"/>
    <w:rsid w:val="23203FAA"/>
    <w:rsid w:val="235F42B4"/>
    <w:rsid w:val="24E34B6E"/>
    <w:rsid w:val="269A050A"/>
    <w:rsid w:val="26FD26EE"/>
    <w:rsid w:val="2725653D"/>
    <w:rsid w:val="27D02541"/>
    <w:rsid w:val="28A37CDE"/>
    <w:rsid w:val="2AC42137"/>
    <w:rsid w:val="2B893CA5"/>
    <w:rsid w:val="2C5748E7"/>
    <w:rsid w:val="2CB8093D"/>
    <w:rsid w:val="2CC42AD6"/>
    <w:rsid w:val="2D072CD6"/>
    <w:rsid w:val="2D124BD5"/>
    <w:rsid w:val="2D3761B2"/>
    <w:rsid w:val="2DBD34EB"/>
    <w:rsid w:val="30174494"/>
    <w:rsid w:val="3041594A"/>
    <w:rsid w:val="31607E27"/>
    <w:rsid w:val="31F72733"/>
    <w:rsid w:val="32083625"/>
    <w:rsid w:val="334B677D"/>
    <w:rsid w:val="34F2458B"/>
    <w:rsid w:val="36177814"/>
    <w:rsid w:val="36BE19F6"/>
    <w:rsid w:val="37910776"/>
    <w:rsid w:val="393758E8"/>
    <w:rsid w:val="39735390"/>
    <w:rsid w:val="3AFB022E"/>
    <w:rsid w:val="3C396621"/>
    <w:rsid w:val="3CA85726"/>
    <w:rsid w:val="3CEC0F28"/>
    <w:rsid w:val="40226629"/>
    <w:rsid w:val="405E28E9"/>
    <w:rsid w:val="408D0CF9"/>
    <w:rsid w:val="41D12156"/>
    <w:rsid w:val="423144BA"/>
    <w:rsid w:val="44980163"/>
    <w:rsid w:val="46C73D74"/>
    <w:rsid w:val="478F1F66"/>
    <w:rsid w:val="47ED75E7"/>
    <w:rsid w:val="489223AB"/>
    <w:rsid w:val="49157A48"/>
    <w:rsid w:val="497112A4"/>
    <w:rsid w:val="49757894"/>
    <w:rsid w:val="4A4E1158"/>
    <w:rsid w:val="4C2E0B98"/>
    <w:rsid w:val="4E5D709A"/>
    <w:rsid w:val="4ECE3145"/>
    <w:rsid w:val="4F9E1496"/>
    <w:rsid w:val="51E4482C"/>
    <w:rsid w:val="525564B4"/>
    <w:rsid w:val="52E6186D"/>
    <w:rsid w:val="52EF20DB"/>
    <w:rsid w:val="536F455A"/>
    <w:rsid w:val="54C45863"/>
    <w:rsid w:val="54F51908"/>
    <w:rsid w:val="579C459B"/>
    <w:rsid w:val="58040E81"/>
    <w:rsid w:val="5826241E"/>
    <w:rsid w:val="58CA672E"/>
    <w:rsid w:val="59152825"/>
    <w:rsid w:val="59960517"/>
    <w:rsid w:val="5A201268"/>
    <w:rsid w:val="5AD91BC0"/>
    <w:rsid w:val="5BBF0A42"/>
    <w:rsid w:val="5BEC1FF2"/>
    <w:rsid w:val="5C502C99"/>
    <w:rsid w:val="5D340B9F"/>
    <w:rsid w:val="5F131893"/>
    <w:rsid w:val="5FB81E3D"/>
    <w:rsid w:val="60666164"/>
    <w:rsid w:val="61520239"/>
    <w:rsid w:val="61CC49A6"/>
    <w:rsid w:val="62AF3B47"/>
    <w:rsid w:val="62F769C0"/>
    <w:rsid w:val="67834625"/>
    <w:rsid w:val="678952EB"/>
    <w:rsid w:val="67A7716F"/>
    <w:rsid w:val="68825F25"/>
    <w:rsid w:val="68C04135"/>
    <w:rsid w:val="694030A0"/>
    <w:rsid w:val="6982704B"/>
    <w:rsid w:val="698D6D7B"/>
    <w:rsid w:val="6AA169DC"/>
    <w:rsid w:val="6F292759"/>
    <w:rsid w:val="71202412"/>
    <w:rsid w:val="73D918AA"/>
    <w:rsid w:val="744F54E8"/>
    <w:rsid w:val="753D7B75"/>
    <w:rsid w:val="76543D7C"/>
    <w:rsid w:val="769D049F"/>
    <w:rsid w:val="78740582"/>
    <w:rsid w:val="79636EBD"/>
    <w:rsid w:val="79AE43CB"/>
    <w:rsid w:val="7A177DF1"/>
    <w:rsid w:val="7A201F78"/>
    <w:rsid w:val="7ABF2F8B"/>
    <w:rsid w:val="7C5609D9"/>
    <w:rsid w:val="7DC409A9"/>
    <w:rsid w:val="7DD140E3"/>
    <w:rsid w:val="7E783AE8"/>
    <w:rsid w:val="7EAE68BB"/>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69C862-E14C-4281-A6B8-8174B282B9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13881</Words>
  <Characters>15772</Characters>
  <Lines>131</Lines>
  <Paragraphs>36</Paragraphs>
  <TotalTime>15</TotalTime>
  <ScaleCrop>false</ScaleCrop>
  <LinksUpToDate>false</LinksUpToDate>
  <CharactersWithSpaces>15944</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2022-07-20T08:27:00Z</cp:lastPrinted>
  <dcterms:modified xsi:type="dcterms:W3CDTF">2025-04-08T08:56:31Z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E4563D2380D34983A9E44E3AAA7EE540_13</vt:lpwstr>
  </property>
</Properties>
</file>