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r>
        <w:pict>
          <v:group id="组合 6" o:spid="_x0000_s1026" o:spt="203" style="position:absolute;left:0pt;margin-left:-78.05pt;margin-top:-232.4pt;height:959.25pt;width:595.2pt;z-index:251663360;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3"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hint="default" w:eastAsiaTheme="minorEastAsia"/>
                        <w:sz w:val="36"/>
                        <w:szCs w:val="36"/>
                        <w:lang w:val="en-US" w:eastAsia="zh-CN"/>
                      </w:rPr>
                    </w:pPr>
                    <w:r>
                      <w:rPr>
                        <w:rFonts w:hint="eastAsia" w:ascii="仿宋_GB2312" w:hAnsi="仿宋" w:eastAsia="仿宋_GB2312"/>
                        <w:sz w:val="36"/>
                        <w:szCs w:val="36"/>
                        <w:lang w:val="en-US" w:eastAsia="zh-CN"/>
                      </w:rPr>
                      <w:t>2021年10月</w:t>
                    </w:r>
                  </w:p>
                </w:txbxContent>
              </v:textbox>
            </v:shape>
          </v:group>
        </w:pict>
      </w:r>
      <w:r>
        <w:br w:type="page"/>
      </w: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4"/>
          <w:szCs w:val="44"/>
          <w:lang w:val="en-US" w:eastAsia="zh-CN"/>
        </w:rPr>
      </w:pPr>
      <w:r>
        <w:rPr>
          <w:rFonts w:hint="eastAsia" w:ascii="楷体_GB2312" w:hAnsi="楷体_GB2312" w:eastAsia="楷体_GB2312" w:cs="楷体_GB2312"/>
          <w:color w:val="000000" w:themeColor="text1"/>
          <w:kern w:val="0"/>
          <w:sz w:val="44"/>
          <w:szCs w:val="44"/>
          <w:lang w:val="en-US" w:eastAsia="zh-CN"/>
        </w:rPr>
        <w:t>中国共产党阜平县委员会组织部</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val="en-US"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jc w:val="center"/>
        <w:rPr>
          <w:rFonts w:hint="default" w:ascii="黑体" w:hAnsi="黑体" w:eastAsia="黑体" w:cs="黑体"/>
          <w:sz w:val="72"/>
          <w:szCs w:val="96"/>
          <w:lang w:val="en-US" w:eastAsia="zh-CN"/>
        </w:rPr>
      </w:pPr>
      <w:r>
        <w:rPr>
          <w:rFonts w:hint="eastAsia" w:ascii="黑体" w:hAnsi="黑体" w:eastAsia="黑体" w:cs="黑体"/>
          <w:sz w:val="72"/>
          <w:szCs w:val="96"/>
          <w:lang w:val="en-US" w:eastAsia="zh-CN"/>
        </w:rPr>
        <w:t>中国共产党阜平县委员会组织部</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val="en-US" w:eastAsia="zh-CN"/>
        </w:rPr>
        <w:t>十</w:t>
      </w:r>
      <w:r>
        <w:rPr>
          <w:rFonts w:hint="eastAsia" w:ascii="楷体_GB2312" w:hAnsi="楷体_GB2312" w:eastAsia="楷体_GB2312" w:cs="楷体_GB2312"/>
          <w:color w:val="000000" w:themeColor="text1"/>
          <w:kern w:val="0"/>
          <w:sz w:val="40"/>
          <w:szCs w:val="40"/>
        </w:rPr>
        <w:t>月</w:t>
      </w:r>
    </w:p>
    <w:p>
      <w:pPr>
        <w:rPr>
          <w:rFonts w:ascii="黑体" w:hAnsi="Times New Roman" w:eastAsia="黑体" w:cs="Times New Roman"/>
          <w:sz w:val="48"/>
          <w:szCs w:val="48"/>
        </w:rPr>
      </w:pPr>
      <w:r>
        <w:rPr>
          <w:rFonts w:hint="eastAsia" w:ascii="黑体" w:hAnsi="Times New Roman" w:eastAsia="黑体" w:cs="Times New Roman"/>
          <w:sz w:val="48"/>
          <w:szCs w:val="48"/>
        </w:rPr>
        <w:br w:type="page"/>
      </w: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根据中共阜平县委办公室《关于印发&lt;阜平县委组织部职能配置、内设机构和人员编制规定&gt;的通知》的要求，中共阜平县委组织部</w:t>
      </w:r>
      <w:r>
        <w:rPr>
          <w:rFonts w:hint="eastAsia" w:ascii="仿宋_GB2312" w:hAnsi="Calibri" w:eastAsia="仿宋_GB2312" w:cs="ArialUnicodeMS"/>
          <w:kern w:val="0"/>
          <w:sz w:val="32"/>
          <w:szCs w:val="32"/>
          <w:lang w:val="en-US" w:eastAsia="zh-CN"/>
        </w:rPr>
        <w:t>主要职责是</w:t>
      </w:r>
      <w:r>
        <w:rPr>
          <w:rFonts w:hint="eastAsia" w:ascii="仿宋_GB2312" w:hAnsi="Calibri" w:eastAsia="仿宋_GB2312" w:cs="ArialUnicodeMS"/>
          <w:kern w:val="0"/>
          <w:sz w:val="32"/>
          <w:szCs w:val="32"/>
          <w:lang w:eastAsia="zh-CN"/>
        </w:rPr>
        <w:t>：</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一）承担县委党的建设（基层组织建设）工作领导小组办公室工作职责。围绕党的重大理论和实践问题调查研究，提出加强全县党的建设的建议；负责党的建设制度改革的宏观指导，综合研究党的组织工作、干部工作、人才工作重要方针政策，制定或参与制定全县性重要政策和制度。</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二）统筹全县党员队伍建设、组织员队伍建设的宏观指导以及全县党员发展、教育、管理工作。指导全县党的组织制度、党内生活制度建设；协调指导全县党代表大会、党代表会议、人民代表大会的选举工作；负责全县党代表大会代表的日常管理和服务工作；负责全县党组织建设特别是党的基层组织建设的调查研究、政策制定和宏观指导；负责全县抓党建促脱贫攻坚工作的谋划指导和组织推动；承担县委非公有制经济组织和社会组织工作委员会职责。</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负责各级领导班子和干部队伍建设的宏观管理。研究提出领导班子和领导干部队伍建设规划，指导领导班子思想作风建设；负责事业单位领导人员宏观管理；负责提出乡镇和县直各部门以及其他列入县委管理的领导班子调整、配备的建议；负责县委管理干部的考察，办理职务任免、工资、待遇、退休审批手续；综合管理优秀年轻干部队伍，统筹选育管用工作，指导协调妇女干部、少数民族干部和党外干部培养选拔工作；负责对口支援西藏、新疆干部人才的选派服务工作；负责有关职级军队转业干部安置工作；负责全县选调生、大学生村官的选拔、管理、培养和宏观指导。</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四）负责全县干部教育培训的宏观管理、统筹协调；研究拟订全县干部教育工作规划，组织实施县委管理干部和一定层次其他干部的培训；承担县委党员干部教育工作领导小组办公室职责。负责县组织系统干部监督工作的综合协调和宏观指导；处置反映违反干部选拔任用工作政策法规选人用人问题及领导干部相关问题的举报。负责全县干部考核工作的宏观指导和督导检查，组织实施对县委管理领导班子和领导干部的考核工作；指导全县机关目标绩效管理，组织实施县级机关职能绩效目标考核；承担县委干部考核领导小组办公室职责。</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（五）负责公务员、参照公务员法管理事业单位工作人员录用调配、考核奖惩、培训和工资福利等工作；指导全县公务员、参照公务员法管理事业单位工作人员队伍建设。</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六）负责全县人才工作和人才队伍建设的牵头抓总、统筹协调、推进落实。负责牵头人才政策和规划的制定、实施，人才发展体制机制的改革推进；负责县高端人才、县管优秀专家等高层次人才的联系服务工作；负责县管优秀专家的选拔管理；承担县委人才工作领导小组办公室职责。</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（七）负责全县组织工作的检查督促，及时向县委反映重要情况，提出建议。</w:t>
      </w:r>
    </w:p>
    <w:p>
      <w:pPr>
        <w:spacing w:line="560" w:lineRule="exact"/>
        <w:ind w:firstLine="480" w:firstLineChars="150"/>
        <w:rPr>
          <w:rFonts w:ascii="仿宋_GB2312" w:hAnsi="仿宋_GB2312" w:eastAsia="仿宋_GB2312" w:cs="仿宋_GB2312"/>
          <w:sz w:val="32"/>
          <w:szCs w:val="32"/>
        </w:rPr>
      </w:pPr>
      <w:r>
        <w:rPr>
          <w:rFonts w:hint="eastAsia" w:ascii="仿宋_GB2312" w:hAnsi="仿宋_GB2312" w:eastAsia="仿宋_GB2312" w:cs="仿宋_GB2312"/>
          <w:sz w:val="32"/>
          <w:szCs w:val="32"/>
        </w:rPr>
        <w:t>（八）负责落实各级各部门离退休干部工作；组织和协调有关部门做好离退休干部工作。负责落实各部门离退休干部的政治和生活待遇，做好走访慰问工作。抓好离休干部“两费”（离休费、医药费）的落实；调查研究离退休干部政治和生活待遇中存在的问题，协调有关部门提出解决办法。落实各级老干部活动中心、老年大学（学校）和老干部门诊部等学习活动阵地建设与管理。指导各级各单位组织离退休干部利用自身优势，在政治、经济、文化和青少年教育等各领域发挥作用，增添正能量。负责易地安置离休干部服务管理工作；代县政府办理补发离休荣誉证。会同有关部门拟订治丧办法。指导逝世老干部的善后工作，协助承办县委交办的丧葬事宜。</w:t>
      </w:r>
    </w:p>
    <w:p>
      <w:pPr>
        <w:spacing w:line="560" w:lineRule="exact"/>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（九）归口管理县委机构编制委员会办公室。</w:t>
      </w:r>
    </w:p>
    <w:p>
      <w:pPr>
        <w:keepNext/>
        <w:keepLines/>
        <w:spacing w:line="580" w:lineRule="exact"/>
        <w:ind w:firstLine="640" w:firstLineChars="200"/>
        <w:jc w:val="left"/>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（十）完成县委交办的其他任务。</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 Black"/>
          <w:kern w:val="0"/>
          <w:sz w:val="32"/>
          <w:szCs w:val="32"/>
        </w:rPr>
      </w:pPr>
      <w:r>
        <w:rPr>
          <w:rFonts w:hint="eastAsia" w:ascii="仿宋_GB2312" w:hAnsi="Calibri" w:eastAsia="仿宋_GB2312" w:cs="Arial Black"/>
          <w:kern w:val="0"/>
          <w:sz w:val="32"/>
          <w:szCs w:val="32"/>
        </w:rPr>
        <w:t>从决算编报单位构成看，纳入20</w:t>
      </w:r>
      <w:r>
        <w:rPr>
          <w:rFonts w:ascii="仿宋_GB2312" w:hAnsi="Calibri" w:eastAsia="仿宋_GB2312" w:cs="Arial Black"/>
          <w:kern w:val="0"/>
          <w:sz w:val="32"/>
          <w:szCs w:val="32"/>
        </w:rPr>
        <w:t>20</w:t>
      </w:r>
      <w:r>
        <w:rPr>
          <w:rFonts w:hint="eastAsia" w:ascii="仿宋_GB2312" w:hAnsi="Calibri" w:eastAsia="仿宋_GB2312" w:cs="Arial Black"/>
          <w:kern w:val="0"/>
          <w:sz w:val="32"/>
          <w:szCs w:val="32"/>
        </w:rPr>
        <w:t>年度本部门决算汇编范围的独立核算单位（以下简称“单位”）共</w:t>
      </w:r>
      <w:r>
        <w:rPr>
          <w:rFonts w:hint="eastAsia" w:ascii="仿宋_GB2312" w:hAnsi="Calibri" w:eastAsia="仿宋_GB2312" w:cs="Arial Black"/>
          <w:kern w:val="0"/>
          <w:sz w:val="32"/>
          <w:szCs w:val="32"/>
          <w:lang w:val="en-US" w:eastAsia="zh-CN"/>
        </w:rPr>
        <w:t>1</w:t>
      </w:r>
      <w:r>
        <w:rPr>
          <w:rFonts w:hint="eastAsia" w:ascii="仿宋_GB2312" w:hAnsi="Calibri" w:eastAsia="仿宋_GB2312" w:cs="Arial Black"/>
          <w:kern w:val="0"/>
          <w:sz w:val="32"/>
          <w:szCs w:val="32"/>
        </w:rPr>
        <w:t>个，具体情况如下：</w:t>
      </w:r>
    </w:p>
    <w:tbl>
      <w:tblPr>
        <w:tblStyle w:val="6"/>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tcPr>
          <w:p>
            <w:pPr>
              <w:spacing w:line="560" w:lineRule="exact"/>
              <w:rPr>
                <w:rFonts w:hint="default" w:ascii="仿宋_GB2312" w:hAnsi="Calibri" w:eastAsia="仿宋_GB2312" w:cs="Arial Black"/>
                <w:kern w:val="0"/>
                <w:sz w:val="28"/>
                <w:szCs w:val="28"/>
                <w:lang w:val="en-US" w:eastAsia="zh-CN"/>
              </w:rPr>
            </w:pPr>
            <w:r>
              <w:rPr>
                <w:rFonts w:hint="eastAsia" w:ascii="仿宋_GB2312" w:hAnsi="Calibri" w:eastAsia="仿宋_GB2312" w:cs="Arial Black"/>
                <w:kern w:val="0"/>
                <w:sz w:val="28"/>
                <w:szCs w:val="28"/>
                <w:lang w:val="en-US" w:eastAsia="zh-CN"/>
              </w:rPr>
              <w:t>中共阜平县委员会组织部</w:t>
            </w:r>
          </w:p>
        </w:tc>
        <w:tc>
          <w:tcPr>
            <w:tcW w:w="2404" w:type="dxa"/>
            <w:vAlign w:val="top"/>
          </w:tcPr>
          <w:p>
            <w:pPr>
              <w:spacing w:line="560" w:lineRule="exact"/>
              <w:jc w:val="center"/>
              <w:rPr>
                <w:rFonts w:ascii="仿宋_GB2312" w:hAnsi="Calibri" w:eastAsia="仿宋_GB2312" w:cs="ArialUnicodeMS"/>
                <w:kern w:val="0"/>
                <w:sz w:val="28"/>
                <w:szCs w:val="28"/>
                <w:lang w:val="en-US" w:eastAsia="zh-CN" w:bidi="ar-SA"/>
              </w:rPr>
            </w:pPr>
            <w:r>
              <w:rPr>
                <w:rFonts w:hint="eastAsia" w:ascii="仿宋_GB2312" w:hAnsi="Cambria" w:eastAsia="仿宋_GB2312" w:cs="ArialUnicodeMS"/>
                <w:kern w:val="0"/>
                <w:sz w:val="28"/>
                <w:szCs w:val="28"/>
                <w:lang w:val="en-US" w:eastAsia="zh-CN"/>
              </w:rPr>
              <w:t>行政单位</w:t>
            </w:r>
          </w:p>
        </w:tc>
        <w:tc>
          <w:tcPr>
            <w:tcW w:w="2622" w:type="dxa"/>
            <w:vAlign w:val="top"/>
          </w:tcPr>
          <w:p>
            <w:pPr>
              <w:spacing w:line="560" w:lineRule="exact"/>
              <w:jc w:val="center"/>
              <w:rPr>
                <w:rFonts w:ascii="仿宋_GB2312" w:hAnsi="Calibri" w:eastAsia="仿宋_GB2312" w:cs="ArialUnicodeMS"/>
                <w:kern w:val="0"/>
                <w:sz w:val="28"/>
                <w:szCs w:val="28"/>
                <w:lang w:val="en-US" w:eastAsia="zh-CN" w:bidi="ar-SA"/>
              </w:rPr>
            </w:pPr>
            <w:r>
              <w:rPr>
                <w:rFonts w:hint="eastAsia" w:ascii="仿宋_GB2312" w:hAnsi="Cambria" w:eastAsia="仿宋_GB2312" w:cs="ArialUnicodeMS"/>
                <w:kern w:val="0"/>
                <w:sz w:val="28"/>
                <w:szCs w:val="28"/>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jc w:val="left"/>
              <w:rPr>
                <w:rFonts w:ascii="仿宋_GB2312" w:hAnsi="Calibri" w:eastAsia="仿宋_GB2312" w:cs="Arial Black"/>
                <w:kern w:val="0"/>
                <w:sz w:val="28"/>
                <w:szCs w:val="28"/>
              </w:rPr>
            </w:pPr>
          </w:p>
        </w:tc>
      </w:tr>
    </w:tbl>
    <w:p>
      <w:pPr>
        <w:widowControl/>
        <w:spacing w:after="160" w:line="580" w:lineRule="exact"/>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p>
                  <w:pPr>
                    <w:widowControl/>
                    <w:jc w:val="center"/>
                    <w:rPr>
                      <w:rFonts w:ascii="黑体" w:hAnsi="黑体" w:eastAsia="黑体" w:cs="黑体"/>
                      <w:color w:val="000000" w:themeColor="text1"/>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w:pict>
          <v:shape id="文本框 2" o:spid="_x0000_s1031" o:spt="202" type="#_x0000_t202" style="position:absolute;left:0pt;margin-left:-80.95pt;margin-top:-207.65pt;height:263.1pt;width:613.65pt;z-index:251661312;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4"/>
            <v:stroke weight="1pt" color="#A5A5A5" joinstyle="miter"/>
            <v:imagedata o:title=""/>
            <o:lock v:ext="edit"/>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总计（含结转和结余）4895.25万元。与2019年度决算相比，收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1954.33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66.44</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村级支出2020年由组织部发放至乡镇</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总计（含结转和结余）4895.25万元。与2019年度决算相比，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增加</w:t>
      </w:r>
      <w:r>
        <w:rPr>
          <w:rFonts w:hint="eastAsia" w:ascii="仿宋_GB2312" w:hAnsi="Times New Roman" w:eastAsia="仿宋_GB2312" w:cs="Wingdings"/>
          <w:sz w:val="32"/>
          <w:szCs w:val="32"/>
          <w:lang w:val="en-US" w:eastAsia="zh-CN"/>
        </w:rPr>
        <w:t>1954.33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66.44</w:t>
      </w:r>
      <w:r>
        <w:rPr>
          <w:rFonts w:hint="eastAsia" w:ascii="仿宋_GB2312" w:hAnsi="Times New Roman" w:eastAsia="仿宋_GB2312" w:cs="Wingdings"/>
          <w:sz w:val="32"/>
          <w:szCs w:val="32"/>
        </w:rPr>
        <w:t>%，主要原因是</w:t>
      </w:r>
      <w:r>
        <w:rPr>
          <w:rFonts w:hint="eastAsia" w:ascii="仿宋_GB2312" w:hAnsi="Times New Roman" w:eastAsia="仿宋_GB2312" w:cs="Wingdings"/>
          <w:sz w:val="32"/>
          <w:szCs w:val="32"/>
          <w:lang w:val="en-US" w:eastAsia="zh-CN"/>
        </w:rPr>
        <w:t>村级支出2020年由组织部发放至乡镇</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本部门2020年度本年收入合计4895.25万元，其中：财政拨款收入4895.25万元，占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rPr>
        <w:t>本部门2020年度本年支出合计4895.25万元，其中：基本支出</w:t>
      </w:r>
      <w:r>
        <w:rPr>
          <w:rFonts w:hint="eastAsia" w:ascii="仿宋_GB2312" w:hAnsi="Times New Roman" w:eastAsia="仿宋_GB2312" w:cs="Wingdings"/>
          <w:sz w:val="32"/>
          <w:szCs w:val="32"/>
          <w:lang w:val="en-US" w:eastAsia="zh-CN"/>
        </w:rPr>
        <w:t>845.86</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17.28</w:t>
      </w:r>
      <w:r>
        <w:rPr>
          <w:rFonts w:hint="eastAsia" w:ascii="仿宋_GB2312" w:hAnsi="Times New Roman" w:eastAsia="仿宋_GB2312" w:cs="Wingdings"/>
          <w:sz w:val="32"/>
          <w:szCs w:val="32"/>
        </w:rPr>
        <w:t>%；项目支出</w:t>
      </w:r>
      <w:r>
        <w:rPr>
          <w:rFonts w:hint="eastAsia" w:ascii="仿宋_GB2312" w:hAnsi="Times New Roman" w:eastAsia="仿宋_GB2312" w:cs="Wingdings"/>
          <w:sz w:val="32"/>
          <w:szCs w:val="32"/>
          <w:lang w:val="en-US" w:eastAsia="zh-CN"/>
        </w:rPr>
        <w:t>4049.39</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82.72</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本部门2020年度财政拨款收支均为一般公共预算财政拨款，其中本年收入4895.25万元,比2019年度增加</w:t>
      </w:r>
      <w:r>
        <w:rPr>
          <w:rFonts w:hint="eastAsia" w:ascii="仿宋_GB2312" w:hAnsi="Times New Roman" w:eastAsia="仿宋_GB2312" w:cs="Wingdings"/>
          <w:sz w:val="32"/>
          <w:szCs w:val="32"/>
          <w:lang w:val="en-US" w:eastAsia="zh-CN"/>
        </w:rPr>
        <w:t>1954.33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66.44</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村级支出2020年由组织部发放至乡镇</w:t>
      </w:r>
      <w:r>
        <w:rPr>
          <w:rFonts w:hint="eastAsia" w:ascii="仿宋_GB2312" w:hAnsi="Times New Roman" w:eastAsia="仿宋_GB2312" w:cs="Wingdings"/>
          <w:sz w:val="32"/>
          <w:szCs w:val="32"/>
        </w:rPr>
        <w:t>；本年支出4895.25万元，增加</w:t>
      </w:r>
      <w:r>
        <w:rPr>
          <w:rFonts w:hint="eastAsia" w:ascii="仿宋_GB2312" w:hAnsi="Times New Roman" w:eastAsia="仿宋_GB2312" w:cs="Wingdings"/>
          <w:sz w:val="32"/>
          <w:szCs w:val="32"/>
          <w:lang w:val="en-US" w:eastAsia="zh-CN"/>
        </w:rPr>
        <w:t>1954.33</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66.44</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村级支出2020年由组织部发放至乡镇</w:t>
      </w:r>
      <w:r>
        <w:rPr>
          <w:rFonts w:hint="eastAsia" w:ascii="仿宋_GB2312" w:hAnsi="Times New Roman" w:eastAsia="仿宋_GB2312" w:cs="Wingdings"/>
          <w:sz w:val="32"/>
          <w:szCs w:val="32"/>
        </w:rPr>
        <w:t>。</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本部门2020年度一般公共预算财政拨款收入4895.25万元，完成年初预算的</w:t>
      </w:r>
      <w:r>
        <w:rPr>
          <w:rFonts w:hint="eastAsia" w:ascii="仿宋_GB2312" w:hAnsi="Times New Roman" w:eastAsia="仿宋_GB2312" w:cs="Wingdings"/>
          <w:sz w:val="32"/>
          <w:szCs w:val="32"/>
          <w:lang w:val="en-US" w:eastAsia="zh-CN"/>
        </w:rPr>
        <w:t>57.39</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3634.16</w:t>
      </w:r>
      <w:r>
        <w:rPr>
          <w:rFonts w:hint="eastAsia" w:ascii="仿宋_GB2312" w:hAnsi="Times New Roman" w:eastAsia="仿宋_GB2312" w:cs="Wingdings"/>
          <w:sz w:val="32"/>
          <w:szCs w:val="32"/>
        </w:rPr>
        <w:t>万元，决算数小于预算数主要原因是</w:t>
      </w:r>
      <w:r>
        <w:rPr>
          <w:rFonts w:hint="eastAsia" w:ascii="仿宋_GB2312" w:hAnsi="Times New Roman" w:eastAsia="仿宋_GB2312" w:cs="Wingdings"/>
          <w:sz w:val="32"/>
          <w:szCs w:val="32"/>
          <w:lang w:val="en-US" w:eastAsia="zh-CN"/>
        </w:rPr>
        <w:t>部分项目未支出</w:t>
      </w:r>
      <w:r>
        <w:rPr>
          <w:rFonts w:hint="eastAsia" w:ascii="仿宋_GB2312" w:hAnsi="Times New Roman" w:eastAsia="仿宋_GB2312" w:cs="Wingdings"/>
          <w:sz w:val="32"/>
          <w:szCs w:val="32"/>
        </w:rPr>
        <w:t>；本年支出4895.25万元，完成年初预算的</w:t>
      </w:r>
      <w:r>
        <w:rPr>
          <w:rFonts w:hint="eastAsia" w:ascii="仿宋_GB2312" w:hAnsi="Times New Roman" w:eastAsia="仿宋_GB2312" w:cs="Wingdings"/>
          <w:sz w:val="32"/>
          <w:szCs w:val="32"/>
          <w:lang w:val="en-US" w:eastAsia="zh-CN"/>
        </w:rPr>
        <w:t>57.39</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3634.16</w:t>
      </w:r>
      <w:r>
        <w:rPr>
          <w:rFonts w:hint="eastAsia" w:ascii="仿宋_GB2312" w:hAnsi="Times New Roman" w:eastAsia="仿宋_GB2312" w:cs="Wingdings"/>
          <w:sz w:val="32"/>
          <w:szCs w:val="32"/>
        </w:rPr>
        <w:t>万元，决算数小于预算数主要原因是主要是</w:t>
      </w:r>
      <w:r>
        <w:rPr>
          <w:rFonts w:hint="eastAsia" w:ascii="仿宋_GB2312" w:hAnsi="Times New Roman" w:eastAsia="仿宋_GB2312" w:cs="Wingdings"/>
          <w:sz w:val="32"/>
          <w:szCs w:val="32"/>
          <w:lang w:val="en-US" w:eastAsia="zh-CN"/>
        </w:rPr>
        <w:t>部分项目未支出</w:t>
      </w:r>
      <w:r>
        <w:rPr>
          <w:rFonts w:hint="eastAsia" w:ascii="仿宋_GB2312" w:hAnsi="Times New Roman" w:eastAsia="仿宋_GB2312" w:cs="Wingdings"/>
          <w:sz w:val="32"/>
          <w:szCs w:val="32"/>
        </w:rPr>
        <w:t>。</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楷体_GB2312" w:hAnsi="Times New Roman" w:eastAsia="楷体_GB2312" w:cs="Mongolian Baiti"/>
          <w:b/>
          <w:bCs/>
          <w:sz w:val="32"/>
          <w:szCs w:val="32"/>
        </w:rPr>
      </w:pPr>
      <w:r>
        <w:rPr>
          <w:rFonts w:hint="eastAsia" w:ascii="仿宋_GB2312" w:hAnsi="Times New Roman" w:eastAsia="仿宋_GB2312" w:cs="Wingdings"/>
          <w:sz w:val="32"/>
          <w:szCs w:val="32"/>
        </w:rPr>
        <w:t>2020 年度财政拨款支出4895.25万元，主要用于以下方面：一般公共服务（类）支出</w:t>
      </w:r>
      <w:r>
        <w:rPr>
          <w:rFonts w:hint="eastAsia" w:ascii="仿宋_GB2312" w:hAnsi="Times New Roman" w:eastAsia="仿宋_GB2312" w:cs="Wingdings"/>
          <w:sz w:val="32"/>
          <w:szCs w:val="32"/>
          <w:lang w:val="en-US" w:eastAsia="zh-CN"/>
        </w:rPr>
        <w:t>331.54</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6.77</w:t>
      </w:r>
      <w:r>
        <w:rPr>
          <w:rFonts w:hint="eastAsia" w:ascii="仿宋_GB2312" w:hAnsi="Times New Roman" w:eastAsia="仿宋_GB2312" w:cs="Wingdings"/>
          <w:sz w:val="32"/>
          <w:szCs w:val="32"/>
        </w:rPr>
        <w:t>%；</w:t>
      </w:r>
      <w:r>
        <w:rPr>
          <w:rFonts w:hint="eastAsia" w:ascii="仿宋_GB2312" w:hAnsi="Times New Roman" w:eastAsia="仿宋_GB2312" w:cs="DengXian-Regular"/>
          <w:sz w:val="32"/>
          <w:szCs w:val="32"/>
        </w:rPr>
        <w:t>社会保障和就业支出</w:t>
      </w:r>
      <w:r>
        <w:rPr>
          <w:rFonts w:hint="eastAsia" w:ascii="仿宋_GB2312" w:hAnsi="Times New Roman" w:eastAsia="仿宋_GB2312" w:cs="DengXian-Regular"/>
          <w:sz w:val="32"/>
          <w:szCs w:val="32"/>
          <w:lang w:val="en-US" w:eastAsia="zh-CN"/>
        </w:rPr>
        <w:t>673.63</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13.76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；卫生健康支出</w:t>
      </w:r>
      <w:r>
        <w:rPr>
          <w:rFonts w:hint="eastAsia" w:ascii="仿宋_GB2312" w:hAnsi="Times New Roman" w:eastAsia="仿宋_GB2312" w:cs="DengXian-Regular"/>
          <w:sz w:val="32"/>
          <w:szCs w:val="32"/>
          <w:lang w:val="en-US" w:eastAsia="zh-CN"/>
        </w:rPr>
        <w:t>154.51</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3.16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；农林水支出</w:t>
      </w:r>
      <w:r>
        <w:rPr>
          <w:rFonts w:hint="eastAsia" w:ascii="仿宋_GB2312" w:hAnsi="Times New Roman" w:eastAsia="仿宋_GB2312" w:cs="DengXian-Regular"/>
          <w:sz w:val="32"/>
          <w:szCs w:val="32"/>
          <w:lang w:val="en-US" w:eastAsia="zh-CN"/>
        </w:rPr>
        <w:t>3718.78</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75.97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；住房保障支出</w:t>
      </w:r>
      <w:r>
        <w:rPr>
          <w:rFonts w:hint="eastAsia" w:ascii="仿宋_GB2312" w:hAnsi="Times New Roman" w:eastAsia="仿宋_GB2312" w:cs="DengXian-Regular"/>
          <w:sz w:val="32"/>
          <w:szCs w:val="32"/>
          <w:lang w:val="en-US" w:eastAsia="zh-CN"/>
        </w:rPr>
        <w:t>16.79</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0.34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2020 年度财政拨款基本支出</w:t>
      </w:r>
      <w:r>
        <w:rPr>
          <w:rFonts w:hint="eastAsia" w:ascii="仿宋_GB2312" w:hAnsi="Times New Roman" w:eastAsia="仿宋_GB2312" w:cs="Wingdings"/>
          <w:sz w:val="32"/>
          <w:szCs w:val="32"/>
          <w:lang w:val="en-US" w:eastAsia="zh-CN"/>
        </w:rPr>
        <w:t>845.86</w:t>
      </w:r>
      <w:r>
        <w:rPr>
          <w:rFonts w:hint="eastAsia" w:ascii="仿宋_GB2312" w:hAnsi="Times New Roman" w:eastAsia="仿宋_GB2312" w:cs="Wingdings"/>
          <w:sz w:val="32"/>
          <w:szCs w:val="32"/>
        </w:rPr>
        <w:t xml:space="preserve">万元，其中：人员经费 </w:t>
      </w:r>
      <w:r>
        <w:rPr>
          <w:rFonts w:hint="eastAsia" w:ascii="仿宋_GB2312" w:hAnsi="Times New Roman" w:eastAsia="仿宋_GB2312" w:cs="Wingdings"/>
          <w:sz w:val="32"/>
          <w:szCs w:val="32"/>
          <w:lang w:val="en-US" w:eastAsia="zh-CN"/>
        </w:rPr>
        <w:t>799.74</w:t>
      </w:r>
      <w:r>
        <w:rPr>
          <w:rFonts w:hint="eastAsia" w:ascii="仿宋_GB2312" w:hAnsi="Times New Roman" w:eastAsia="仿宋_GB2312" w:cs="Wingdings"/>
          <w:sz w:val="32"/>
          <w:szCs w:val="32"/>
        </w:rPr>
        <w:t>万元，主要包括基本工资</w:t>
      </w:r>
      <w:r>
        <w:rPr>
          <w:rFonts w:hint="eastAsia" w:ascii="仿宋_GB2312" w:hAnsi="Times New Roman" w:eastAsia="仿宋_GB2312" w:cs="Wingdings"/>
          <w:sz w:val="32"/>
          <w:szCs w:val="32"/>
          <w:lang w:val="en-US" w:eastAsia="zh-CN"/>
        </w:rPr>
        <w:t>118.76万元</w:t>
      </w:r>
      <w:r>
        <w:rPr>
          <w:rFonts w:hint="eastAsia" w:ascii="仿宋_GB2312" w:hAnsi="Times New Roman" w:eastAsia="仿宋_GB2312" w:cs="Wingdings"/>
          <w:sz w:val="32"/>
          <w:szCs w:val="32"/>
        </w:rPr>
        <w:t>、津贴补贴</w:t>
      </w:r>
      <w:r>
        <w:rPr>
          <w:rFonts w:hint="eastAsia" w:ascii="仿宋_GB2312" w:hAnsi="Times New Roman" w:eastAsia="仿宋_GB2312" w:cs="Wingdings"/>
          <w:sz w:val="32"/>
          <w:szCs w:val="32"/>
          <w:lang w:val="en-US" w:eastAsia="zh-CN"/>
        </w:rPr>
        <w:t>41.85万元</w:t>
      </w:r>
      <w:r>
        <w:rPr>
          <w:rFonts w:hint="eastAsia" w:ascii="仿宋_GB2312" w:hAnsi="Times New Roman" w:eastAsia="仿宋_GB2312" w:cs="Wingdings"/>
          <w:sz w:val="32"/>
          <w:szCs w:val="32"/>
        </w:rPr>
        <w:t>、奖金</w:t>
      </w:r>
      <w:r>
        <w:rPr>
          <w:rFonts w:hint="eastAsia" w:ascii="仿宋_GB2312" w:hAnsi="Times New Roman" w:eastAsia="仿宋_GB2312" w:cs="Wingdings"/>
          <w:sz w:val="32"/>
          <w:szCs w:val="32"/>
          <w:lang w:val="en-US" w:eastAsia="zh-CN"/>
        </w:rPr>
        <w:t>16.07万元</w:t>
      </w:r>
      <w:r>
        <w:rPr>
          <w:rFonts w:hint="eastAsia" w:ascii="仿宋_GB2312" w:hAnsi="Times New Roman" w:eastAsia="仿宋_GB2312" w:cs="Wingdings"/>
          <w:sz w:val="32"/>
          <w:szCs w:val="32"/>
        </w:rPr>
        <w:t>、绩效工资</w:t>
      </w:r>
      <w:r>
        <w:rPr>
          <w:rFonts w:hint="eastAsia" w:ascii="仿宋_GB2312" w:hAnsi="Times New Roman" w:eastAsia="仿宋_GB2312" w:cs="Wingdings"/>
          <w:sz w:val="32"/>
          <w:szCs w:val="32"/>
          <w:lang w:val="en-US" w:eastAsia="zh-CN"/>
        </w:rPr>
        <w:t>4.46万元</w:t>
      </w:r>
      <w:r>
        <w:rPr>
          <w:rFonts w:hint="eastAsia" w:ascii="仿宋_GB2312" w:hAnsi="Times New Roman" w:eastAsia="仿宋_GB2312" w:cs="Wingdings"/>
          <w:sz w:val="32"/>
          <w:szCs w:val="32"/>
        </w:rPr>
        <w:t>、机关事业单位基本养老保险缴费</w:t>
      </w:r>
      <w:r>
        <w:rPr>
          <w:rFonts w:hint="eastAsia" w:ascii="仿宋_GB2312" w:hAnsi="Times New Roman" w:eastAsia="仿宋_GB2312" w:cs="Wingdings"/>
          <w:sz w:val="32"/>
          <w:szCs w:val="32"/>
          <w:lang w:val="en-US" w:eastAsia="zh-CN"/>
        </w:rPr>
        <w:t>24.21万元</w:t>
      </w:r>
      <w:r>
        <w:rPr>
          <w:rFonts w:hint="eastAsia" w:ascii="仿宋_GB2312" w:hAnsi="Times New Roman" w:eastAsia="仿宋_GB2312" w:cs="Wingdings"/>
          <w:sz w:val="32"/>
          <w:szCs w:val="32"/>
        </w:rPr>
        <w:t>、职工基本医疗保险缴费</w:t>
      </w:r>
      <w:r>
        <w:rPr>
          <w:rFonts w:hint="eastAsia" w:ascii="仿宋_GB2312" w:hAnsi="Times New Roman" w:eastAsia="仿宋_GB2312" w:cs="Wingdings"/>
          <w:sz w:val="32"/>
          <w:szCs w:val="32"/>
          <w:lang w:val="en-US" w:eastAsia="zh-CN"/>
        </w:rPr>
        <w:t>9.96万元</w:t>
      </w:r>
      <w:r>
        <w:rPr>
          <w:rFonts w:hint="eastAsia" w:ascii="仿宋_GB2312" w:hAnsi="Times New Roman" w:eastAsia="仿宋_GB2312" w:cs="Wingdings"/>
          <w:sz w:val="32"/>
          <w:szCs w:val="32"/>
        </w:rPr>
        <w:t>、住房公积金</w:t>
      </w:r>
      <w:r>
        <w:rPr>
          <w:rFonts w:hint="eastAsia" w:ascii="仿宋_GB2312" w:hAnsi="Times New Roman" w:eastAsia="仿宋_GB2312" w:cs="Wingdings"/>
          <w:sz w:val="32"/>
          <w:szCs w:val="32"/>
          <w:lang w:val="en-US" w:eastAsia="zh-CN"/>
        </w:rPr>
        <w:t>16.79万元</w:t>
      </w:r>
      <w:r>
        <w:rPr>
          <w:rFonts w:hint="eastAsia" w:ascii="仿宋_GB2312" w:hAnsi="Times New Roman" w:eastAsia="仿宋_GB2312" w:cs="Wingdings"/>
          <w:sz w:val="32"/>
          <w:szCs w:val="32"/>
        </w:rPr>
        <w:t>、其他社会保障缴费</w:t>
      </w:r>
      <w:r>
        <w:rPr>
          <w:rFonts w:hint="eastAsia" w:ascii="仿宋_GB2312" w:hAnsi="Times New Roman" w:eastAsia="仿宋_GB2312" w:cs="Wingdings"/>
          <w:sz w:val="32"/>
          <w:szCs w:val="32"/>
          <w:lang w:val="en-US" w:eastAsia="zh-CN"/>
        </w:rPr>
        <w:t>0.93万元</w:t>
      </w:r>
      <w:r>
        <w:rPr>
          <w:rFonts w:hint="eastAsia" w:ascii="仿宋_GB2312" w:hAnsi="Times New Roman" w:eastAsia="仿宋_GB2312" w:cs="Wingdings"/>
          <w:sz w:val="32"/>
          <w:szCs w:val="32"/>
        </w:rPr>
        <w:t>、其他工资福利支出</w:t>
      </w:r>
      <w:r>
        <w:rPr>
          <w:rFonts w:hint="eastAsia" w:ascii="仿宋_GB2312" w:hAnsi="Times New Roman" w:eastAsia="仿宋_GB2312" w:cs="Wingdings"/>
          <w:sz w:val="32"/>
          <w:szCs w:val="32"/>
          <w:lang w:val="en-US" w:eastAsia="zh-CN"/>
        </w:rPr>
        <w:t>2.76万元</w:t>
      </w:r>
      <w:r>
        <w:rPr>
          <w:rFonts w:hint="eastAsia" w:ascii="仿宋_GB2312" w:hAnsi="Times New Roman" w:eastAsia="仿宋_GB2312" w:cs="Wingdings"/>
          <w:sz w:val="32"/>
          <w:szCs w:val="32"/>
        </w:rPr>
        <w:t>、离休费</w:t>
      </w:r>
      <w:r>
        <w:rPr>
          <w:rFonts w:hint="eastAsia" w:ascii="仿宋_GB2312" w:hAnsi="Times New Roman" w:eastAsia="仿宋_GB2312" w:cs="Wingdings"/>
          <w:sz w:val="32"/>
          <w:szCs w:val="32"/>
          <w:lang w:val="en-US" w:eastAsia="zh-CN"/>
        </w:rPr>
        <w:t>371.98万元</w:t>
      </w:r>
      <w:r>
        <w:rPr>
          <w:rFonts w:hint="eastAsia" w:ascii="仿宋_GB2312" w:hAnsi="Times New Roman" w:eastAsia="仿宋_GB2312" w:cs="Wingdings"/>
          <w:sz w:val="32"/>
          <w:szCs w:val="32"/>
        </w:rPr>
        <w:t>、退休费</w:t>
      </w:r>
      <w:r>
        <w:rPr>
          <w:rFonts w:hint="eastAsia" w:ascii="仿宋_GB2312" w:hAnsi="Times New Roman" w:eastAsia="仿宋_GB2312" w:cs="Wingdings"/>
          <w:sz w:val="32"/>
          <w:szCs w:val="32"/>
          <w:lang w:val="en-US" w:eastAsia="zh-CN"/>
        </w:rPr>
        <w:t>6.33万元</w:t>
      </w:r>
      <w:r>
        <w:rPr>
          <w:rFonts w:hint="eastAsia" w:ascii="仿宋_GB2312" w:hAnsi="Times New Roman" w:eastAsia="仿宋_GB2312" w:cs="Wingdings"/>
          <w:sz w:val="32"/>
          <w:szCs w:val="32"/>
        </w:rPr>
        <w:t>、抚恤金</w:t>
      </w:r>
      <w:r>
        <w:rPr>
          <w:rFonts w:hint="eastAsia" w:ascii="仿宋_GB2312" w:hAnsi="Times New Roman" w:eastAsia="仿宋_GB2312" w:cs="Wingdings"/>
          <w:sz w:val="32"/>
          <w:szCs w:val="32"/>
          <w:lang w:val="en-US" w:eastAsia="zh-CN"/>
        </w:rPr>
        <w:t>47.30万元</w:t>
      </w:r>
      <w:r>
        <w:rPr>
          <w:rFonts w:hint="eastAsia" w:ascii="仿宋_GB2312" w:hAnsi="Times New Roman" w:eastAsia="仿宋_GB2312" w:cs="Wingdings"/>
          <w:sz w:val="32"/>
          <w:szCs w:val="32"/>
        </w:rPr>
        <w:t>、医疗费补助</w:t>
      </w:r>
      <w:r>
        <w:rPr>
          <w:rFonts w:hint="eastAsia" w:ascii="仿宋_GB2312" w:hAnsi="Times New Roman" w:eastAsia="仿宋_GB2312" w:cs="Wingdings"/>
          <w:sz w:val="32"/>
          <w:szCs w:val="32"/>
          <w:lang w:val="en-US" w:eastAsia="zh-CN"/>
        </w:rPr>
        <w:t>138.34万元</w:t>
      </w:r>
      <w:r>
        <w:rPr>
          <w:rFonts w:hint="eastAsia" w:ascii="仿宋_GB2312" w:hAnsi="Times New Roman" w:eastAsia="仿宋_GB2312" w:cs="Wingdings"/>
          <w:sz w:val="32"/>
          <w:szCs w:val="32"/>
        </w:rPr>
        <w:t>；公用经费</w:t>
      </w:r>
      <w:r>
        <w:rPr>
          <w:rFonts w:hint="eastAsia" w:ascii="仿宋_GB2312" w:hAnsi="Times New Roman" w:eastAsia="仿宋_GB2312" w:cs="Wingdings"/>
          <w:sz w:val="32"/>
          <w:szCs w:val="32"/>
          <w:lang w:val="en-US" w:eastAsia="zh-CN"/>
        </w:rPr>
        <w:t>46.11</w:t>
      </w:r>
      <w:r>
        <w:rPr>
          <w:rFonts w:hint="eastAsia" w:ascii="仿宋_GB2312" w:hAnsi="Times New Roman" w:eastAsia="仿宋_GB2312" w:cs="Wingdings"/>
          <w:sz w:val="32"/>
          <w:szCs w:val="32"/>
        </w:rPr>
        <w:t>万元，主要包括办公费</w:t>
      </w:r>
      <w:r>
        <w:rPr>
          <w:rFonts w:hint="eastAsia" w:ascii="仿宋_GB2312" w:hAnsi="Times New Roman" w:eastAsia="仿宋_GB2312" w:cs="Wingdings"/>
          <w:sz w:val="32"/>
          <w:szCs w:val="32"/>
          <w:lang w:val="en-US" w:eastAsia="zh-CN"/>
        </w:rPr>
        <w:t>4.53万元</w:t>
      </w:r>
      <w:r>
        <w:rPr>
          <w:rFonts w:hint="eastAsia" w:ascii="仿宋_GB2312" w:hAnsi="Times New Roman" w:eastAsia="仿宋_GB2312" w:cs="Wingdings"/>
          <w:sz w:val="32"/>
          <w:szCs w:val="32"/>
        </w:rPr>
        <w:t>、印刷费</w:t>
      </w:r>
      <w:r>
        <w:rPr>
          <w:rFonts w:hint="eastAsia" w:ascii="仿宋_GB2312" w:hAnsi="Times New Roman" w:eastAsia="仿宋_GB2312" w:cs="Wingdings"/>
          <w:sz w:val="32"/>
          <w:szCs w:val="32"/>
          <w:lang w:val="en-US" w:eastAsia="zh-CN"/>
        </w:rPr>
        <w:t>4.00万元</w:t>
      </w:r>
      <w:r>
        <w:rPr>
          <w:rFonts w:hint="eastAsia" w:ascii="仿宋_GB2312" w:hAnsi="Times New Roman" w:eastAsia="仿宋_GB2312" w:cs="Wingdings"/>
          <w:sz w:val="32"/>
          <w:szCs w:val="32"/>
        </w:rPr>
        <w:t>、水费</w:t>
      </w:r>
      <w:r>
        <w:rPr>
          <w:rFonts w:hint="eastAsia" w:ascii="仿宋_GB2312" w:hAnsi="Times New Roman" w:eastAsia="仿宋_GB2312" w:cs="Wingdings"/>
          <w:sz w:val="32"/>
          <w:szCs w:val="32"/>
          <w:lang w:val="en-US" w:eastAsia="zh-CN"/>
        </w:rPr>
        <w:t>0.17万元</w:t>
      </w:r>
      <w:r>
        <w:rPr>
          <w:rFonts w:hint="eastAsia" w:ascii="仿宋_GB2312" w:hAnsi="Times New Roman" w:eastAsia="仿宋_GB2312" w:cs="Wingdings"/>
          <w:sz w:val="32"/>
          <w:szCs w:val="32"/>
        </w:rPr>
        <w:t>、邮电费</w:t>
      </w:r>
      <w:r>
        <w:rPr>
          <w:rFonts w:hint="eastAsia" w:ascii="仿宋_GB2312" w:hAnsi="Times New Roman" w:eastAsia="仿宋_GB2312" w:cs="Wingdings"/>
          <w:sz w:val="32"/>
          <w:szCs w:val="32"/>
          <w:lang w:val="en-US" w:eastAsia="zh-CN"/>
        </w:rPr>
        <w:t>9.16万元</w:t>
      </w:r>
      <w:r>
        <w:rPr>
          <w:rFonts w:hint="eastAsia" w:ascii="仿宋_GB2312" w:hAnsi="Times New Roman" w:eastAsia="仿宋_GB2312" w:cs="Wingdings"/>
          <w:sz w:val="32"/>
          <w:szCs w:val="32"/>
        </w:rPr>
        <w:t>、取暖费</w:t>
      </w:r>
      <w:r>
        <w:rPr>
          <w:rFonts w:hint="eastAsia" w:ascii="仿宋_GB2312" w:hAnsi="Times New Roman" w:eastAsia="仿宋_GB2312" w:cs="Wingdings"/>
          <w:sz w:val="32"/>
          <w:szCs w:val="32"/>
          <w:lang w:val="en-US" w:eastAsia="zh-CN"/>
        </w:rPr>
        <w:t>6.96万元</w:t>
      </w:r>
      <w:r>
        <w:rPr>
          <w:rFonts w:hint="eastAsia" w:ascii="仿宋_GB2312" w:hAnsi="Times New Roman" w:eastAsia="仿宋_GB2312" w:cs="Wingdings"/>
          <w:sz w:val="32"/>
          <w:szCs w:val="32"/>
        </w:rPr>
        <w:t>、差旅费</w:t>
      </w:r>
      <w:r>
        <w:rPr>
          <w:rFonts w:hint="eastAsia" w:ascii="仿宋_GB2312" w:hAnsi="Times New Roman" w:eastAsia="仿宋_GB2312" w:cs="Wingdings"/>
          <w:sz w:val="32"/>
          <w:szCs w:val="32"/>
          <w:lang w:val="en-US" w:eastAsia="zh-CN"/>
        </w:rPr>
        <w:t>1.97万元</w:t>
      </w:r>
      <w:r>
        <w:rPr>
          <w:rFonts w:hint="eastAsia" w:ascii="仿宋_GB2312" w:hAnsi="Times New Roman" w:eastAsia="仿宋_GB2312" w:cs="Wingdings"/>
          <w:sz w:val="32"/>
          <w:szCs w:val="32"/>
        </w:rPr>
        <w:t>、维修（护）费</w:t>
      </w:r>
      <w:r>
        <w:rPr>
          <w:rFonts w:hint="eastAsia" w:ascii="仿宋_GB2312" w:hAnsi="Times New Roman" w:eastAsia="仿宋_GB2312" w:cs="Wingdings"/>
          <w:sz w:val="32"/>
          <w:szCs w:val="32"/>
          <w:lang w:val="en-US" w:eastAsia="zh-CN"/>
        </w:rPr>
        <w:t>0.30万元</w:t>
      </w:r>
      <w:r>
        <w:rPr>
          <w:rFonts w:hint="eastAsia" w:ascii="仿宋_GB2312" w:hAnsi="Times New Roman" w:eastAsia="仿宋_GB2312" w:cs="Wingdings"/>
          <w:sz w:val="32"/>
          <w:szCs w:val="32"/>
        </w:rPr>
        <w:t>、会议费</w:t>
      </w:r>
      <w:r>
        <w:rPr>
          <w:rFonts w:hint="eastAsia" w:ascii="仿宋_GB2312" w:hAnsi="Times New Roman" w:eastAsia="仿宋_GB2312" w:cs="Wingdings"/>
          <w:sz w:val="32"/>
          <w:szCs w:val="32"/>
          <w:lang w:val="en-US" w:eastAsia="zh-CN"/>
        </w:rPr>
        <w:t>0.25万元</w:t>
      </w:r>
      <w:r>
        <w:rPr>
          <w:rFonts w:hint="eastAsia" w:ascii="仿宋_GB2312" w:hAnsi="Times New Roman" w:eastAsia="仿宋_GB2312" w:cs="Wingdings"/>
          <w:sz w:val="32"/>
          <w:szCs w:val="32"/>
        </w:rPr>
        <w:t>、公务接待费</w:t>
      </w:r>
      <w:r>
        <w:rPr>
          <w:rFonts w:hint="eastAsia" w:ascii="仿宋_GB2312" w:hAnsi="Times New Roman" w:eastAsia="仿宋_GB2312" w:cs="Wingdings"/>
          <w:sz w:val="32"/>
          <w:szCs w:val="32"/>
          <w:lang w:val="en-US" w:eastAsia="zh-CN"/>
        </w:rPr>
        <w:t>0.05万元</w:t>
      </w:r>
      <w:r>
        <w:rPr>
          <w:rFonts w:hint="eastAsia" w:ascii="仿宋_GB2312" w:hAnsi="Times New Roman" w:eastAsia="仿宋_GB2312" w:cs="Wingdings"/>
          <w:sz w:val="32"/>
          <w:szCs w:val="32"/>
        </w:rPr>
        <w:t>、公务用车运行维护费</w:t>
      </w:r>
      <w:r>
        <w:rPr>
          <w:rFonts w:hint="eastAsia" w:ascii="仿宋_GB2312" w:hAnsi="Times New Roman" w:eastAsia="仿宋_GB2312" w:cs="Wingdings"/>
          <w:sz w:val="32"/>
          <w:szCs w:val="32"/>
          <w:lang w:val="en-US" w:eastAsia="zh-CN"/>
        </w:rPr>
        <w:t>3.50万元</w:t>
      </w:r>
      <w:r>
        <w:rPr>
          <w:rFonts w:hint="eastAsia" w:ascii="仿宋_GB2312" w:hAnsi="Times New Roman" w:eastAsia="仿宋_GB2312" w:cs="Wingdings"/>
          <w:sz w:val="32"/>
          <w:szCs w:val="32"/>
        </w:rPr>
        <w:t>、其他交通费用</w:t>
      </w:r>
      <w:r>
        <w:rPr>
          <w:rFonts w:hint="eastAsia" w:ascii="仿宋_GB2312" w:hAnsi="Times New Roman" w:eastAsia="仿宋_GB2312" w:cs="Wingdings"/>
          <w:sz w:val="32"/>
          <w:szCs w:val="32"/>
          <w:lang w:val="en-US" w:eastAsia="zh-CN"/>
        </w:rPr>
        <w:t>15.02万元、其他商品和服务支出0.20万元</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6.55</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3.55万</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54.20</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3.00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45.80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老干部局公务用车报废，未发生公务用车运行维护费</w:t>
      </w:r>
      <w:r>
        <w:rPr>
          <w:rFonts w:hint="eastAsia" w:ascii="仿宋_GB2312" w:hAnsi="Times New Roman" w:eastAsia="仿宋_GB2312" w:cs="Wingdings"/>
          <w:sz w:val="32"/>
          <w:szCs w:val="32"/>
        </w:rPr>
        <w:t>；较2019年度减少</w:t>
      </w:r>
      <w:r>
        <w:rPr>
          <w:rFonts w:hint="eastAsia" w:ascii="仿宋_GB2312" w:hAnsi="Times New Roman" w:eastAsia="仿宋_GB2312" w:cs="Wingdings"/>
          <w:sz w:val="32"/>
          <w:szCs w:val="32"/>
          <w:lang w:val="en-US" w:eastAsia="zh-CN"/>
        </w:rPr>
        <w:t>0.19</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0.51</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主要是</w:t>
      </w:r>
      <w:r>
        <w:rPr>
          <w:rFonts w:hint="eastAsia" w:ascii="仿宋_GB2312" w:eastAsia="仿宋_GB2312" w:cs="DengXian-Regular"/>
          <w:sz w:val="32"/>
          <w:szCs w:val="32"/>
        </w:rPr>
        <w:t>认真贯彻落实中央</w:t>
      </w:r>
      <w:r>
        <w:rPr>
          <w:rFonts w:hint="eastAsia" w:ascii="仿宋_GB2312" w:eastAsia="仿宋_GB2312" w:cs="DengXian-Regular"/>
          <w:sz w:val="32"/>
          <w:szCs w:val="32"/>
          <w:lang w:eastAsia="zh-CN"/>
        </w:rPr>
        <w:t>八项规定</w:t>
      </w:r>
      <w:r>
        <w:rPr>
          <w:rFonts w:hint="eastAsia" w:ascii="仿宋_GB2312" w:eastAsia="仿宋_GB2312" w:cs="DengXian-Regular"/>
          <w:sz w:val="32"/>
          <w:szCs w:val="32"/>
        </w:rPr>
        <w:t>精神和厉行节约要求，从严控制“三公”经费开支，全年实际支出比预算有所节约</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人/无本单位组织的出国（境）团组。因公出国（境）费支出较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eastAsia="仿宋_GB2312" w:cs="DengXian-Regular"/>
          <w:sz w:val="32"/>
          <w:szCs w:val="32"/>
          <w:lang w:val="en-US" w:eastAsia="zh-CN"/>
        </w:rPr>
        <w:t>本单位无出国（境）费用</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eastAsia="仿宋_GB2312" w:cs="DengXian-Regular"/>
          <w:sz w:val="32"/>
          <w:szCs w:val="32"/>
          <w:lang w:val="en-US" w:eastAsia="zh-CN"/>
        </w:rPr>
        <w:t>本单位无出国（境）费用</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3.50万元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3.50</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53.85</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3.00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46.15</w:t>
      </w:r>
      <w:r>
        <w:rPr>
          <w:rFonts w:hint="eastAsia" w:ascii="仿宋_GB2312" w:hAnsi="Times New Roman" w:eastAsia="仿宋_GB2312" w:cs="Wingdings"/>
          <w:sz w:val="32"/>
          <w:szCs w:val="32"/>
        </w:rPr>
        <w:t>%,主要是</w:t>
      </w:r>
      <w:r>
        <w:rPr>
          <w:rFonts w:hint="eastAsia" w:ascii="仿宋_GB2312" w:eastAsia="仿宋_GB2312" w:cs="DengXian-Regular"/>
          <w:sz w:val="32"/>
          <w:szCs w:val="32"/>
          <w:highlight w:val="none"/>
        </w:rPr>
        <w:t>切实压缩公务用车费用支出</w:t>
      </w:r>
      <w:r>
        <w:rPr>
          <w:rFonts w:hint="eastAsia" w:ascii="仿宋_GB2312" w:hAnsi="Times New Roman" w:eastAsia="仿宋_GB2312" w:cs="Wingdings"/>
          <w:sz w:val="32"/>
          <w:szCs w:val="32"/>
        </w:rPr>
        <w:t>；较上年减少</w:t>
      </w:r>
      <w:r>
        <w:rPr>
          <w:rFonts w:hint="eastAsia" w:ascii="仿宋_GB2312" w:hAnsi="Times New Roman" w:eastAsia="仿宋_GB2312" w:cs="Wingdings"/>
          <w:sz w:val="32"/>
          <w:szCs w:val="32"/>
          <w:lang w:val="en-US" w:eastAsia="zh-CN"/>
        </w:rPr>
        <w:t>0.24</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6.42</w:t>
      </w:r>
      <w:r>
        <w:rPr>
          <w:rFonts w:hint="eastAsia" w:ascii="仿宋_GB2312" w:hAnsi="Times New Roman" w:eastAsia="仿宋_GB2312" w:cs="Wingdings"/>
          <w:sz w:val="32"/>
          <w:szCs w:val="32"/>
        </w:rPr>
        <w:t>%,主要是</w:t>
      </w:r>
      <w:r>
        <w:rPr>
          <w:rFonts w:hint="eastAsia" w:ascii="仿宋_GB2312" w:eastAsia="仿宋_GB2312" w:cs="DengXian-Regular"/>
          <w:sz w:val="32"/>
          <w:szCs w:val="32"/>
          <w:highlight w:val="none"/>
        </w:rPr>
        <w:t>切实压缩公务用车费用支出</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辆，发生“公务用车购置”经费支出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万元。公务用车购置费支出较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eastAsia="仿宋_GB2312" w:cs="DengXian-Regular"/>
          <w:sz w:val="32"/>
          <w:szCs w:val="32"/>
          <w:lang w:val="en-US" w:eastAsia="zh-CN"/>
        </w:rPr>
        <w:t>本单位本年度未发生‘公务用车购置’经费支出</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eastAsia="仿宋_GB2312" w:cs="DengXian-Regular"/>
          <w:sz w:val="32"/>
          <w:szCs w:val="32"/>
          <w:lang w:val="en-US" w:eastAsia="zh-CN"/>
        </w:rPr>
        <w:t>本单位本年度未发生‘公务用车购置’经费支出</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3.50万元：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sz w:val="32"/>
          <w:szCs w:val="32"/>
          <w:lang w:val="en-US" w:eastAsia="zh-CN"/>
        </w:rPr>
        <w:t>3.50</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预算减少</w:t>
      </w:r>
      <w:r>
        <w:rPr>
          <w:rFonts w:hint="eastAsia" w:ascii="仿宋_GB2312" w:hAnsi="Times New Roman" w:eastAsia="仿宋_GB2312" w:cs="Wingdings"/>
          <w:sz w:val="32"/>
          <w:szCs w:val="32"/>
          <w:lang w:val="en-US" w:eastAsia="zh-CN"/>
        </w:rPr>
        <w:t>3.00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46.15</w:t>
      </w:r>
      <w:r>
        <w:rPr>
          <w:rFonts w:hint="eastAsia" w:ascii="仿宋_GB2312" w:hAnsi="Times New Roman" w:eastAsia="仿宋_GB2312" w:cs="Wingdings"/>
          <w:sz w:val="32"/>
          <w:szCs w:val="32"/>
        </w:rPr>
        <w:t>%,主要是</w:t>
      </w:r>
      <w:r>
        <w:rPr>
          <w:rFonts w:hint="eastAsia" w:ascii="仿宋_GB2312" w:eastAsia="仿宋_GB2312" w:cs="DengXian-Regular"/>
          <w:sz w:val="32"/>
          <w:szCs w:val="32"/>
          <w:highlight w:val="none"/>
        </w:rPr>
        <w:t>切实压缩公务用车费用支出</w:t>
      </w:r>
      <w:r>
        <w:rPr>
          <w:rFonts w:hint="eastAsia" w:ascii="仿宋_GB2312" w:hAnsi="Times New Roman" w:eastAsia="仿宋_GB2312" w:cs="Wingdings"/>
          <w:sz w:val="32"/>
          <w:szCs w:val="32"/>
        </w:rPr>
        <w:t>；较上年减少</w:t>
      </w:r>
      <w:r>
        <w:rPr>
          <w:rFonts w:hint="eastAsia" w:ascii="仿宋_GB2312" w:hAnsi="Times New Roman" w:eastAsia="仿宋_GB2312" w:cs="Wingdings"/>
          <w:sz w:val="32"/>
          <w:szCs w:val="32"/>
          <w:lang w:val="en-US" w:eastAsia="zh-CN"/>
        </w:rPr>
        <w:t>0.24</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6.42</w:t>
      </w:r>
      <w:r>
        <w:rPr>
          <w:rFonts w:hint="eastAsia" w:ascii="仿宋_GB2312" w:hAnsi="Times New Roman" w:eastAsia="仿宋_GB2312" w:cs="Wingdings"/>
          <w:sz w:val="32"/>
          <w:szCs w:val="32"/>
        </w:rPr>
        <w:t>%，主要是</w:t>
      </w:r>
      <w:r>
        <w:rPr>
          <w:rFonts w:hint="eastAsia" w:ascii="仿宋_GB2312" w:eastAsia="仿宋_GB2312" w:cs="DengXian-Regular"/>
          <w:sz w:val="32"/>
          <w:szCs w:val="32"/>
          <w:highlight w:val="none"/>
        </w:rPr>
        <w:t>切实压缩公务用车费用支出</w:t>
      </w:r>
      <w:r>
        <w:rPr>
          <w:rFonts w:hint="eastAsia" w:ascii="仿宋_GB2312" w:hAnsi="Times New Roman" w:eastAsia="仿宋_GB2312" w:cs="Wingdings"/>
          <w:sz w:val="32"/>
          <w:szCs w:val="32"/>
        </w:rPr>
        <w:t>。</w:t>
      </w:r>
    </w:p>
    <w:p>
      <w:pPr>
        <w:numPr>
          <w:ilvl w:val="0"/>
          <w:numId w:val="2"/>
        </w:numPr>
        <w:adjustRightInd w:val="0"/>
        <w:snapToGrid w:val="0"/>
        <w:spacing w:line="600" w:lineRule="exact"/>
        <w:ind w:firstLine="643" w:firstLineChars="200"/>
        <w:rPr>
          <w:rFonts w:hint="eastAsia" w:ascii="仿宋_GB2312" w:hAnsi="Times New Roman" w:eastAsia="仿宋_GB2312" w:cs="Wingdings"/>
          <w:sz w:val="32"/>
          <w:szCs w:val="32"/>
        </w:rPr>
      </w:pPr>
      <w:r>
        <w:rPr>
          <w:rFonts w:hint="eastAsia" w:ascii="楷体_GB2312" w:hAnsi="Times New Roman" w:eastAsia="楷体_GB2312" w:cs="Mongolian Baiti"/>
          <w:b/>
          <w:bCs/>
          <w:sz w:val="32"/>
          <w:szCs w:val="32"/>
        </w:rPr>
        <w:t>公务接待费</w:t>
      </w:r>
      <w:r>
        <w:rPr>
          <w:rFonts w:hint="eastAsia" w:ascii="楷体_GB2312" w:hAnsi="Times New Roman" w:eastAsia="楷体_GB2312" w:cs="Mongolian Baiti"/>
          <w:b/>
          <w:bCs/>
          <w:sz w:val="32"/>
          <w:szCs w:val="32"/>
          <w:lang w:val="en-US" w:eastAsia="zh-CN"/>
        </w:rPr>
        <w:t>0.05万元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0.05</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1</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8</w:t>
      </w:r>
      <w:r>
        <w:rPr>
          <w:rFonts w:hint="eastAsia" w:ascii="仿宋_GB2312" w:hAnsi="Times New Roman" w:eastAsia="仿宋_GB2312" w:cs="Wingdings"/>
          <w:sz w:val="32"/>
          <w:szCs w:val="32"/>
        </w:rPr>
        <w:t>人次。公务接待费支出较预算增加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与年初预算持平</w:t>
      </w:r>
      <w:r>
        <w:rPr>
          <w:rFonts w:hint="eastAsia" w:ascii="仿宋_GB2312" w:hAnsi="Times New Roman" w:eastAsia="仿宋_GB2312" w:cs="Wingdings"/>
          <w:sz w:val="32"/>
          <w:szCs w:val="32"/>
        </w:rPr>
        <w:t>；较上年度增加</w:t>
      </w:r>
      <w:r>
        <w:rPr>
          <w:rFonts w:hint="eastAsia" w:ascii="仿宋_GB2312" w:hAnsi="Times New Roman" w:eastAsia="仿宋_GB2312" w:cs="Wingdings"/>
          <w:sz w:val="32"/>
          <w:szCs w:val="32"/>
          <w:lang w:val="en-US" w:eastAsia="zh-CN"/>
        </w:rPr>
        <w:t>0.05</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val="en-US" w:eastAsia="zh-CN"/>
        </w:rPr>
        <w:t>2020年老干部局发生招待费用</w:t>
      </w:r>
      <w:r>
        <w:rPr>
          <w:rFonts w:hint="eastAsia" w:ascii="仿宋_GB2312" w:hAnsi="Times New Roman" w:eastAsia="仿宋_GB2312" w:cs="Wingdings"/>
          <w:sz w:val="32"/>
          <w:szCs w:val="32"/>
        </w:rPr>
        <w:t>。</w:t>
      </w:r>
    </w:p>
    <w:p>
      <w:pPr>
        <w:numPr>
          <w:ilvl w:val="0"/>
          <w:numId w:val="0"/>
        </w:numPr>
        <w:adjustRightInd w:val="0"/>
        <w:snapToGrid w:val="0"/>
        <w:spacing w:line="600" w:lineRule="exact"/>
        <w:rPr>
          <w:rFonts w:hint="eastAsia" w:ascii="仿宋_GB2312" w:hAnsi="Times New Roman" w:eastAsia="仿宋_GB2312" w:cs="Wingdings"/>
          <w:sz w:val="32"/>
          <w:szCs w:val="32"/>
        </w:rPr>
      </w:pP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根据预算绩效管理要求，本部门组织对2020年度项目支出全面开展绩效自评，其中，一般公共预算一级项目</w:t>
      </w:r>
      <w:r>
        <w:rPr>
          <w:rFonts w:hint="eastAsia" w:ascii="仿宋_GB2312" w:hAnsi="仿宋_GB2312" w:eastAsia="仿宋_GB2312" w:cs="仿宋_GB2312"/>
          <w:sz w:val="32"/>
          <w:szCs w:val="32"/>
          <w:lang w:val="en-US" w:eastAsia="zh-CN"/>
        </w:rPr>
        <w:t>40</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4049.39</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52.06%</w:t>
      </w:r>
      <w:r>
        <w:rPr>
          <w:rFonts w:hint="eastAsia" w:ascii="仿宋_GB2312" w:hAnsi="仿宋_GB2312" w:eastAsia="仿宋_GB2312" w:cs="仿宋_GB2312"/>
          <w:sz w:val="32"/>
          <w:szCs w:val="32"/>
        </w:rPr>
        <w:t>；政府性基金预算一级项目</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adjustRightInd w:val="0"/>
        <w:snapToGrid w:val="0"/>
        <w:spacing w:line="600" w:lineRule="exact"/>
        <w:ind w:firstLine="640" w:firstLineChars="200"/>
        <w:rPr>
          <w:rFonts w:hint="eastAsia"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val="en-US" w:eastAsia="zh-CN"/>
        </w:rPr>
        <w:t>驻村工作队经费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村干部基础职务补贴</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项目开展了部门评价，涉及一般公共预算支出</w:t>
      </w:r>
      <w:r>
        <w:rPr>
          <w:rFonts w:hint="eastAsia" w:ascii="仿宋_GB2312" w:hAnsi="仿宋_GB2312" w:eastAsia="仿宋_GB2312" w:cs="仿宋_GB2312"/>
          <w:sz w:val="32"/>
          <w:szCs w:val="32"/>
          <w:lang w:val="en-US" w:eastAsia="zh-CN"/>
        </w:rPr>
        <w:t>1185.12</w:t>
      </w:r>
      <w:r>
        <w:rPr>
          <w:rFonts w:hint="eastAsia" w:ascii="仿宋_GB2312" w:hAnsi="仿宋_GB2312" w:eastAsia="仿宋_GB2312" w:cs="仿宋_GB2312"/>
          <w:sz w:val="32"/>
          <w:szCs w:val="32"/>
        </w:rPr>
        <w:t>万元。从评价情况来看，</w:t>
      </w:r>
      <w:r>
        <w:rPr>
          <w:rFonts w:hint="eastAsia" w:ascii="仿宋_GB2312" w:hAnsi="Times New Roman" w:eastAsia="仿宋_GB2312" w:cs="DengXian-Regular"/>
          <w:sz w:val="32"/>
          <w:szCs w:val="32"/>
        </w:rPr>
        <w:t>评价设定评分为100分，绩效自评95分，绩效自评等级为“优”</w:t>
      </w:r>
      <w:r>
        <w:rPr>
          <w:rFonts w:hint="eastAsia" w:ascii="仿宋_GB2312" w:hAnsi="Times New Roman" w:eastAsia="仿宋_GB2312" w:cs="DengXian-Regular"/>
          <w:sz w:val="32"/>
          <w:szCs w:val="32"/>
          <w:lang w:eastAsia="zh-CN"/>
        </w:rPr>
        <w:t>。</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val="en-US" w:eastAsia="zh-CN"/>
        </w:rPr>
        <w:t>驻村工作队经费</w:t>
      </w:r>
      <w:r>
        <w:rPr>
          <w:rFonts w:hint="eastAsia" w:ascii="仿宋_GB2312" w:hAnsi="仿宋_GB2312" w:eastAsia="仿宋_GB2312" w:cs="仿宋_GB2312"/>
          <w:sz w:val="32"/>
          <w:szCs w:val="32"/>
        </w:rPr>
        <w:t>项目及</w:t>
      </w:r>
      <w:r>
        <w:rPr>
          <w:rFonts w:hint="eastAsia" w:ascii="仿宋_GB2312" w:hAnsi="仿宋_GB2312" w:eastAsia="仿宋_GB2312" w:cs="仿宋_GB2312"/>
          <w:sz w:val="32"/>
          <w:szCs w:val="32"/>
          <w:lang w:val="en-US" w:eastAsia="zh-CN"/>
        </w:rPr>
        <w:t>村干部基础职务补贴</w:t>
      </w:r>
      <w:r>
        <w:rPr>
          <w:rFonts w:hint="eastAsia" w:ascii="仿宋_GB2312" w:hAnsi="仿宋_GB2312" w:eastAsia="仿宋_GB2312" w:cs="仿宋_GB2312"/>
          <w:sz w:val="32"/>
          <w:szCs w:val="32"/>
        </w:rPr>
        <w:t>项目等</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个项目绩效自评结果。</w:t>
      </w:r>
    </w:p>
    <w:p>
      <w:pPr>
        <w:numPr>
          <w:ilvl w:val="0"/>
          <w:numId w:val="3"/>
        </w:num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驻村工作队经费</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val="en-US" w:eastAsia="zh-CN"/>
        </w:rPr>
        <w:t>驻村工作队经费</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全年预算数为</w:t>
      </w:r>
      <w:r>
        <w:rPr>
          <w:rFonts w:hint="eastAsia" w:ascii="仿宋_GB2312" w:hAnsi="仿宋_GB2312" w:eastAsia="仿宋_GB2312" w:cs="仿宋_GB2312"/>
          <w:sz w:val="32"/>
          <w:szCs w:val="32"/>
          <w:lang w:val="en-US" w:eastAsia="zh-CN"/>
        </w:rPr>
        <w:t>1176</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1176</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保障147个县驻村工作队的日常生活、开展日常工作、加大扶贫力度，从而推动我县扶贫脱贫工作顺利开展；二是为147个驻村工作队提供经费保障，确保工作队规范运行，发挥好工作队在精准扶贫精准脱贫中的重要作用，真正做到 “住得下、蹲得住、接地气、干实事”。发现的主要问题及原因：一是</w:t>
      </w:r>
      <w:r>
        <w:rPr>
          <w:rFonts w:hint="eastAsia" w:ascii="仿宋_GB2312" w:hAnsi="仿宋_GB2312" w:eastAsia="仿宋_GB2312" w:cs="仿宋_GB2312"/>
          <w:sz w:val="32"/>
          <w:szCs w:val="32"/>
          <w:lang w:val="en-US" w:eastAsia="zh-CN"/>
        </w:rPr>
        <w:t>驻村工作队员更换现象</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驻村工作队员驻村时间问题</w:t>
      </w:r>
      <w:r>
        <w:rPr>
          <w:rFonts w:hint="eastAsia" w:ascii="仿宋_GB2312" w:hAnsi="仿宋_GB2312" w:eastAsia="仿宋_GB2312" w:cs="仿宋_GB2312"/>
          <w:sz w:val="32"/>
          <w:szCs w:val="32"/>
        </w:rPr>
        <w:t>。下一步改进措施：一是</w:t>
      </w:r>
      <w:r>
        <w:rPr>
          <w:rFonts w:hint="eastAsia" w:ascii="仿宋_GB2312" w:hAnsi="仿宋_GB2312" w:eastAsia="仿宋_GB2312" w:cs="仿宋_GB2312"/>
          <w:sz w:val="32"/>
          <w:szCs w:val="32"/>
          <w:lang w:val="en-US" w:eastAsia="zh-CN"/>
        </w:rPr>
        <w:t>协调派驻单位</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加强对驻村工作队员的督导</w:t>
      </w:r>
      <w:r>
        <w:rPr>
          <w:rFonts w:hint="eastAsia" w:ascii="仿宋_GB2312" w:hAnsi="仿宋_GB2312" w:eastAsia="仿宋_GB2312" w:cs="仿宋_GB2312"/>
          <w:sz w:val="32"/>
          <w:szCs w:val="32"/>
        </w:rPr>
        <w:t>。</w:t>
      </w:r>
    </w:p>
    <w:p>
      <w:pPr>
        <w:numPr>
          <w:ilvl w:val="0"/>
          <w:numId w:val="3"/>
        </w:num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远程站点运行维护费</w:t>
      </w:r>
      <w:r>
        <w:rPr>
          <w:rFonts w:hint="eastAsia" w:ascii="仿宋_GB2312" w:hAnsi="仿宋_GB2312" w:eastAsia="仿宋_GB2312" w:cs="仿宋_GB2312"/>
          <w:sz w:val="32"/>
          <w:szCs w:val="32"/>
        </w:rPr>
        <w:t>项目绩效自评综述：根据年初设定的绩效目标，</w:t>
      </w:r>
      <w:r>
        <w:rPr>
          <w:rFonts w:hint="eastAsia" w:ascii="仿宋_GB2312" w:hAnsi="仿宋_GB2312" w:eastAsia="仿宋_GB2312" w:cs="仿宋_GB2312"/>
          <w:sz w:val="32"/>
          <w:szCs w:val="32"/>
          <w:lang w:val="en-US" w:eastAsia="zh-CN"/>
        </w:rPr>
        <w:t>远程站点运行维护费贴</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全年预算数为</w:t>
      </w:r>
      <w:r>
        <w:rPr>
          <w:rFonts w:hint="eastAsia" w:ascii="仿宋_GB2312" w:hAnsi="仿宋_GB2312" w:eastAsia="仿宋_GB2312" w:cs="仿宋_GB2312"/>
          <w:sz w:val="32"/>
          <w:szCs w:val="32"/>
          <w:lang w:val="en-US" w:eastAsia="zh-CN"/>
        </w:rPr>
        <w:t>9.12</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9.12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val="en-US" w:eastAsia="zh-CN"/>
        </w:rPr>
        <w:t>保障</w:t>
      </w:r>
      <w:r>
        <w:rPr>
          <w:rFonts w:hint="eastAsia" w:ascii="仿宋_GB2312" w:hAnsi="仿宋_GB2312" w:eastAsia="仿宋_GB2312" w:cs="仿宋_GB2312"/>
          <w:sz w:val="32"/>
          <w:szCs w:val="32"/>
        </w:rPr>
        <w:t>228个远程教育站点的运行维护；二是通过远程教育站点正常运行，保证全县“精准脱贫”驻村帮扶和“</w:t>
      </w:r>
      <w:r>
        <w:rPr>
          <w:rFonts w:hint="eastAsia" w:ascii="仿宋_GB2312" w:hAnsi="仿宋_GB2312" w:eastAsia="仿宋_GB2312" w:cs="仿宋_GB2312"/>
          <w:sz w:val="32"/>
          <w:szCs w:val="32"/>
          <w:lang w:val="en-US" w:eastAsia="zh-CN"/>
        </w:rPr>
        <w:t>不忘初心</w:t>
      </w:r>
      <w:r>
        <w:rPr>
          <w:rFonts w:hint="eastAsia" w:ascii="仿宋_GB2312" w:hAnsi="仿宋_GB2312" w:eastAsia="仿宋_GB2312" w:cs="仿宋_GB2312"/>
          <w:sz w:val="32"/>
          <w:szCs w:val="32"/>
        </w:rPr>
        <w:t>”学习教育以及县委节点重要工作的宣传报道顺利进行。发现的主要问题及原因：一是</w:t>
      </w:r>
      <w:r>
        <w:rPr>
          <w:rFonts w:hint="eastAsia" w:ascii="仿宋_GB2312" w:hAnsi="仿宋_GB2312" w:eastAsia="仿宋_GB2312" w:cs="仿宋_GB2312"/>
          <w:sz w:val="32"/>
          <w:szCs w:val="32"/>
          <w:lang w:val="en-US" w:eastAsia="zh-CN"/>
        </w:rPr>
        <w:t>站点增加问题</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站点不能充分利用问题</w:t>
      </w:r>
      <w:r>
        <w:rPr>
          <w:rFonts w:hint="eastAsia" w:ascii="仿宋_GB2312" w:hAnsi="仿宋_GB2312" w:eastAsia="仿宋_GB2312" w:cs="仿宋_GB2312"/>
          <w:sz w:val="32"/>
          <w:szCs w:val="32"/>
        </w:rPr>
        <w:t>。下一步改进措施：一是</w:t>
      </w:r>
      <w:r>
        <w:rPr>
          <w:rFonts w:hint="eastAsia" w:ascii="仿宋_GB2312" w:hAnsi="仿宋_GB2312" w:eastAsia="仿宋_GB2312" w:cs="仿宋_GB2312"/>
          <w:sz w:val="32"/>
          <w:szCs w:val="32"/>
          <w:lang w:val="en-US" w:eastAsia="zh-CN"/>
        </w:rPr>
        <w:t>实时关注，保障站点</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加强运行维护，保障运行畅通</w:t>
      </w:r>
      <w:r>
        <w:rPr>
          <w:rFonts w:hint="eastAsia" w:ascii="仿宋_GB2312" w:hAnsi="仿宋_GB2312" w:eastAsia="仿宋_GB2312" w:cs="仿宋_GB2312"/>
          <w:sz w:val="32"/>
          <w:szCs w:val="32"/>
        </w:rPr>
        <w:t>。</w:t>
      </w:r>
    </w:p>
    <w:p>
      <w:pPr>
        <w:numPr>
          <w:ilvl w:val="0"/>
          <w:numId w:val="0"/>
        </w:numPr>
        <w:adjustRightInd w:val="0"/>
        <w:snapToGrid w:val="0"/>
        <w:spacing w:line="600" w:lineRule="exact"/>
        <w:ind w:left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）财政评价项目绩效评价结果</w:t>
      </w:r>
    </w:p>
    <w:p>
      <w:pPr>
        <w:numPr>
          <w:ilvl w:val="0"/>
          <w:numId w:val="0"/>
        </w:numPr>
        <w:adjustRightInd w:val="0"/>
        <w:snapToGrid w:val="0"/>
        <w:spacing w:line="600" w:lineRule="exact"/>
        <w:ind w:leftChars="200"/>
        <w:rPr>
          <w:rFonts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我单位无财政评价项目。</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46.11</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4.53</w:t>
      </w:r>
      <w:r>
        <w:rPr>
          <w:rFonts w:hint="eastAsia" w:ascii="仿宋_GB2312" w:hAnsi="仿宋_GB2312" w:eastAsia="仿宋_GB2312" w:cs="仿宋_GB2312"/>
          <w:sz w:val="32"/>
          <w:szCs w:val="32"/>
        </w:rPr>
        <w:t>万元，降低</w:t>
      </w:r>
      <w:r>
        <w:rPr>
          <w:rFonts w:hint="eastAsia" w:ascii="仿宋_GB2312" w:hAnsi="Times New Roman" w:eastAsia="仿宋_GB2312" w:cs="Wingdings"/>
          <w:sz w:val="32"/>
          <w:szCs w:val="32"/>
          <w:lang w:val="en-US" w:eastAsia="zh-CN"/>
        </w:rPr>
        <w:t>8.95</w:t>
      </w:r>
      <w:r>
        <w:rPr>
          <w:rFonts w:hint="eastAsia" w:ascii="仿宋_GB2312" w:hAnsi="仿宋_GB2312" w:eastAsia="仿宋_GB2312" w:cs="仿宋_GB2312"/>
          <w:sz w:val="32"/>
          <w:szCs w:val="32"/>
        </w:rPr>
        <w:t>%。主要原因是</w:t>
      </w:r>
      <w:r>
        <w:rPr>
          <w:rFonts w:hint="eastAsia" w:ascii="仿宋_GB2312" w:hAnsi="Times New Roman" w:eastAsia="仿宋_GB2312" w:cs="DengXian-Regular"/>
          <w:sz w:val="32"/>
          <w:szCs w:val="32"/>
          <w:lang w:val="en-US" w:eastAsia="zh-CN"/>
        </w:rPr>
        <w:t>人员发生变动</w:t>
      </w:r>
      <w:r>
        <w:rPr>
          <w:rFonts w:hint="eastAsia" w:ascii="仿宋_GB2312" w:hAnsi="仿宋_GB2312" w:eastAsia="仿宋_GB2312" w:cs="仿宋_GB2312"/>
          <w:sz w:val="32"/>
          <w:szCs w:val="32"/>
        </w:rPr>
        <w:t>。比2019年度</w:t>
      </w:r>
      <w:r>
        <w:rPr>
          <w:rFonts w:hint="eastAsia" w:ascii="仿宋_GB2312" w:hAnsi="仿宋_GB2312" w:eastAsia="仿宋_GB2312" w:cs="仿宋_GB2312"/>
          <w:sz w:val="32"/>
          <w:szCs w:val="32"/>
          <w:lang w:val="en-US" w:eastAsia="zh-CN"/>
        </w:rPr>
        <w:t>减少15.25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减少24.85</w:t>
      </w:r>
      <w:r>
        <w:rPr>
          <w:rFonts w:hint="eastAsia" w:ascii="仿宋_GB2312" w:hAnsi="仿宋_GB2312" w:eastAsia="仿宋_GB2312" w:cs="仿宋_GB2312"/>
          <w:sz w:val="32"/>
          <w:szCs w:val="32"/>
        </w:rPr>
        <w:t>%。主要原因是</w:t>
      </w:r>
      <w:r>
        <w:rPr>
          <w:rFonts w:hint="eastAsia" w:ascii="仿宋_GB2312" w:hAnsi="Times New Roman" w:eastAsia="仿宋_GB2312" w:cs="DengXian-Regular"/>
          <w:sz w:val="32"/>
          <w:szCs w:val="32"/>
          <w:lang w:val="en-US" w:eastAsia="zh-CN"/>
        </w:rPr>
        <w:t>人员发生变动</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580" w:lineRule="exact"/>
        <w:ind w:firstLine="640" w:firstLineChars="200"/>
        <w:jc w:val="left"/>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年度政府采购支出总额</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keepNext/>
        <w:keepLines/>
        <w:snapToGrid w:val="0"/>
        <w:spacing w:line="600" w:lineRule="exact"/>
        <w:ind w:firstLine="640" w:firstLineChars="200"/>
        <w:outlineLvl w:val="2"/>
        <w:rPr>
          <w:rFonts w:hint="eastAsia"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w:t>
      </w:r>
      <w:r>
        <w:rPr>
          <w:rFonts w:hint="eastAsia" w:ascii="仿宋_GB2312" w:hAnsi="Times New Roman" w:eastAsia="仿宋_GB2312" w:cs="DengXian-Regular"/>
          <w:sz w:val="32"/>
          <w:szCs w:val="32"/>
          <w:lang w:val="en-US" w:eastAsia="zh-CN"/>
        </w:rPr>
        <w:t>20</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辆，主要是</w:t>
      </w:r>
      <w:r>
        <w:rPr>
          <w:rFonts w:hint="eastAsia" w:ascii="仿宋_GB2312" w:eastAsia="仿宋_GB2312" w:cs="DengXian-Regular"/>
          <w:sz w:val="32"/>
          <w:szCs w:val="32"/>
          <w:lang w:val="en-US" w:eastAsia="zh-CN"/>
        </w:rPr>
        <w:t>本单位本年度无公务用车购置</w:t>
      </w:r>
      <w:r>
        <w:rPr>
          <w:rFonts w:hint="eastAsia" w:ascii="仿宋_GB2312" w:hAnsi="Times New Roman" w:eastAsia="仿宋_GB2312" w:cs="DengXian-Regular"/>
          <w:sz w:val="32"/>
          <w:szCs w:val="32"/>
        </w:rPr>
        <w:t>。其中，</w:t>
      </w:r>
      <w:r>
        <w:rPr>
          <w:rFonts w:hint="eastAsia" w:ascii="仿宋_GB2312" w:eastAsia="仿宋_GB2312" w:cs="DengXian-Regular"/>
          <w:sz w:val="32"/>
          <w:szCs w:val="32"/>
        </w:rPr>
        <w:t>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w:t>
      </w:r>
      <w:r>
        <w:rPr>
          <w:rFonts w:hint="eastAsia" w:ascii="仿宋_GB2312" w:eastAsia="仿宋_GB2312" w:cs="DengXian-Regular"/>
          <w:sz w:val="32"/>
          <w:szCs w:val="32"/>
          <w:lang w:val="en-US" w:eastAsia="zh-CN"/>
        </w:rPr>
        <w:t>本单位无</w:t>
      </w:r>
      <w:r>
        <w:rPr>
          <w:rFonts w:hint="eastAsia" w:ascii="仿宋_GB2312" w:eastAsia="仿宋_GB2312" w:cs="DengXian-Regular"/>
          <w:sz w:val="32"/>
          <w:szCs w:val="32"/>
        </w:rPr>
        <w:t>其他用车</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套，主要是</w:t>
      </w:r>
      <w:r>
        <w:rPr>
          <w:rFonts w:hint="eastAsia" w:ascii="仿宋_GB2312" w:eastAsia="仿宋_GB2312" w:cs="DengXian-Regular"/>
          <w:sz w:val="32"/>
          <w:szCs w:val="32"/>
          <w:lang w:val="en-US" w:eastAsia="zh-CN"/>
        </w:rPr>
        <w:t>本单位无价值在50万元以上的通用设备</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套，</w:t>
      </w:r>
      <w:r>
        <w:rPr>
          <w:rFonts w:hint="eastAsia" w:ascii="仿宋_GB2312" w:hAnsi="Times New Roman" w:eastAsia="仿宋_GB2312" w:cs="DengXian-Regular"/>
          <w:sz w:val="32"/>
          <w:szCs w:val="32"/>
          <w:lang w:eastAsia="zh-CN"/>
        </w:rPr>
        <w:t>主要是</w:t>
      </w:r>
      <w:r>
        <w:rPr>
          <w:rFonts w:hint="eastAsia" w:ascii="仿宋_GB2312" w:eastAsia="仿宋_GB2312" w:cs="DengXian-Regular"/>
          <w:sz w:val="32"/>
          <w:szCs w:val="32"/>
          <w:lang w:val="en-US" w:eastAsia="zh-CN"/>
        </w:rPr>
        <w:t>本单位无价值在100万元以上的专用设备</w:t>
      </w:r>
      <w:r>
        <w:rPr>
          <w:rFonts w:hint="eastAsia" w:ascii="仿宋_GB2312" w:hAnsi="Times New Roman" w:eastAsia="仿宋_GB2312" w:cs="DengXian-Regular"/>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1</w:t>
      </w:r>
      <w:r>
        <w:rPr>
          <w:rFonts w:hint="eastAsia" w:ascii="仿宋_GB2312" w:eastAsia="仿宋_GB2312" w:cs="DengXian-Regular"/>
          <w:sz w:val="32"/>
          <w:szCs w:val="32"/>
        </w:rPr>
        <w:t>、本部门</w:t>
      </w:r>
      <w:r>
        <w:rPr>
          <w:rFonts w:ascii="仿宋_GB2312" w:eastAsia="仿宋_GB2312" w:cs="DengXian-Regular"/>
          <w:sz w:val="32"/>
          <w:szCs w:val="32"/>
        </w:rPr>
        <w:t>20</w:t>
      </w:r>
      <w:r>
        <w:rPr>
          <w:rFonts w:hint="eastAsia" w:ascii="仿宋_GB2312" w:eastAsia="仿宋_GB2312" w:cs="DengXian-Regular"/>
          <w:sz w:val="32"/>
          <w:szCs w:val="32"/>
          <w:lang w:val="en-US" w:eastAsia="zh-CN"/>
        </w:rPr>
        <w:t>20</w:t>
      </w:r>
      <w:r>
        <w:rPr>
          <w:rFonts w:hint="eastAsia" w:ascii="仿宋_GB2312" w:eastAsia="仿宋_GB2312" w:cs="DengXian-Regular"/>
          <w:sz w:val="32"/>
          <w:szCs w:val="32"/>
        </w:rPr>
        <w:t>年度</w:t>
      </w:r>
      <w:r>
        <w:rPr>
          <w:rFonts w:hint="eastAsia" w:ascii="仿宋_GB2312" w:hAnsi="Cambria" w:eastAsia="仿宋_GB2312" w:cs="ArialUnicodeMS"/>
          <w:kern w:val="0"/>
          <w:sz w:val="32"/>
          <w:szCs w:val="32"/>
          <w:lang w:eastAsia="zh-CN"/>
        </w:rPr>
        <w:t>无政府性基金财政拨款收入</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按照要求</w:t>
      </w:r>
      <w:r>
        <w:rPr>
          <w:rFonts w:hint="eastAsia" w:ascii="仿宋_GB2312" w:eastAsia="仿宋_GB2312" w:cs="DengXian-Regular"/>
          <w:sz w:val="32"/>
          <w:szCs w:val="32"/>
        </w:rPr>
        <w:t>以空表列示。</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lang w:val="en-US" w:eastAsia="zh-CN"/>
        </w:rPr>
        <w:t>2、本部门2020年度无</w:t>
      </w:r>
      <w:r>
        <w:rPr>
          <w:rFonts w:hint="eastAsia" w:ascii="仿宋_GB2312" w:hAnsi="Cambria" w:eastAsia="仿宋_GB2312" w:cs="ArialUnicodeMS"/>
          <w:kern w:val="0"/>
          <w:sz w:val="32"/>
          <w:szCs w:val="32"/>
          <w:lang w:eastAsia="zh-CN"/>
        </w:rPr>
        <w:t>国有资本经营预算财政拨款</w:t>
      </w:r>
      <w:r>
        <w:rPr>
          <w:rFonts w:hint="eastAsia" w:ascii="仿宋_GB2312" w:hAnsi="Cambria" w:eastAsia="仿宋_GB2312" w:cs="ArialUnicodeMS"/>
          <w:kern w:val="0"/>
          <w:sz w:val="32"/>
          <w:szCs w:val="32"/>
          <w:lang w:val="en-US" w:eastAsia="zh-CN"/>
        </w:rPr>
        <w:t>收入，按照要求</w:t>
      </w:r>
      <w:r>
        <w:rPr>
          <w:rFonts w:hint="eastAsia" w:ascii="仿宋_GB2312" w:eastAsia="仿宋_GB2312" w:cs="DengXian-Regular"/>
          <w:sz w:val="32"/>
          <w:szCs w:val="32"/>
        </w:rPr>
        <w:t>以空表列示</w:t>
      </w:r>
      <w:r>
        <w:rPr>
          <w:rFonts w:hint="eastAsia" w:ascii="仿宋_GB2312" w:eastAsia="仿宋_GB2312" w:cs="DengXian-Regular"/>
          <w:sz w:val="32"/>
          <w:szCs w:val="32"/>
          <w:lang w:eastAsia="zh-CN"/>
        </w:rPr>
        <w:t>。</w:t>
      </w:r>
    </w:p>
    <w:p>
      <w:pPr>
        <w:adjustRightInd w:val="0"/>
        <w:snapToGrid w:val="0"/>
        <w:spacing w:line="580" w:lineRule="exact"/>
        <w:ind w:firstLine="640" w:firstLineChars="200"/>
        <w:rPr>
          <w:rFonts w:ascii="宋体" w:hAnsi="宋体" w:eastAsia="宋体" w:cs="MS-UIGothic,Bold"/>
          <w:b/>
          <w:bCs/>
          <w:kern w:val="0"/>
          <w:sz w:val="44"/>
          <w:szCs w:val="44"/>
        </w:rPr>
        <w:sectPr>
          <w:pgSz w:w="11906" w:h="16838"/>
          <w:pgMar w:top="2098" w:right="1474" w:bottom="1984" w:left="1588" w:header="851" w:footer="992" w:gutter="0"/>
          <w:pgNumType w:fmt="numberInDash"/>
          <w:cols w:space="0" w:num="1"/>
          <w:docGrid w:type="lines" w:linePitch="312" w:charSpace="0"/>
        </w:sectPr>
      </w:pPr>
      <w:r>
        <w:rPr>
          <w:rFonts w:hint="eastAsia" w:ascii="仿宋_GB2312" w:hAnsi="Times New Roman" w:eastAsia="仿宋_GB2312" w:cs="DengXian-Regular"/>
          <w:sz w:val="32"/>
          <w:szCs w:val="32"/>
          <w:lang w:val="en-US" w:eastAsia="zh-CN"/>
        </w:rPr>
        <w:t>3</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focussize="0,0" r:id="rId14"/>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11"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rPr>
          <w:sz w:val="72"/>
        </w:rPr>
      </w:pPr>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focussize="0,0" r:id="rId15"/>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tabs>
          <w:tab w:val="left" w:pos="1580"/>
        </w:tabs>
        <w:bidi w:val="0"/>
        <w:jc w:val="left"/>
        <w:rPr>
          <w:rFonts w:hint="eastAsia"/>
          <w:lang w:val="en-US" w:eastAsia="zh-CN"/>
        </w:rPr>
      </w:pPr>
      <w:r>
        <w:rPr>
          <w:rFonts w:hint="eastAsia"/>
          <w:lang w:val="en-US" w:eastAsia="zh-CN"/>
        </w:rPr>
        <w:tab/>
      </w:r>
    </w:p>
    <w:p>
      <w:pPr>
        <w:tabs>
          <w:tab w:val="left" w:pos="1580"/>
        </w:tabs>
        <w:bidi w:val="0"/>
        <w:jc w:val="left"/>
        <w:rPr>
          <w:rFonts w:hint="eastAsia"/>
          <w:lang w:val="en-US" w:eastAsia="zh-CN"/>
        </w:rPr>
      </w:pPr>
      <w:r>
        <w:drawing>
          <wp:inline distT="0" distB="0" distL="114300" distR="114300">
            <wp:extent cx="5614035" cy="7312660"/>
            <wp:effectExtent l="0" t="0" r="5715" b="254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pic:cNvPicPr>
                      <a:picLocks noChangeAspect="1"/>
                    </pic:cNvPicPr>
                  </pic:nvPicPr>
                  <pic:blipFill>
                    <a:blip r:embed="rId16"/>
                    <a:stretch>
                      <a:fillRect/>
                    </a:stretch>
                  </pic:blipFill>
                  <pic:spPr>
                    <a:xfrm>
                      <a:off x="0" y="0"/>
                      <a:ext cx="5614035" cy="7312660"/>
                    </a:xfrm>
                    <a:prstGeom prst="rect">
                      <a:avLst/>
                    </a:prstGeom>
                    <a:noFill/>
                    <a:ln>
                      <a:noFill/>
                    </a:ln>
                  </pic:spPr>
                </pic:pic>
              </a:graphicData>
            </a:graphic>
          </wp:inline>
        </w:drawing>
      </w:r>
    </w:p>
    <w:p>
      <w:pPr>
        <w:tabs>
          <w:tab w:val="left" w:pos="1580"/>
        </w:tabs>
        <w:bidi w:val="0"/>
        <w:jc w:val="left"/>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pPr>
      <w:r>
        <w:drawing>
          <wp:inline distT="0" distB="0" distL="114300" distR="114300">
            <wp:extent cx="5605780" cy="7517130"/>
            <wp:effectExtent l="0" t="0" r="13970" b="762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pic:cNvPicPr>
                      <a:picLocks noChangeAspect="1"/>
                    </pic:cNvPicPr>
                  </pic:nvPicPr>
                  <pic:blipFill>
                    <a:blip r:embed="rId17"/>
                    <a:stretch>
                      <a:fillRect/>
                    </a:stretch>
                  </pic:blipFill>
                  <pic:spPr>
                    <a:xfrm>
                      <a:off x="0" y="0"/>
                      <a:ext cx="5605780" cy="7517130"/>
                    </a:xfrm>
                    <a:prstGeom prst="rect">
                      <a:avLst/>
                    </a:prstGeom>
                    <a:noFill/>
                    <a:ln>
                      <a:noFill/>
                    </a:ln>
                  </pic:spPr>
                </pic:pic>
              </a:graphicData>
            </a:graphic>
          </wp:inline>
        </w:drawing>
      </w:r>
    </w:p>
    <w:p>
      <w:pPr>
        <w:tabs>
          <w:tab w:val="left" w:pos="1580"/>
        </w:tabs>
        <w:bidi w:val="0"/>
        <w:jc w:val="left"/>
      </w:pPr>
    </w:p>
    <w:p>
      <w:pPr>
        <w:tabs>
          <w:tab w:val="left" w:pos="1580"/>
        </w:tabs>
        <w:bidi w:val="0"/>
        <w:jc w:val="left"/>
      </w:pPr>
    </w:p>
    <w:p>
      <w:pPr>
        <w:tabs>
          <w:tab w:val="left" w:pos="1580"/>
        </w:tabs>
        <w:bidi w:val="0"/>
        <w:jc w:val="left"/>
      </w:pPr>
      <w:r>
        <w:drawing>
          <wp:inline distT="0" distB="0" distL="114300" distR="114300">
            <wp:extent cx="5610860" cy="7147560"/>
            <wp:effectExtent l="0" t="0" r="8890" b="15240"/>
            <wp:docPr id="205"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4"/>
                    <pic:cNvPicPr>
                      <a:picLocks noChangeAspect="1"/>
                    </pic:cNvPicPr>
                  </pic:nvPicPr>
                  <pic:blipFill>
                    <a:blip r:embed="rId18"/>
                    <a:stretch>
                      <a:fillRect/>
                    </a:stretch>
                  </pic:blipFill>
                  <pic:spPr>
                    <a:xfrm>
                      <a:off x="0" y="0"/>
                      <a:ext cx="5610860" cy="7147560"/>
                    </a:xfrm>
                    <a:prstGeom prst="rect">
                      <a:avLst/>
                    </a:prstGeom>
                    <a:noFill/>
                    <a:ln>
                      <a:noFill/>
                    </a:ln>
                  </pic:spPr>
                </pic:pic>
              </a:graphicData>
            </a:graphic>
          </wp:inline>
        </w:drawing>
      </w: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r>
        <w:drawing>
          <wp:inline distT="0" distB="0" distL="114300" distR="114300">
            <wp:extent cx="5614670" cy="7488555"/>
            <wp:effectExtent l="0" t="0" r="5080" b="17145"/>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pic:cNvPicPr>
                      <a:picLocks noChangeAspect="1"/>
                    </pic:cNvPicPr>
                  </pic:nvPicPr>
                  <pic:blipFill>
                    <a:blip r:embed="rId19"/>
                    <a:stretch>
                      <a:fillRect/>
                    </a:stretch>
                  </pic:blipFill>
                  <pic:spPr>
                    <a:xfrm>
                      <a:off x="0" y="0"/>
                      <a:ext cx="5614670" cy="7488555"/>
                    </a:xfrm>
                    <a:prstGeom prst="rect">
                      <a:avLst/>
                    </a:prstGeom>
                    <a:noFill/>
                    <a:ln>
                      <a:noFill/>
                    </a:ln>
                  </pic:spPr>
                </pic:pic>
              </a:graphicData>
            </a:graphic>
          </wp:inline>
        </w:drawing>
      </w:r>
    </w:p>
    <w:p>
      <w:pPr>
        <w:tabs>
          <w:tab w:val="left" w:pos="1580"/>
        </w:tabs>
        <w:bidi w:val="0"/>
        <w:jc w:val="left"/>
      </w:pPr>
    </w:p>
    <w:p>
      <w:pPr>
        <w:tabs>
          <w:tab w:val="left" w:pos="1580"/>
        </w:tabs>
        <w:bidi w:val="0"/>
        <w:jc w:val="left"/>
      </w:pPr>
    </w:p>
    <w:p>
      <w:pPr>
        <w:tabs>
          <w:tab w:val="left" w:pos="1580"/>
        </w:tabs>
        <w:bidi w:val="0"/>
        <w:jc w:val="left"/>
        <w:sectPr>
          <w:type w:val="continuous"/>
          <w:pgSz w:w="11906" w:h="16838"/>
          <w:pgMar w:top="2098" w:right="1531" w:bottom="1984" w:left="1531" w:header="851" w:footer="992" w:gutter="0"/>
          <w:pgNumType w:fmt="numberInDash"/>
          <w:cols w:space="0" w:num="1"/>
          <w:titlePg/>
          <w:docGrid w:type="lines" w:linePitch="312" w:charSpace="0"/>
        </w:sectPr>
      </w:pPr>
      <w:r>
        <w:drawing>
          <wp:inline distT="0" distB="0" distL="114300" distR="114300">
            <wp:extent cx="5609590" cy="7399020"/>
            <wp:effectExtent l="0" t="0" r="10160" b="1143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pic:cNvPicPr>
                  </pic:nvPicPr>
                  <pic:blipFill>
                    <a:blip r:embed="rId20"/>
                    <a:stretch>
                      <a:fillRect/>
                    </a:stretch>
                  </pic:blipFill>
                  <pic:spPr>
                    <a:xfrm>
                      <a:off x="0" y="0"/>
                      <a:ext cx="5609590" cy="7399020"/>
                    </a:xfrm>
                    <a:prstGeom prst="rect">
                      <a:avLst/>
                    </a:prstGeom>
                    <a:noFill/>
                    <a:ln>
                      <a:noFill/>
                    </a:ln>
                  </pic:spPr>
                </pic:pic>
              </a:graphicData>
            </a:graphic>
          </wp:inline>
        </w:drawing>
      </w:r>
    </w:p>
    <w:p>
      <w:pPr>
        <w:tabs>
          <w:tab w:val="left" w:pos="1580"/>
        </w:tabs>
        <w:bidi w:val="0"/>
        <w:jc w:val="left"/>
      </w:pPr>
      <w:r>
        <w:drawing>
          <wp:inline distT="0" distB="0" distL="114300" distR="114300">
            <wp:extent cx="8418830" cy="5304790"/>
            <wp:effectExtent l="0" t="0" r="1270" b="10160"/>
            <wp:docPr id="206"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5"/>
                    <pic:cNvPicPr>
                      <a:picLocks noChangeAspect="1"/>
                    </pic:cNvPicPr>
                  </pic:nvPicPr>
                  <pic:blipFill>
                    <a:blip r:embed="rId21"/>
                    <a:stretch>
                      <a:fillRect/>
                    </a:stretch>
                  </pic:blipFill>
                  <pic:spPr>
                    <a:xfrm>
                      <a:off x="0" y="0"/>
                      <a:ext cx="8418830" cy="5304790"/>
                    </a:xfrm>
                    <a:prstGeom prst="rect">
                      <a:avLst/>
                    </a:prstGeom>
                    <a:noFill/>
                    <a:ln>
                      <a:noFill/>
                    </a:ln>
                  </pic:spPr>
                </pic:pic>
              </a:graphicData>
            </a:graphic>
          </wp:inline>
        </w:drawing>
      </w:r>
    </w:p>
    <w:p>
      <w:pPr>
        <w:tabs>
          <w:tab w:val="left" w:pos="1580"/>
        </w:tabs>
        <w:bidi w:val="0"/>
        <w:jc w:val="left"/>
        <w:sectPr>
          <w:pgSz w:w="16838" w:h="11906" w:orient="landscape"/>
          <w:pgMar w:top="1531" w:right="2098" w:bottom="1531" w:left="1984" w:header="851" w:footer="992" w:gutter="0"/>
          <w:pgNumType w:fmt="numberInDash"/>
          <w:cols w:space="0" w:num="1"/>
          <w:titlePg/>
          <w:docGrid w:type="lines" w:linePitch="312" w:charSpace="0"/>
        </w:sectPr>
      </w:pPr>
    </w:p>
    <w:p>
      <w:pPr>
        <w:tabs>
          <w:tab w:val="left" w:pos="1580"/>
        </w:tabs>
        <w:bidi w:val="0"/>
        <w:jc w:val="left"/>
      </w:pPr>
      <w:r>
        <w:drawing>
          <wp:inline distT="0" distB="0" distL="114300" distR="114300">
            <wp:extent cx="5607685" cy="2523490"/>
            <wp:effectExtent l="0" t="0" r="12065" b="10160"/>
            <wp:docPr id="201"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0"/>
                    <pic:cNvPicPr>
                      <a:picLocks noChangeAspect="1"/>
                    </pic:cNvPicPr>
                  </pic:nvPicPr>
                  <pic:blipFill>
                    <a:blip r:embed="rId22"/>
                    <a:stretch>
                      <a:fillRect/>
                    </a:stretch>
                  </pic:blipFill>
                  <pic:spPr>
                    <a:xfrm>
                      <a:off x="0" y="0"/>
                      <a:ext cx="5607685" cy="2523490"/>
                    </a:xfrm>
                    <a:prstGeom prst="rect">
                      <a:avLst/>
                    </a:prstGeom>
                    <a:noFill/>
                    <a:ln>
                      <a:noFill/>
                    </a:ln>
                  </pic:spPr>
                </pic:pic>
              </a:graphicData>
            </a:graphic>
          </wp:inline>
        </w:drawing>
      </w:r>
    </w:p>
    <w:p>
      <w:pPr>
        <w:tabs>
          <w:tab w:val="left" w:pos="1580"/>
        </w:tabs>
        <w:bidi w:val="0"/>
        <w:jc w:val="left"/>
      </w:pPr>
    </w:p>
    <w:p>
      <w:pPr>
        <w:tabs>
          <w:tab w:val="left" w:pos="1580"/>
        </w:tabs>
        <w:bidi w:val="0"/>
        <w:jc w:val="left"/>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rPr>
          <w:rFonts w:hint="eastAsia"/>
          <w:lang w:val="en-US" w:eastAsia="zh-CN"/>
        </w:rPr>
      </w:pPr>
    </w:p>
    <w:p>
      <w:pPr>
        <w:tabs>
          <w:tab w:val="left" w:pos="1580"/>
        </w:tabs>
        <w:bidi w:val="0"/>
        <w:jc w:val="left"/>
      </w:pPr>
      <w:r>
        <w:drawing>
          <wp:inline distT="0" distB="0" distL="114300" distR="114300">
            <wp:extent cx="5612130" cy="2746375"/>
            <wp:effectExtent l="0" t="0" r="7620" b="15875"/>
            <wp:docPr id="202"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1"/>
                    <pic:cNvPicPr>
                      <a:picLocks noChangeAspect="1"/>
                    </pic:cNvPicPr>
                  </pic:nvPicPr>
                  <pic:blipFill>
                    <a:blip r:embed="rId23"/>
                    <a:stretch>
                      <a:fillRect/>
                    </a:stretch>
                  </pic:blipFill>
                  <pic:spPr>
                    <a:xfrm>
                      <a:off x="0" y="0"/>
                      <a:ext cx="5612130" cy="2746375"/>
                    </a:xfrm>
                    <a:prstGeom prst="rect">
                      <a:avLst/>
                    </a:prstGeom>
                    <a:noFill/>
                    <a:ln>
                      <a:noFill/>
                    </a:ln>
                  </pic:spPr>
                </pic:pic>
              </a:graphicData>
            </a:graphic>
          </wp:inline>
        </w:drawing>
      </w: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pPr>
    </w:p>
    <w:p>
      <w:pPr>
        <w:tabs>
          <w:tab w:val="left" w:pos="1580"/>
        </w:tabs>
        <w:bidi w:val="0"/>
        <w:jc w:val="left"/>
        <w:sectPr>
          <w:pgSz w:w="11906" w:h="16838"/>
          <w:pgMar w:top="2098" w:right="1531" w:bottom="1984" w:left="1531" w:header="851" w:footer="992" w:gutter="0"/>
          <w:cols w:space="425" w:num="1"/>
          <w:docGrid w:type="lines" w:linePitch="312" w:charSpace="0"/>
        </w:sectPr>
      </w:pPr>
    </w:p>
    <w:p>
      <w:pPr>
        <w:rPr>
          <w:rFonts w:ascii="黑体" w:hAnsi="黑体" w:eastAsia="黑体" w:cs="黑体"/>
          <w:sz w:val="56"/>
          <w:szCs w:val="72"/>
        </w:rPr>
      </w:pPr>
      <w:r>
        <w:drawing>
          <wp:inline distT="0" distB="0" distL="114300" distR="114300">
            <wp:extent cx="5614035" cy="2714625"/>
            <wp:effectExtent l="0" t="0" r="5715" b="9525"/>
            <wp:docPr id="204"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03"/>
                    <pic:cNvPicPr>
                      <a:picLocks noChangeAspect="1"/>
                    </pic:cNvPicPr>
                  </pic:nvPicPr>
                  <pic:blipFill>
                    <a:blip r:embed="rId24"/>
                    <a:stretch>
                      <a:fillRect/>
                    </a:stretch>
                  </pic:blipFill>
                  <pic:spPr>
                    <a:xfrm>
                      <a:off x="0" y="0"/>
                      <a:ext cx="5614035" cy="2714625"/>
                    </a:xfrm>
                    <a:prstGeom prst="rect">
                      <a:avLst/>
                    </a:prstGeom>
                    <a:noFill/>
                    <a:ln>
                      <a:noFill/>
                    </a:ln>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sectPr>
          <w:pgSz w:w="11906" w:h="16838"/>
          <w:pgMar w:top="1984" w:right="1531" w:bottom="2098" w:left="1531" w:header="851" w:footer="992" w:gutter="0"/>
          <w:cols w:space="425" w:num="1"/>
          <w:docGrid w:type="lines" w:linePitch="312" w:charSpace="0"/>
        </w:sectPr>
      </w:pP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Arial Black">
    <w:panose1 w:val="020B0A04020102020204"/>
    <w:charset w:val="00"/>
    <w:family w:val="swiss"/>
    <w:pitch w:val="default"/>
    <w:sig w:usb0="A00002AF" w:usb1="400078FB" w:usb2="00000000" w:usb3="00000000" w:csb0="6000009F" w:csb1="DFD70000"/>
  </w:font>
  <w:font w:name="Cambria">
    <w:panose1 w:val="02040503050406030204"/>
    <w:charset w:val="00"/>
    <w:family w:val="roman"/>
    <w:pitch w:val="default"/>
    <w:sig w:usb0="E00006FF" w:usb1="420024FF" w:usb2="02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46BEDA1C"/>
    <w:multiLevelType w:val="singleLevel"/>
    <w:tmpl w:val="46BEDA1C"/>
    <w:lvl w:ilvl="0" w:tentative="0">
      <w:start w:val="3"/>
      <w:numFmt w:val="decimal"/>
      <w:lvlText w:val="%1."/>
      <w:lvlJc w:val="left"/>
      <w:pPr>
        <w:tabs>
          <w:tab w:val="left" w:pos="312"/>
        </w:tabs>
      </w:pPr>
    </w:lvl>
  </w:abstractNum>
  <w:abstractNum w:abstractNumId="2">
    <w:nsid w:val="5F222FFA"/>
    <w:multiLevelType w:val="singleLevel"/>
    <w:tmpl w:val="5F222FFA"/>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C4447E"/>
    <w:rsid w:val="00EE75CF"/>
    <w:rsid w:val="00FB14AD"/>
    <w:rsid w:val="02D67CC1"/>
    <w:rsid w:val="03105BD2"/>
    <w:rsid w:val="058B71E0"/>
    <w:rsid w:val="06256CDE"/>
    <w:rsid w:val="07B84D97"/>
    <w:rsid w:val="09796EB6"/>
    <w:rsid w:val="09B13B25"/>
    <w:rsid w:val="0A7B6EE1"/>
    <w:rsid w:val="0DC452E9"/>
    <w:rsid w:val="0E074813"/>
    <w:rsid w:val="0E3B53C5"/>
    <w:rsid w:val="0EA325C9"/>
    <w:rsid w:val="0EB74960"/>
    <w:rsid w:val="11131A67"/>
    <w:rsid w:val="14CD5634"/>
    <w:rsid w:val="16134610"/>
    <w:rsid w:val="169513C2"/>
    <w:rsid w:val="16E0606B"/>
    <w:rsid w:val="16FA6C9B"/>
    <w:rsid w:val="172B1D6F"/>
    <w:rsid w:val="1851040E"/>
    <w:rsid w:val="1A5963A4"/>
    <w:rsid w:val="1ABB52CE"/>
    <w:rsid w:val="1C157763"/>
    <w:rsid w:val="1D6269C8"/>
    <w:rsid w:val="1D6E134A"/>
    <w:rsid w:val="1DCC731B"/>
    <w:rsid w:val="1F6E23E8"/>
    <w:rsid w:val="22373E39"/>
    <w:rsid w:val="24541DD6"/>
    <w:rsid w:val="25A2047F"/>
    <w:rsid w:val="268A11DA"/>
    <w:rsid w:val="27D26086"/>
    <w:rsid w:val="29CF46A2"/>
    <w:rsid w:val="2B494CC3"/>
    <w:rsid w:val="2D781FE9"/>
    <w:rsid w:val="2F07462D"/>
    <w:rsid w:val="2FB96948"/>
    <w:rsid w:val="312E4117"/>
    <w:rsid w:val="32DD7418"/>
    <w:rsid w:val="341934F3"/>
    <w:rsid w:val="34412A65"/>
    <w:rsid w:val="349F5026"/>
    <w:rsid w:val="34A2542D"/>
    <w:rsid w:val="34C45458"/>
    <w:rsid w:val="34C50BE8"/>
    <w:rsid w:val="352B00AB"/>
    <w:rsid w:val="35C83C42"/>
    <w:rsid w:val="35E045F5"/>
    <w:rsid w:val="366106F1"/>
    <w:rsid w:val="36D96F4B"/>
    <w:rsid w:val="37A26AC5"/>
    <w:rsid w:val="38751F29"/>
    <w:rsid w:val="39274BB8"/>
    <w:rsid w:val="3A2E74F9"/>
    <w:rsid w:val="3AE65996"/>
    <w:rsid w:val="3BD10487"/>
    <w:rsid w:val="3BD30F8D"/>
    <w:rsid w:val="3C34573A"/>
    <w:rsid w:val="3D146EE2"/>
    <w:rsid w:val="3DA21C7E"/>
    <w:rsid w:val="3E0D073E"/>
    <w:rsid w:val="3F696B98"/>
    <w:rsid w:val="3F7C7842"/>
    <w:rsid w:val="41F12A49"/>
    <w:rsid w:val="41F40C6A"/>
    <w:rsid w:val="43394935"/>
    <w:rsid w:val="43871348"/>
    <w:rsid w:val="4388046A"/>
    <w:rsid w:val="44997EF2"/>
    <w:rsid w:val="45467EF8"/>
    <w:rsid w:val="4624097D"/>
    <w:rsid w:val="464B0AC5"/>
    <w:rsid w:val="47BD730C"/>
    <w:rsid w:val="47C86B2A"/>
    <w:rsid w:val="4847091D"/>
    <w:rsid w:val="49460D4D"/>
    <w:rsid w:val="4BE56DC3"/>
    <w:rsid w:val="4C0223AC"/>
    <w:rsid w:val="50657214"/>
    <w:rsid w:val="52296FC0"/>
    <w:rsid w:val="5265765D"/>
    <w:rsid w:val="54887D3E"/>
    <w:rsid w:val="5495010A"/>
    <w:rsid w:val="56AE1BA4"/>
    <w:rsid w:val="571579A3"/>
    <w:rsid w:val="57C75169"/>
    <w:rsid w:val="5827222A"/>
    <w:rsid w:val="59B1780B"/>
    <w:rsid w:val="5D0C63C4"/>
    <w:rsid w:val="5DAA3367"/>
    <w:rsid w:val="625F129E"/>
    <w:rsid w:val="674B371B"/>
    <w:rsid w:val="683C1D93"/>
    <w:rsid w:val="688D1D27"/>
    <w:rsid w:val="6C8751BC"/>
    <w:rsid w:val="6D1B59F3"/>
    <w:rsid w:val="7020333C"/>
    <w:rsid w:val="73D824BD"/>
    <w:rsid w:val="742D2362"/>
    <w:rsid w:val="77BE590F"/>
    <w:rsid w:val="7B793058"/>
    <w:rsid w:val="7D335AA1"/>
    <w:rsid w:val="7D805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6">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2.emf"/><Relationship Id="rId23" Type="http://schemas.openxmlformats.org/officeDocument/2006/relationships/image" Target="media/image11.emf"/><Relationship Id="rId22" Type="http://schemas.openxmlformats.org/officeDocument/2006/relationships/image" Target="media/image10.emf"/><Relationship Id="rId21" Type="http://schemas.openxmlformats.org/officeDocument/2006/relationships/image" Target="media/image9.emf"/><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image" Target="media/image6.emf"/><Relationship Id="rId17" Type="http://schemas.openxmlformats.org/officeDocument/2006/relationships/image" Target="media/image5.emf"/><Relationship Id="rId16" Type="http://schemas.openxmlformats.org/officeDocument/2006/relationships/image" Target="media/image4.emf"/><Relationship Id="rId15" Type="http://schemas.openxmlformats.org/officeDocument/2006/relationships/image" Target="media/image3.bmp"/><Relationship Id="rId14" Type="http://schemas.openxmlformats.org/officeDocument/2006/relationships/image" Target="media/image2.GIF"/><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29"/>
    <customShpInfo spid="_x0000_s1030"/>
    <customShpInfo spid="_x0000_s1031"/>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6121</Words>
  <Characters>6713</Characters>
  <Lines>82</Lines>
  <Paragraphs>23</Paragraphs>
  <TotalTime>2</TotalTime>
  <ScaleCrop>false</ScaleCrop>
  <LinksUpToDate>false</LinksUpToDate>
  <CharactersWithSpaces>6743</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2025-04-02T06:20:19Z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65FA352BAB5146309CB066C800874C19</vt:lpwstr>
  </property>
</Properties>
</file>