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808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-3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-3"/>
          <w:kern w:val="0"/>
          <w:sz w:val="44"/>
          <w:szCs w:val="44"/>
          <w:lang w:val="en-US" w:eastAsia="zh-CN"/>
        </w:rPr>
        <w:t>阜平县城南庄镇</w:t>
      </w:r>
    </w:p>
    <w:p w14:paraId="5A4515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-3"/>
          <w:kern w:val="0"/>
          <w:sz w:val="44"/>
          <w:szCs w:val="44"/>
          <w:lang w:val="en-US" w:eastAsia="zh-CN"/>
        </w:rPr>
        <w:t>马兰村、后庄村、福子峪村村庄规划</w:t>
      </w: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  <w:t>批后公告</w:t>
      </w:r>
    </w:p>
    <w:p w14:paraId="01333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 w:val="0"/>
          <w:sz w:val="28"/>
          <w:szCs w:val="28"/>
          <w:lang w:val="en-US" w:eastAsia="zh-CN" w:bidi="ar-SA"/>
        </w:rPr>
      </w:pPr>
    </w:p>
    <w:p w14:paraId="32245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sz w:val="32"/>
          <w:szCs w:val="32"/>
          <w:lang w:val="en-US" w:eastAsia="zh-CN" w:bidi="ar-SA"/>
        </w:rPr>
        <w:t>为贯彻落实省委、省政府推进乡村振兴战略的工作部署，加快编制“多规合一”的实用性村庄规划，根据《中共中央国务院关于建立国土空间规划体系并监督实施的若干意见》、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sz w:val="32"/>
          <w:szCs w:val="32"/>
          <w:lang w:val="zh-CN" w:eastAsia="zh-CN" w:bidi="ar-SA"/>
        </w:rPr>
        <w:t>《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zh-CN" w:eastAsia="zh-CN" w:bidi="ar-SA"/>
        </w:rPr>
        <w:t>河北省村庄规划编制导则》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等有关文件要求，依据《阜平县国土空间总体规划（2021-2035年）》和《阜平县城南庄镇国土空间总体规划（2021-2035年）》，结合村庄的实际情况，我镇统一组织编制完成镇域内马兰村、后庄村、福子峪村3个行政村村庄规划，上述规划已获阜平县人民政府正式批复，现予以公告。</w:t>
      </w:r>
    </w:p>
    <w:p w14:paraId="067911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hint="eastAsia" w:ascii="黑体" w:hAnsi="黑体" w:eastAsia="黑体" w:cs="黑体"/>
          <w:spacing w:val="-2"/>
          <w:sz w:val="32"/>
          <w:szCs w:val="32"/>
        </w:rPr>
      </w:pPr>
      <w:r>
        <w:rPr>
          <w:rFonts w:hint="eastAsia" w:ascii="黑体" w:hAnsi="黑体" w:eastAsia="黑体" w:cs="黑体"/>
          <w:spacing w:val="-2"/>
          <w:sz w:val="32"/>
          <w:szCs w:val="32"/>
        </w:rPr>
        <w:t>一、规划范围和规划期限</w:t>
      </w:r>
    </w:p>
    <w:p w14:paraId="085A5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（一）规划范围</w:t>
      </w:r>
    </w:p>
    <w:p w14:paraId="327D7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  <w:t>本次村庄规划范围为福子峪村村域全部国土空间。</w:t>
      </w:r>
    </w:p>
    <w:p w14:paraId="51CC2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（二）规划期限</w:t>
      </w:r>
    </w:p>
    <w:p w14:paraId="26F33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本次村庄规划期限为2021-2035年，近期至2030年，远期至2035年。</w:t>
      </w:r>
    </w:p>
    <w:p w14:paraId="4DC76A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hint="default" w:ascii="黑体" w:hAnsi="黑体" w:eastAsia="黑体" w:cs="黑体"/>
          <w:spacing w:val="-2"/>
          <w:sz w:val="32"/>
          <w:szCs w:val="32"/>
        </w:rPr>
      </w:pPr>
      <w:r>
        <w:rPr>
          <w:rFonts w:hint="default" w:ascii="黑体" w:hAnsi="黑体" w:eastAsia="黑体" w:cs="黑体"/>
          <w:spacing w:val="-2"/>
          <w:sz w:val="32"/>
          <w:szCs w:val="32"/>
        </w:rPr>
        <w:t>二、规划目标</w:t>
      </w:r>
    </w:p>
    <w:p w14:paraId="58262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  <w:t>将福子峪村村庄发展定位为：以特色农业为基础，生态旅游业为特色的集聚提升类村庄。</w:t>
      </w:r>
    </w:p>
    <w:p w14:paraId="5C110D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hint="default" w:ascii="黑体" w:hAnsi="黑体" w:eastAsia="黑体" w:cs="黑体"/>
          <w:spacing w:val="-2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pacing w:val="-2"/>
          <w:sz w:val="32"/>
          <w:szCs w:val="32"/>
          <w:lang w:val="en-US" w:eastAsia="zh-CN"/>
        </w:rPr>
        <w:t>三、国土空间布局</w:t>
      </w:r>
    </w:p>
    <w:p w14:paraId="122BB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（一）落实三条控制线</w:t>
      </w:r>
    </w:p>
    <w:p w14:paraId="5FDA8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筑牢国土空间底线，到2035年，落实上位规划确定的耕地保有量，落实永久基本农田保护红线；落实上位规划确定的生态保护红线；不涉及城镇开发边界。落实上位规划确定的村庄建设边界。</w:t>
      </w:r>
    </w:p>
    <w:p w14:paraId="3D556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（二）产业布局</w:t>
      </w:r>
    </w:p>
    <w:p w14:paraId="081D0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规划以村庄主路为旅游发展轴线，整体上形成“一轴四区”的产业布局结构。</w:t>
      </w:r>
    </w:p>
    <w:p w14:paraId="2A7F8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“一轴”是指320县道（阜上线）形成的村庄产业发展轴线；</w:t>
      </w:r>
    </w:p>
    <w:p w14:paraId="6F519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“四区”是指村域内由位置及功能的不同，形成的村庄综合服务区、特色林果种植区、高效农业种植区和生态观光旅游区。</w:t>
      </w:r>
    </w:p>
    <w:p w14:paraId="2DB0B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村庄综合服务区：主要位于村域北部，通过村庄规划建设，人居环境整治，完善基础设施以及公共服务设施配套，打造环境优美、干净整洁的生态宜居村庄。</w:t>
      </w:r>
    </w:p>
    <w:p w14:paraId="47CA7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特色林果种植区：主要位于村域西部，通过政策引导、资金扶持、科技服务等有效措施，引导广大农户积极种植优质特色林果，培育形成特色林果种植基地。发展林果种植与林下经济，依托现有牛羊养殖合作社，规模化发展养殖业。</w:t>
      </w:r>
    </w:p>
    <w:p w14:paraId="2B87C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高效农业种植区：主要位于村域西部，强化农业基础，大力发展高效农业、生态农业，优化农业结构，加快农业产业化步伐；延伸产业链条，加强技术改造，提升传统产业，扩充产业体系，培育新兴产业。</w:t>
      </w:r>
    </w:p>
    <w:p w14:paraId="3BB84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生态观光旅游区：主要位于村域中部，以垂钓园为基础，打造系列度假产品、休闲产品、体验产品组团。重点发展家庭度假、旅游观光等，打造“生态观光旅游”。充分发挥旅游资源优势，大力发展旅游产业，构建完整的旅游产业链体系。</w:t>
      </w:r>
    </w:p>
    <w:p w14:paraId="49FB6A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hint="default" w:ascii="黑体" w:hAnsi="黑体" w:eastAsia="黑体" w:cs="黑体"/>
          <w:spacing w:val="-2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spacing w:val="-2"/>
          <w:sz w:val="32"/>
          <w:szCs w:val="32"/>
        </w:rPr>
        <w:t>四、</w:t>
      </w:r>
      <w:r>
        <w:rPr>
          <w:rFonts w:hint="default" w:ascii="黑体" w:hAnsi="黑体" w:eastAsia="黑体" w:cs="黑体"/>
          <w:spacing w:val="-2"/>
          <w:sz w:val="32"/>
          <w:szCs w:val="32"/>
          <w:lang w:val="en-US" w:eastAsia="zh-CN"/>
        </w:rPr>
        <w:t>专项统筹</w:t>
      </w:r>
    </w:p>
    <w:p w14:paraId="5AB5F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（一）公共服务设施布局</w:t>
      </w:r>
    </w:p>
    <w:p w14:paraId="783DF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  <w:t>按照集中共享按需配建原则，统筹考虑村庄人口规模、社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  <w:t>区生活圈和村民实际需求等因素，合理布局文化教育、体育健身、医疗卫生、福利养老等各类公共服务设施，明确设施位置、规模和服务范围。</w:t>
      </w:r>
    </w:p>
    <w:p w14:paraId="27018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（二）道路交通和公用设施布局</w:t>
      </w:r>
    </w:p>
    <w:p w14:paraId="10A8B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  <w:t>道路交通：落实上位规划确定的区域交通设施。完善村庄道路交通体系，以现状为基础，顺应现有村庄格局，优化村庄道路布局，明确道路宽度、断面形式及建设标准。</w:t>
      </w:r>
    </w:p>
    <w:p w14:paraId="59CFF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  <w:t>公用设施：落实上位规划确定的各项公用设施，明确各项工程的来源、设施布局、建设标准等。</w:t>
      </w:r>
    </w:p>
    <w:p w14:paraId="05C35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（三）安全防灾</w:t>
      </w:r>
    </w:p>
    <w:p w14:paraId="602D5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  <w:t>落实上位规划确定的消防、抗震、防洪排涝、地质灾害等主要灾害设防标准。完善综合风险防控与应急响应体系，提升生命线安全监控和抗灾能力，增强应急供应和快速恢复韧性。严格执行防灾减灾标准，健全防灾减灾救灾设施。</w:t>
      </w:r>
    </w:p>
    <w:p w14:paraId="13F6D6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hint="default" w:ascii="黑体" w:hAnsi="黑体" w:eastAsia="黑体" w:cs="黑体"/>
          <w:spacing w:val="-2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pacing w:val="-2"/>
          <w:sz w:val="32"/>
          <w:szCs w:val="32"/>
          <w:lang w:val="en-US" w:eastAsia="zh-CN"/>
        </w:rPr>
        <w:t>五、居民点建设管控</w:t>
      </w:r>
    </w:p>
    <w:p w14:paraId="2AE09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农村宅基地的建筑密度、高度、建筑退让距离、日照间距等规划管控指标应参照《城市居住区规划设计标准》（GB50180-2018）、《阜平县农村宅基地管理实施细则》（试行）综合确定。农村社区服务设施、产业用地、公共建筑等其它建设用地的容积率、建筑密度、高度等控制指标参照《河北省建设用地使用标准》(冀自然资发[2024]3号)以及当地城乡规划管理技术规定。</w:t>
      </w:r>
    </w:p>
    <w:p w14:paraId="1BBD10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hint="default" w:ascii="黑体" w:hAnsi="黑体" w:eastAsia="黑体" w:cs="黑体"/>
          <w:spacing w:val="-2"/>
          <w:sz w:val="32"/>
          <w:szCs w:val="32"/>
        </w:rPr>
      </w:pPr>
      <w:r>
        <w:rPr>
          <w:rFonts w:hint="default" w:ascii="黑体" w:hAnsi="黑体" w:eastAsia="黑体" w:cs="黑体"/>
          <w:spacing w:val="-2"/>
          <w:sz w:val="32"/>
          <w:szCs w:val="32"/>
          <w:lang w:val="en-US" w:eastAsia="zh-CN"/>
        </w:rPr>
        <w:t>六、</w:t>
      </w:r>
      <w:r>
        <w:rPr>
          <w:rFonts w:hint="default" w:ascii="黑体" w:hAnsi="黑体" w:eastAsia="黑体" w:cs="黑体"/>
          <w:spacing w:val="-2"/>
          <w:sz w:val="32"/>
          <w:szCs w:val="32"/>
        </w:rPr>
        <w:t>实施保障</w:t>
      </w:r>
    </w:p>
    <w:p w14:paraId="376E0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  <w:t>加强规划对土地利用的整体控制，健全规划实施管理制度，强化经济激励约束措施，完善规划基础建设，确保规划目标的实现。</w:t>
      </w:r>
    </w:p>
    <w:p w14:paraId="43B91F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hint="default" w:ascii="黑体" w:hAnsi="黑体" w:eastAsia="黑体" w:cs="黑体"/>
          <w:spacing w:val="-2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pacing w:val="-2"/>
          <w:sz w:val="32"/>
          <w:szCs w:val="32"/>
          <w:lang w:val="en-US" w:eastAsia="zh-CN"/>
        </w:rPr>
        <w:t>七、附图</w:t>
      </w:r>
    </w:p>
    <w:p w14:paraId="70FE52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175260</wp:posOffset>
            </wp:positionV>
            <wp:extent cx="5267960" cy="3721735"/>
            <wp:effectExtent l="0" t="0" r="8890" b="12065"/>
            <wp:wrapNone/>
            <wp:docPr id="1" name="图片 1" descr="福子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福子峪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445C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593B24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532D00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6B7F17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21FB6E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4A23B0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77A79F4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58A740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3F5B92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3CB6AF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351678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-30480</wp:posOffset>
            </wp:positionV>
            <wp:extent cx="5234940" cy="3698240"/>
            <wp:effectExtent l="0" t="0" r="3810" b="16510"/>
            <wp:wrapNone/>
            <wp:docPr id="2" name="图片 2" descr="05-村域产业布局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5-村域产业布局规划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1058B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0A22B5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3318DA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784AE8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3D3342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613CFB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285842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19B4CC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5AB29D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0235F9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67DAC2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266700</wp:posOffset>
            </wp:positionV>
            <wp:extent cx="5234940" cy="3698240"/>
            <wp:effectExtent l="0" t="0" r="3810" b="16510"/>
            <wp:wrapNone/>
            <wp:docPr id="3" name="图片 3" descr="11-农村居民点建设总平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1-农村居民点建设总平图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E064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3E9D44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3FD271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4ACBCA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6A3277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5D836F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54105D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6546FB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20F08C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73002B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1BBA5D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  <w:drawing>
          <wp:anchor distT="0" distB="0" distL="114935" distR="114935" simplePos="0" relativeHeight="251662336" behindDoc="0" locked="0" layoutInCell="1" allowOverlap="1">
            <wp:simplePos x="0" y="0"/>
            <wp:positionH relativeFrom="column">
              <wp:posOffset>216535</wp:posOffset>
            </wp:positionH>
            <wp:positionV relativeFrom="paragraph">
              <wp:posOffset>71120</wp:posOffset>
            </wp:positionV>
            <wp:extent cx="5234940" cy="3698240"/>
            <wp:effectExtent l="0" t="0" r="3810" b="16510"/>
            <wp:wrapNone/>
            <wp:docPr id="4" name="图片 4" descr="12-农村居民点基础设施规划图-道路交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2-农村居民点基础设施规划图-道路交通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A1C4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6CACED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0B5FF6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302F8F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70E7B1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70F9B6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7E7666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066D17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1A863A9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36FA53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62C22B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6ED686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3A2F5F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48CCC2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009A3E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1DDB9C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251BED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19F2EF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2ACB91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p w14:paraId="6E0936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outlineLvl w:val="0"/>
        <w:rPr>
          <w:rFonts w:hint="default" w:ascii="黑体" w:hAnsi="黑体" w:eastAsia="黑体" w:cs="黑体"/>
          <w:spacing w:val="-2"/>
          <w:sz w:val="28"/>
          <w:szCs w:val="28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E161B43-727F-4478-B7D4-76288C3C4C7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470408D-19C9-4987-BF6B-1DB87120B19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B4B3286-5144-47D1-9743-1ABAC24C9F12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A620B50-B9AC-4BAC-A729-810CFC0CF8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38B8C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B44F04">
                          <w:pPr>
                            <w:pStyle w:val="6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B44F04">
                    <w:pPr>
                      <w:pStyle w:val="6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CC2E99"/>
    <w:rsid w:val="0129164F"/>
    <w:rsid w:val="092C73F6"/>
    <w:rsid w:val="0B2D1DD2"/>
    <w:rsid w:val="0F4C4A6F"/>
    <w:rsid w:val="13916786"/>
    <w:rsid w:val="19CC2E99"/>
    <w:rsid w:val="1A9E4D00"/>
    <w:rsid w:val="28402B13"/>
    <w:rsid w:val="34DB108A"/>
    <w:rsid w:val="354B5E43"/>
    <w:rsid w:val="36AF77A3"/>
    <w:rsid w:val="39845D3B"/>
    <w:rsid w:val="3AAB5610"/>
    <w:rsid w:val="4B38529B"/>
    <w:rsid w:val="501F4EBC"/>
    <w:rsid w:val="64F12834"/>
    <w:rsid w:val="6A610835"/>
    <w:rsid w:val="71AE623E"/>
    <w:rsid w:val="7641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75" w:beforeLines="75" w:after="75" w:afterLines="75" w:line="240" w:lineRule="auto"/>
      <w:jc w:val="left"/>
      <w:outlineLvl w:val="1"/>
    </w:pPr>
    <w:rPr>
      <w:rFonts w:ascii="黑体" w:hAnsi="黑体" w:eastAsia="黑体" w:cs="黑体"/>
      <w:bCs/>
      <w:snapToGrid w:val="0"/>
      <w:color w:val="000000"/>
      <w:sz w:val="32"/>
      <w:szCs w:val="32"/>
      <w:lang w:eastAsia="en-US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560" w:lineRule="exact"/>
      <w:ind w:firstLine="0" w:firstLineChars="0"/>
      <w:jc w:val="center"/>
      <w:outlineLvl w:val="1"/>
    </w:pPr>
    <w:rPr>
      <w:rFonts w:eastAsia="黑体"/>
      <w:b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customStyle="1" w:styleId="5">
    <w:name w:val="_Style 2"/>
    <w:basedOn w:val="1"/>
    <w:next w:val="1"/>
    <w:qFormat/>
    <w:uiPriority w:val="99"/>
    <w:pPr>
      <w:ind w:firstLine="420" w:firstLine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1517</Words>
  <Characters>1569</Characters>
  <Lines>0</Lines>
  <Paragraphs>0</Paragraphs>
  <TotalTime>6</TotalTime>
  <ScaleCrop>false</ScaleCrop>
  <LinksUpToDate>false</LinksUpToDate>
  <CharactersWithSpaces>1569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2026-07-02T03:23:00Z</dcterms:created>
  <dc:creator>WPS_1648795967</dc:creator>
  <cp:lastModifiedBy>咕噜咕噜</cp:lastModifiedBy>
  <dcterms:modified xsi:type="dcterms:W3CDTF">2026-07-10T06:51:43Z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333C478B7CA34E2788173F94FD4DD88A_11</vt:lpwstr>
  </property>
  <property fmtid="{D5CDD505-2E9C-101B-9397-08002B2CF9AE}" pid="4" name="KSOTemplateDocerSaveRecord">
    <vt:lpwstr>eyJoZGlkIjoiMjFhODM0NTdjYmIzMTRkZDRmNjgyZDhlYjQzNDk1YTIiLCJ1c2VySWQiOiIxODYxNTg2ODk3In0=</vt:lpwstr>
  </property>
</Properties>
</file>