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560"/>
      </w:pPr>
    </w:p>
    <w:p>
      <w:pPr>
        <w:spacing w:line="240" w:lineRule="auto"/>
        <w:ind w:firstLine="560"/>
      </w:pPr>
    </w:p>
    <w:p>
      <w:pPr>
        <w:spacing w:line="240" w:lineRule="auto"/>
        <w:ind w:firstLine="560"/>
      </w:pPr>
    </w:p>
    <w:p>
      <w:pPr>
        <w:spacing w:line="240" w:lineRule="auto"/>
        <w:ind w:firstLine="560"/>
      </w:pPr>
    </w:p>
    <w:p>
      <w:pPr>
        <w:spacing w:line="240" w:lineRule="auto"/>
        <w:ind w:firstLine="560"/>
      </w:pPr>
    </w:p>
    <w:p>
      <w:pPr>
        <w:spacing w:line="240" w:lineRule="auto"/>
        <w:ind w:firstLine="181" w:firstLineChars="41"/>
        <w:jc w:val="center"/>
        <w:rPr>
          <w:rFonts w:ascii="方正小标宋简体" w:eastAsia="方正小标宋简体"/>
          <w:b/>
          <w:color w:val="auto"/>
          <w:sz w:val="44"/>
          <w:szCs w:val="44"/>
        </w:rPr>
      </w:pPr>
      <w:r>
        <w:rPr>
          <w:rFonts w:hint="eastAsia" w:ascii="方正小标宋简体" w:eastAsia="方正小标宋简体"/>
          <w:b/>
          <w:color w:val="auto"/>
          <w:sz w:val="44"/>
          <w:szCs w:val="44"/>
        </w:rPr>
        <w:t>阜平县国民经济和社会发展第十四个五年规划和</w:t>
      </w:r>
      <w:r>
        <w:rPr>
          <w:rFonts w:ascii="方正小标宋简体" w:eastAsia="方正小标宋简体"/>
          <w:b/>
          <w:color w:val="auto"/>
          <w:sz w:val="44"/>
          <w:szCs w:val="44"/>
        </w:rPr>
        <w:t>二</w:t>
      </w:r>
      <w:r>
        <w:rPr>
          <w:rFonts w:hint="eastAsia" w:ascii="方正小标宋简体" w:eastAsia="方正小标宋简体"/>
          <w:b/>
          <w:color w:val="auto"/>
          <w:sz w:val="44"/>
          <w:szCs w:val="44"/>
        </w:rPr>
        <w:t>○三五</w:t>
      </w:r>
      <w:r>
        <w:rPr>
          <w:rFonts w:ascii="方正小标宋简体" w:eastAsia="方正小标宋简体"/>
          <w:b/>
          <w:color w:val="auto"/>
          <w:sz w:val="44"/>
          <w:szCs w:val="44"/>
        </w:rPr>
        <w:t>年远景目标</w:t>
      </w:r>
      <w:r>
        <w:rPr>
          <w:rFonts w:hint="eastAsia" w:ascii="方正小标宋简体" w:eastAsia="方正小标宋简体"/>
          <w:b/>
          <w:color w:val="auto"/>
          <w:sz w:val="44"/>
          <w:szCs w:val="44"/>
        </w:rPr>
        <w:t>纲要</w:t>
      </w:r>
    </w:p>
    <w:p>
      <w:pPr>
        <w:spacing w:line="240" w:lineRule="auto"/>
        <w:ind w:firstLine="198" w:firstLineChars="55"/>
        <w:jc w:val="center"/>
        <w:rPr>
          <w:rFonts w:ascii="方正小标宋_GBK" w:eastAsia="方正小标宋_GBK" w:hAnsiTheme="minorEastAsia"/>
          <w:color w:val="auto"/>
          <w:sz w:val="36"/>
          <w:szCs w:val="36"/>
        </w:rPr>
      </w:pPr>
    </w:p>
    <w:p>
      <w:pPr>
        <w:spacing w:line="240" w:lineRule="auto"/>
        <w:ind w:firstLine="198" w:firstLineChars="55"/>
        <w:jc w:val="center"/>
        <w:rPr>
          <w:rFonts w:ascii="方正小标宋_GBK" w:eastAsia="方正小标宋_GBK" w:hAnsiTheme="minorEastAsia"/>
          <w:color w:val="auto"/>
          <w:sz w:val="36"/>
          <w:szCs w:val="36"/>
        </w:rPr>
      </w:pPr>
    </w:p>
    <w:p>
      <w:pPr>
        <w:spacing w:line="240" w:lineRule="auto"/>
        <w:ind w:firstLine="198" w:firstLineChars="55"/>
        <w:jc w:val="center"/>
        <w:rPr>
          <w:rFonts w:ascii="方正小标宋_GBK" w:eastAsia="方正小标宋_GBK" w:hAnsiTheme="minorEastAsia"/>
          <w:color w:val="auto"/>
          <w:sz w:val="36"/>
          <w:szCs w:val="36"/>
        </w:rPr>
      </w:pPr>
    </w:p>
    <w:p>
      <w:pPr>
        <w:spacing w:line="240" w:lineRule="auto"/>
        <w:ind w:firstLine="198" w:firstLineChars="55"/>
        <w:jc w:val="center"/>
        <w:rPr>
          <w:rFonts w:ascii="方正小标宋_GBK" w:eastAsia="方正小标宋_GBK" w:hAnsiTheme="minorEastAsia"/>
          <w:color w:val="auto"/>
          <w:sz w:val="36"/>
          <w:szCs w:val="36"/>
        </w:rPr>
      </w:pPr>
    </w:p>
    <w:p>
      <w:pPr>
        <w:spacing w:line="240" w:lineRule="auto"/>
        <w:ind w:firstLine="198" w:firstLineChars="55"/>
        <w:jc w:val="center"/>
        <w:rPr>
          <w:rFonts w:ascii="方正小标宋_GBK" w:eastAsia="方正小标宋_GBK" w:hAnsiTheme="minorEastAsia"/>
          <w:color w:val="auto"/>
          <w:sz w:val="36"/>
          <w:szCs w:val="36"/>
        </w:rPr>
      </w:pPr>
    </w:p>
    <w:p>
      <w:pPr>
        <w:spacing w:line="240" w:lineRule="auto"/>
        <w:ind w:firstLine="198" w:firstLineChars="55"/>
        <w:jc w:val="center"/>
        <w:rPr>
          <w:rFonts w:ascii="方正小标宋_GBK" w:eastAsia="方正小标宋_GBK" w:hAnsiTheme="minorEastAsia"/>
          <w:color w:val="auto"/>
          <w:sz w:val="36"/>
          <w:szCs w:val="36"/>
        </w:rPr>
      </w:pPr>
    </w:p>
    <w:p>
      <w:pPr>
        <w:spacing w:line="240" w:lineRule="auto"/>
        <w:ind w:firstLine="198" w:firstLineChars="55"/>
        <w:jc w:val="center"/>
        <w:rPr>
          <w:rFonts w:ascii="方正小标宋_GBK" w:eastAsia="方正小标宋_GBK" w:hAnsiTheme="minorEastAsia"/>
          <w:color w:val="auto"/>
          <w:sz w:val="36"/>
          <w:szCs w:val="36"/>
        </w:rPr>
      </w:pPr>
    </w:p>
    <w:p>
      <w:pPr>
        <w:spacing w:line="240" w:lineRule="auto"/>
        <w:ind w:firstLine="198" w:firstLineChars="55"/>
        <w:jc w:val="center"/>
        <w:rPr>
          <w:rFonts w:ascii="方正小标宋_GBK" w:eastAsia="方正小标宋_GBK" w:hAnsiTheme="minorEastAsia"/>
          <w:color w:val="auto"/>
          <w:sz w:val="36"/>
          <w:szCs w:val="36"/>
        </w:rPr>
      </w:pPr>
    </w:p>
    <w:p>
      <w:pPr>
        <w:spacing w:line="240" w:lineRule="auto"/>
        <w:ind w:firstLine="0" w:firstLineChars="0"/>
        <w:rPr>
          <w:rFonts w:ascii="方正小标宋_GBK" w:eastAsia="方正小标宋_GBK" w:hAnsiTheme="minorEastAsia"/>
          <w:color w:val="auto"/>
          <w:sz w:val="36"/>
          <w:szCs w:val="36"/>
        </w:rPr>
      </w:pPr>
    </w:p>
    <w:p>
      <w:pPr>
        <w:spacing w:line="240" w:lineRule="auto"/>
        <w:ind w:firstLine="0" w:firstLineChars="0"/>
        <w:jc w:val="center"/>
        <w:rPr>
          <w:rFonts w:ascii="黑体" w:hAnsi="黑体" w:eastAsia="黑体"/>
          <w:b/>
          <w:color w:val="auto"/>
          <w:sz w:val="36"/>
          <w:szCs w:val="36"/>
        </w:rPr>
      </w:pPr>
      <w:r>
        <w:rPr>
          <w:rFonts w:hint="eastAsia" w:ascii="黑体" w:hAnsi="黑体" w:eastAsia="黑体"/>
          <w:b/>
          <w:color w:val="auto"/>
          <w:sz w:val="36"/>
          <w:szCs w:val="36"/>
        </w:rPr>
        <w:t>二○二一年八月</w:t>
      </w:r>
    </w:p>
    <w:p>
      <w:pPr>
        <w:spacing w:line="240" w:lineRule="auto"/>
        <w:ind w:firstLine="0" w:firstLineChars="0"/>
        <w:jc w:val="right"/>
        <w:rPr>
          <w:rFonts w:ascii="黑体" w:hAnsi="黑体" w:eastAsia="黑体"/>
          <w:color w:val="auto"/>
          <w:sz w:val="36"/>
          <w:szCs w:val="36"/>
        </w:rPr>
      </w:pPr>
    </w:p>
    <w:p>
      <w:pPr>
        <w:tabs>
          <w:tab w:val="left" w:pos="420"/>
          <w:tab w:val="left" w:pos="840"/>
          <w:tab w:val="left" w:pos="1260"/>
          <w:tab w:val="left" w:pos="1680"/>
          <w:tab w:val="left" w:pos="2100"/>
          <w:tab w:val="left" w:pos="2520"/>
          <w:tab w:val="left" w:pos="2940"/>
          <w:tab w:val="left" w:pos="3360"/>
          <w:tab w:val="center" w:pos="4153"/>
          <w:tab w:val="right" w:pos="8306"/>
        </w:tabs>
        <w:spacing w:line="240" w:lineRule="auto"/>
        <w:ind w:firstLine="0" w:firstLineChars="0"/>
        <w:jc w:val="center"/>
        <w:rPr>
          <w:rFonts w:ascii="仿宋_GB2312" w:hAnsi="黑体" w:eastAsia="仿宋_GB2312"/>
          <w:b/>
          <w:color w:val="auto"/>
          <w:sz w:val="44"/>
          <w:szCs w:val="44"/>
        </w:rPr>
      </w:pPr>
    </w:p>
    <w:p>
      <w:pPr>
        <w:tabs>
          <w:tab w:val="left" w:pos="420"/>
          <w:tab w:val="left" w:pos="840"/>
          <w:tab w:val="left" w:pos="1260"/>
          <w:tab w:val="left" w:pos="1680"/>
          <w:tab w:val="left" w:pos="2100"/>
          <w:tab w:val="left" w:pos="2520"/>
          <w:tab w:val="left" w:pos="2940"/>
          <w:tab w:val="left" w:pos="3360"/>
          <w:tab w:val="center" w:pos="4153"/>
          <w:tab w:val="right" w:pos="8306"/>
        </w:tabs>
        <w:spacing w:line="240" w:lineRule="auto"/>
        <w:ind w:firstLine="0" w:firstLineChars="0"/>
        <w:jc w:val="center"/>
        <w:rPr>
          <w:rFonts w:ascii="仿宋_GB2312" w:hAnsi="黑体" w:eastAsia="仿宋_GB2312"/>
          <w:b/>
          <w:color w:val="auto"/>
          <w:sz w:val="44"/>
          <w:szCs w:val="44"/>
        </w:rPr>
      </w:pPr>
      <w:r>
        <w:rPr>
          <w:rFonts w:hint="eastAsia" w:ascii="仿宋_GB2312" w:hAnsi="黑体" w:eastAsia="仿宋_GB2312"/>
          <w:b/>
          <w:color w:val="auto"/>
          <w:sz w:val="44"/>
          <w:szCs w:val="44"/>
        </w:rPr>
        <w:t>目 录</w:t>
      </w:r>
    </w:p>
    <w:p>
      <w:pPr>
        <w:pStyle w:val="15"/>
        <w:rPr>
          <w:rFonts w:asciiTheme="minorHAnsi" w:hAnsiTheme="minorHAnsi" w:eastAsiaTheme="minorEastAsia"/>
          <w:color w:val="auto"/>
        </w:rPr>
      </w:pPr>
      <w:r>
        <w:rPr>
          <w:rFonts w:ascii="Times New Roman" w:hAnsi="Times New Roman" w:cs="Times New Roman"/>
          <w:color w:val="auto"/>
          <w:sz w:val="28"/>
        </w:rPr>
        <w:fldChar w:fldCharType="begin"/>
      </w:r>
      <w:r>
        <w:rPr>
          <w:rFonts w:ascii="Times New Roman" w:hAnsi="Times New Roman" w:cs="Times New Roman"/>
          <w:color w:val="auto"/>
          <w:sz w:val="28"/>
        </w:rPr>
        <w:instrText xml:space="preserve"> TOC \o "1-2" \h \z \u </w:instrText>
      </w:r>
      <w:r>
        <w:rPr>
          <w:rFonts w:ascii="Times New Roman" w:hAnsi="Times New Roman" w:cs="Times New Roman"/>
          <w:color w:val="auto"/>
          <w:sz w:val="28"/>
        </w:rPr>
        <w:fldChar w:fldCharType="separate"/>
      </w:r>
      <w:r>
        <w:rPr>
          <w:color w:val="auto"/>
        </w:rPr>
        <w:fldChar w:fldCharType="begin"/>
      </w:r>
      <w:r>
        <w:rPr>
          <w:color w:val="auto"/>
        </w:rPr>
        <w:instrText xml:space="preserve"> HYPERLINK \l "_Toc62244253" </w:instrText>
      </w:r>
      <w:r>
        <w:rPr>
          <w:color w:val="auto"/>
        </w:rPr>
        <w:fldChar w:fldCharType="separate"/>
      </w:r>
      <w:r>
        <w:rPr>
          <w:rStyle w:val="28"/>
          <w:color w:val="auto"/>
        </w:rPr>
        <w:t>序言</w:t>
      </w:r>
      <w:r>
        <w:rPr>
          <w:color w:val="auto"/>
        </w:rPr>
        <w:tab/>
      </w:r>
      <w:r>
        <w:rPr>
          <w:color w:val="auto"/>
        </w:rPr>
        <w:fldChar w:fldCharType="begin"/>
      </w:r>
      <w:r>
        <w:rPr>
          <w:color w:val="auto"/>
        </w:rPr>
        <w:instrText xml:space="preserve"> PAGEREF _Toc62244253 \h </w:instrText>
      </w:r>
      <w:r>
        <w:rPr>
          <w:color w:val="auto"/>
        </w:rPr>
        <w:fldChar w:fldCharType="separate"/>
      </w:r>
      <w:r>
        <w:rPr>
          <w:color w:val="auto"/>
        </w:rPr>
        <w:t>3</w:t>
      </w:r>
      <w:r>
        <w:rPr>
          <w:color w:val="auto"/>
        </w:rPr>
        <w:fldChar w:fldCharType="end"/>
      </w:r>
      <w:r>
        <w:rPr>
          <w:color w:val="auto"/>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"_Toc62244254" </w:instrText>
      </w:r>
      <w:r>
        <w:rPr>
          <w:color w:val="auto"/>
        </w:rPr>
        <w:fldChar w:fldCharType="separate"/>
      </w:r>
      <w:r>
        <w:rPr>
          <w:rStyle w:val="28"/>
          <w:color w:val="auto"/>
        </w:rPr>
        <w:t>第一章  谱写阜平发展新篇章</w:t>
      </w:r>
      <w:r>
        <w:rPr>
          <w:color w:val="auto"/>
        </w:rPr>
        <w:tab/>
      </w:r>
      <w:r>
        <w:rPr>
          <w:color w:val="auto"/>
        </w:rPr>
        <w:fldChar w:fldCharType="begin"/>
      </w:r>
      <w:r>
        <w:rPr>
          <w:color w:val="auto"/>
        </w:rPr>
        <w:instrText xml:space="preserve"> PAGEREF _Toc62244254 \h </w:instrText>
      </w:r>
      <w:r>
        <w:rPr>
          <w:color w:val="auto"/>
        </w:rPr>
        <w:fldChar w:fldCharType="separate"/>
      </w:r>
      <w:r>
        <w:rPr>
          <w:color w:val="auto"/>
        </w:rPr>
        <w:t>4</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"_Toc62244255" </w:instrText>
      </w:r>
      <w:r>
        <w:rPr>
          <w:color w:val="auto"/>
        </w:rPr>
        <w:fldChar w:fldCharType="separate"/>
      </w:r>
      <w:r>
        <w:rPr>
          <w:rStyle w:val="28"/>
          <w:rFonts w:asciiTheme="minorEastAsia" w:hAnsiTheme="minorEastAsia" w:eastAsiaTheme="minorEastAsia"/>
          <w:color w:val="auto"/>
          <w:sz w:val="24"/>
          <w:szCs w:val="24"/>
        </w:rPr>
        <w:t>第一节  “十三五”时期决胜全面建成小康社会取得决定性成就</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_Toc62244255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4</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"_Toc62244256" </w:instrText>
      </w:r>
      <w:r>
        <w:rPr>
          <w:color w:val="auto"/>
        </w:rPr>
        <w:fldChar w:fldCharType="separate"/>
      </w:r>
      <w:r>
        <w:rPr>
          <w:rStyle w:val="28"/>
          <w:rFonts w:asciiTheme="minorEastAsia" w:hAnsiTheme="minorEastAsia" w:eastAsiaTheme="minorEastAsia"/>
          <w:color w:val="auto"/>
          <w:sz w:val="24"/>
          <w:szCs w:val="24"/>
        </w:rPr>
        <w:t>第二节  “十四五”时期发展环境面临复杂深刻变化</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_Toc62244256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8</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"_Toc62244257" </w:instrText>
      </w:r>
      <w:r>
        <w:rPr>
          <w:color w:val="auto"/>
        </w:rPr>
        <w:fldChar w:fldCharType="separate"/>
      </w:r>
      <w:r>
        <w:rPr>
          <w:rStyle w:val="28"/>
          <w:rFonts w:asciiTheme="minorEastAsia" w:hAnsiTheme="minorEastAsia" w:eastAsiaTheme="minorEastAsia"/>
          <w:color w:val="auto"/>
          <w:sz w:val="24"/>
          <w:szCs w:val="24"/>
        </w:rPr>
        <w:t>第三节  加快建设保定市西部中心城市</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_Toc62244257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10</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"_Toc62244258" </w:instrText>
      </w:r>
      <w:r>
        <w:rPr>
          <w:color w:val="auto"/>
        </w:rPr>
        <w:fldChar w:fldCharType="separate"/>
      </w:r>
      <w:r>
        <w:rPr>
          <w:rStyle w:val="28"/>
          <w:color w:val="auto"/>
        </w:rPr>
        <w:t>第二章  守护畿西生态屏障功能，打造绿色阜平</w:t>
      </w:r>
      <w:r>
        <w:rPr>
          <w:color w:val="auto"/>
        </w:rPr>
        <w:tab/>
      </w:r>
      <w:r>
        <w:rPr>
          <w:color w:val="auto"/>
        </w:rPr>
        <w:fldChar w:fldCharType="begin"/>
      </w:r>
      <w:r>
        <w:rPr>
          <w:color w:val="auto"/>
        </w:rPr>
        <w:instrText xml:space="preserve"> PAGEREF _Toc62244258 \h </w:instrText>
      </w:r>
      <w:r>
        <w:rPr>
          <w:color w:val="auto"/>
        </w:rPr>
        <w:fldChar w:fldCharType="separate"/>
      </w:r>
      <w:r>
        <w:rPr>
          <w:color w:val="auto"/>
        </w:rPr>
        <w:t>19</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"_Toc62244259" </w:instrText>
      </w:r>
      <w:r>
        <w:rPr>
          <w:color w:val="auto"/>
        </w:rPr>
        <w:fldChar w:fldCharType="separate"/>
      </w:r>
      <w:r>
        <w:rPr>
          <w:rStyle w:val="28"/>
          <w:rFonts w:asciiTheme="minorEastAsia" w:hAnsiTheme="minorEastAsia" w:eastAsiaTheme="minorEastAsia"/>
          <w:color w:val="auto"/>
          <w:sz w:val="24"/>
          <w:szCs w:val="24"/>
        </w:rPr>
        <w:t>第一节  构建国土空间开发保护新格局</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_Toc62244259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20</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"_Toc62244260" </w:instrText>
      </w:r>
      <w:r>
        <w:rPr>
          <w:color w:val="auto"/>
        </w:rPr>
        <w:fldChar w:fldCharType="separate"/>
      </w:r>
      <w:r>
        <w:rPr>
          <w:rStyle w:val="28"/>
          <w:rFonts w:asciiTheme="minorEastAsia" w:hAnsiTheme="minorEastAsia" w:eastAsiaTheme="minorEastAsia"/>
          <w:color w:val="auto"/>
          <w:sz w:val="24"/>
          <w:szCs w:val="24"/>
        </w:rPr>
        <w:t>第二节  打好污染防治攻坚升级战</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_Toc62244260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24</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"_Toc62244261" </w:instrText>
      </w:r>
      <w:r>
        <w:rPr>
          <w:color w:val="auto"/>
        </w:rPr>
        <w:fldChar w:fldCharType="separate"/>
      </w:r>
      <w:r>
        <w:rPr>
          <w:rStyle w:val="28"/>
          <w:rFonts w:asciiTheme="minorEastAsia" w:hAnsiTheme="minorEastAsia" w:eastAsiaTheme="minorEastAsia"/>
          <w:color w:val="auto"/>
          <w:sz w:val="24"/>
          <w:szCs w:val="24"/>
        </w:rPr>
        <w:t>第三节  发挥资源优势加快绿色发展</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_Toc62244261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26</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"_Toc62244262" </w:instrText>
      </w:r>
      <w:r>
        <w:rPr>
          <w:color w:val="auto"/>
        </w:rPr>
        <w:fldChar w:fldCharType="separate"/>
      </w:r>
      <w:r>
        <w:rPr>
          <w:rStyle w:val="28"/>
          <w:rFonts w:asciiTheme="minorEastAsia" w:hAnsiTheme="minorEastAsia" w:eastAsiaTheme="minorEastAsia"/>
          <w:color w:val="auto"/>
          <w:sz w:val="24"/>
          <w:szCs w:val="24"/>
        </w:rPr>
        <w:t>第四节  建设完善生态文明制度体系</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_Toc62244262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27</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"_Toc62244263" </w:instrText>
      </w:r>
      <w:r>
        <w:rPr>
          <w:color w:val="auto"/>
        </w:rPr>
        <w:fldChar w:fldCharType="separate"/>
      </w:r>
      <w:r>
        <w:rPr>
          <w:rStyle w:val="28"/>
          <w:color w:val="auto"/>
        </w:rPr>
        <w:t>第三章  绿色赋能现代产业体系，建设繁荣阜平</w:t>
      </w:r>
      <w:r>
        <w:rPr>
          <w:color w:val="auto"/>
        </w:rPr>
        <w:tab/>
      </w:r>
      <w:r>
        <w:rPr>
          <w:color w:val="auto"/>
        </w:rPr>
        <w:fldChar w:fldCharType="begin"/>
      </w:r>
      <w:r>
        <w:rPr>
          <w:color w:val="auto"/>
        </w:rPr>
        <w:instrText xml:space="preserve"> PAGEREF _Toc62244263 \h </w:instrText>
      </w:r>
      <w:r>
        <w:rPr>
          <w:color w:val="auto"/>
        </w:rPr>
        <w:fldChar w:fldCharType="separate"/>
      </w:r>
      <w:r>
        <w:rPr>
          <w:color w:val="auto"/>
        </w:rPr>
        <w:t>29</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"_Toc62244264" </w:instrText>
      </w:r>
      <w:r>
        <w:rPr>
          <w:color w:val="auto"/>
        </w:rPr>
        <w:fldChar w:fldCharType="separate"/>
      </w:r>
      <w:r>
        <w:rPr>
          <w:rStyle w:val="28"/>
          <w:rFonts w:asciiTheme="minorEastAsia" w:hAnsiTheme="minorEastAsia" w:eastAsiaTheme="minorEastAsia"/>
          <w:color w:val="auto"/>
          <w:sz w:val="24"/>
          <w:szCs w:val="24"/>
        </w:rPr>
        <w:t>第一节  持续提升特色农业发展质量</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_Toc62244264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29</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"_Toc62244265" </w:instrText>
      </w:r>
      <w:r>
        <w:rPr>
          <w:color w:val="auto"/>
        </w:rPr>
        <w:fldChar w:fldCharType="separate"/>
      </w:r>
      <w:r>
        <w:rPr>
          <w:rStyle w:val="28"/>
          <w:rFonts w:asciiTheme="minorEastAsia" w:hAnsiTheme="minorEastAsia" w:eastAsiaTheme="minorEastAsia"/>
          <w:color w:val="auto"/>
          <w:sz w:val="24"/>
          <w:szCs w:val="24"/>
        </w:rPr>
        <w:t>第二节  全面提高优势工业发展效益</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_Toc62244265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35</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"_Toc62244266" </w:instrText>
      </w:r>
      <w:r>
        <w:rPr>
          <w:color w:val="auto"/>
        </w:rPr>
        <w:fldChar w:fldCharType="separate"/>
      </w:r>
      <w:r>
        <w:rPr>
          <w:rStyle w:val="28"/>
          <w:rFonts w:asciiTheme="minorEastAsia" w:hAnsiTheme="minorEastAsia" w:eastAsiaTheme="minorEastAsia"/>
          <w:color w:val="auto"/>
          <w:sz w:val="24"/>
          <w:szCs w:val="24"/>
        </w:rPr>
        <w:t>第三节  加快提升现代服务业发展水平</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_Toc62244266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39</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"_Toc62244267" </w:instrText>
      </w:r>
      <w:r>
        <w:rPr>
          <w:color w:val="auto"/>
        </w:rPr>
        <w:fldChar w:fldCharType="separate"/>
      </w:r>
      <w:r>
        <w:rPr>
          <w:rStyle w:val="28"/>
          <w:rFonts w:asciiTheme="minorEastAsia" w:hAnsiTheme="minorEastAsia" w:eastAsiaTheme="minorEastAsia"/>
          <w:color w:val="auto"/>
          <w:sz w:val="24"/>
          <w:szCs w:val="24"/>
        </w:rPr>
        <w:t>第四节  持续优化县域产业空间布局</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_Toc62244267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46</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"_Toc62244268" </w:instrText>
      </w:r>
      <w:r>
        <w:rPr>
          <w:color w:val="auto"/>
        </w:rPr>
        <w:fldChar w:fldCharType="separate"/>
      </w:r>
      <w:r>
        <w:rPr>
          <w:rStyle w:val="28"/>
          <w:color w:val="auto"/>
        </w:rPr>
        <w:t>第四章  着力统筹城乡融合发展，迈向魅力阜平</w:t>
      </w:r>
      <w:r>
        <w:rPr>
          <w:color w:val="auto"/>
        </w:rPr>
        <w:tab/>
      </w:r>
      <w:r>
        <w:rPr>
          <w:color w:val="auto"/>
        </w:rPr>
        <w:fldChar w:fldCharType="begin"/>
      </w:r>
      <w:r>
        <w:rPr>
          <w:color w:val="auto"/>
        </w:rPr>
        <w:instrText xml:space="preserve"> PAGEREF _Toc62244268 \h </w:instrText>
      </w:r>
      <w:r>
        <w:rPr>
          <w:color w:val="auto"/>
        </w:rPr>
        <w:fldChar w:fldCharType="separate"/>
      </w:r>
      <w:r>
        <w:rPr>
          <w:color w:val="auto"/>
        </w:rPr>
        <w:t>50</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"_Toc62244269" </w:instrText>
      </w:r>
      <w:r>
        <w:rPr>
          <w:color w:val="auto"/>
        </w:rPr>
        <w:fldChar w:fldCharType="separate"/>
      </w:r>
      <w:r>
        <w:rPr>
          <w:rStyle w:val="28"/>
          <w:rFonts w:asciiTheme="minorEastAsia" w:hAnsiTheme="minorEastAsia" w:eastAsiaTheme="minorEastAsia"/>
          <w:color w:val="auto"/>
          <w:sz w:val="24"/>
          <w:szCs w:val="24"/>
        </w:rPr>
        <w:t>第一节  全面提升城市面貌和功能品质</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_Toc62244269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50</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"_Toc62244270" </w:instrText>
      </w:r>
      <w:r>
        <w:rPr>
          <w:color w:val="auto"/>
        </w:rPr>
        <w:fldChar w:fldCharType="separate"/>
      </w:r>
      <w:r>
        <w:rPr>
          <w:rStyle w:val="28"/>
          <w:rFonts w:asciiTheme="minorEastAsia" w:hAnsiTheme="minorEastAsia" w:eastAsiaTheme="minorEastAsia"/>
          <w:color w:val="auto"/>
          <w:sz w:val="24"/>
          <w:szCs w:val="24"/>
        </w:rPr>
        <w:t>第二节  因地制宜推进特色小镇建设</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_Toc62244270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53</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"_Toc62244271" </w:instrText>
      </w:r>
      <w:r>
        <w:rPr>
          <w:color w:val="auto"/>
        </w:rPr>
        <w:fldChar w:fldCharType="separate"/>
      </w:r>
      <w:r>
        <w:rPr>
          <w:rStyle w:val="28"/>
          <w:rFonts w:asciiTheme="minorEastAsia" w:hAnsiTheme="minorEastAsia" w:eastAsiaTheme="minorEastAsia"/>
          <w:color w:val="auto"/>
          <w:sz w:val="24"/>
          <w:szCs w:val="24"/>
        </w:rPr>
        <w:t>第三节  分区分类实施村庄差异发展</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_Toc62244271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55</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"_Toc62244272" </w:instrText>
      </w:r>
      <w:r>
        <w:rPr>
          <w:color w:val="auto"/>
        </w:rPr>
        <w:fldChar w:fldCharType="separate"/>
      </w:r>
      <w:r>
        <w:rPr>
          <w:rStyle w:val="28"/>
          <w:rFonts w:asciiTheme="minorEastAsia" w:hAnsiTheme="minorEastAsia" w:eastAsiaTheme="minorEastAsia"/>
          <w:color w:val="auto"/>
          <w:sz w:val="24"/>
          <w:szCs w:val="24"/>
        </w:rPr>
        <w:t>第四节  构筑共建共享城乡统筹格局</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_Toc62244272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58</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"_Toc62244273" </w:instrText>
      </w:r>
      <w:r>
        <w:rPr>
          <w:color w:val="auto"/>
        </w:rPr>
        <w:fldChar w:fldCharType="separate"/>
      </w:r>
      <w:r>
        <w:rPr>
          <w:rStyle w:val="28"/>
          <w:color w:val="auto"/>
        </w:rPr>
        <w:t>第五章  深入实施乡村振兴战略，创建</w:t>
      </w:r>
      <w:r>
        <w:rPr>
          <w:rStyle w:val="28"/>
          <w:rFonts w:hint="eastAsia"/>
          <w:color w:val="auto"/>
        </w:rPr>
        <w:t>美丽</w:t>
      </w:r>
      <w:r>
        <w:rPr>
          <w:rStyle w:val="28"/>
          <w:color w:val="auto"/>
        </w:rPr>
        <w:t>阜平</w:t>
      </w:r>
      <w:r>
        <w:rPr>
          <w:color w:val="auto"/>
        </w:rPr>
        <w:tab/>
      </w:r>
      <w:r>
        <w:rPr>
          <w:color w:val="auto"/>
        </w:rPr>
        <w:fldChar w:fldCharType="begin"/>
      </w:r>
      <w:r>
        <w:rPr>
          <w:color w:val="auto"/>
        </w:rPr>
        <w:instrText xml:space="preserve"> PAGEREF _Toc62244273 \h </w:instrText>
      </w:r>
      <w:r>
        <w:rPr>
          <w:color w:val="auto"/>
        </w:rPr>
        <w:fldChar w:fldCharType="separate"/>
      </w:r>
      <w:r>
        <w:rPr>
          <w:color w:val="auto"/>
        </w:rPr>
        <w:t>61</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"_Toc62244274" </w:instrText>
      </w:r>
      <w:r>
        <w:rPr>
          <w:color w:val="auto"/>
        </w:rPr>
        <w:fldChar w:fldCharType="separate"/>
      </w:r>
      <w:r>
        <w:rPr>
          <w:rStyle w:val="28"/>
          <w:rFonts w:asciiTheme="minorEastAsia" w:hAnsiTheme="minorEastAsia" w:eastAsiaTheme="minorEastAsia"/>
          <w:color w:val="auto"/>
          <w:sz w:val="24"/>
          <w:szCs w:val="24"/>
        </w:rPr>
        <w:t>第一节  多措并举巩固拓展脱贫成果</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_Toc62244274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61</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"_Toc62244275" </w:instrText>
      </w:r>
      <w:r>
        <w:rPr>
          <w:color w:val="auto"/>
        </w:rPr>
        <w:fldChar w:fldCharType="separate"/>
      </w:r>
      <w:r>
        <w:rPr>
          <w:rStyle w:val="28"/>
          <w:rFonts w:asciiTheme="minorEastAsia" w:hAnsiTheme="minorEastAsia" w:eastAsiaTheme="minorEastAsia"/>
          <w:color w:val="auto"/>
          <w:sz w:val="24"/>
          <w:szCs w:val="24"/>
        </w:rPr>
        <w:t>第二节  构建完善乡村产业新体系</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_Toc62244275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65</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"_Toc62244276" </w:instrText>
      </w:r>
      <w:r>
        <w:rPr>
          <w:color w:val="auto"/>
        </w:rPr>
        <w:fldChar w:fldCharType="separate"/>
      </w:r>
      <w:r>
        <w:rPr>
          <w:rStyle w:val="28"/>
          <w:rFonts w:asciiTheme="minorEastAsia" w:hAnsiTheme="minorEastAsia" w:eastAsiaTheme="minorEastAsia"/>
          <w:color w:val="auto"/>
          <w:sz w:val="24"/>
          <w:szCs w:val="24"/>
        </w:rPr>
        <w:t>第三节  全面激发乡村发展新活力</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_Toc62244276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67</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"_Toc62244277" </w:instrText>
      </w:r>
      <w:r>
        <w:rPr>
          <w:color w:val="auto"/>
        </w:rPr>
        <w:fldChar w:fldCharType="separate"/>
      </w:r>
      <w:r>
        <w:rPr>
          <w:rStyle w:val="28"/>
          <w:color w:val="auto"/>
        </w:rPr>
        <w:t>第六章  增强基础设施支撑能力，建设品质阜平</w:t>
      </w:r>
      <w:r>
        <w:rPr>
          <w:color w:val="auto"/>
        </w:rPr>
        <w:tab/>
      </w:r>
      <w:r>
        <w:rPr>
          <w:color w:val="auto"/>
        </w:rPr>
        <w:fldChar w:fldCharType="begin"/>
      </w:r>
      <w:r>
        <w:rPr>
          <w:color w:val="auto"/>
        </w:rPr>
        <w:instrText xml:space="preserve"> PAGEREF _Toc62244277 \h </w:instrText>
      </w:r>
      <w:r>
        <w:rPr>
          <w:color w:val="auto"/>
        </w:rPr>
        <w:fldChar w:fldCharType="separate"/>
      </w:r>
      <w:r>
        <w:rPr>
          <w:color w:val="auto"/>
        </w:rPr>
        <w:t>70</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"_Toc62244278" </w:instrText>
      </w:r>
      <w:r>
        <w:rPr>
          <w:color w:val="auto"/>
        </w:rPr>
        <w:fldChar w:fldCharType="separate"/>
      </w:r>
      <w:r>
        <w:rPr>
          <w:rStyle w:val="28"/>
          <w:rFonts w:asciiTheme="minorEastAsia" w:hAnsiTheme="minorEastAsia" w:eastAsiaTheme="minorEastAsia"/>
          <w:color w:val="auto"/>
          <w:sz w:val="24"/>
          <w:szCs w:val="24"/>
        </w:rPr>
        <w:t>第一节  构建交通引领城市发展格局</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_Toc62244278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70</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"_Toc62244279" </w:instrText>
      </w:r>
      <w:r>
        <w:rPr>
          <w:color w:val="auto"/>
        </w:rPr>
        <w:fldChar w:fldCharType="separate"/>
      </w:r>
      <w:r>
        <w:rPr>
          <w:rStyle w:val="28"/>
          <w:rFonts w:asciiTheme="minorEastAsia" w:hAnsiTheme="minorEastAsia" w:eastAsiaTheme="minorEastAsia"/>
          <w:color w:val="auto"/>
          <w:sz w:val="24"/>
          <w:szCs w:val="24"/>
        </w:rPr>
        <w:t>第二节  提升水资源安全保障能力</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_Toc62244279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74</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"_Toc62244280" </w:instrText>
      </w:r>
      <w:r>
        <w:rPr>
          <w:color w:val="auto"/>
        </w:rPr>
        <w:fldChar w:fldCharType="separate"/>
      </w:r>
      <w:r>
        <w:rPr>
          <w:rStyle w:val="28"/>
          <w:rFonts w:asciiTheme="minorEastAsia" w:hAnsiTheme="minorEastAsia" w:eastAsiaTheme="minorEastAsia"/>
          <w:color w:val="auto"/>
          <w:sz w:val="24"/>
          <w:szCs w:val="24"/>
        </w:rPr>
        <w:t>第三节  加强绿色高效能源供给能力</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_Toc62244280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77</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"_Toc62244281" </w:instrText>
      </w:r>
      <w:r>
        <w:rPr>
          <w:color w:val="auto"/>
        </w:rPr>
        <w:fldChar w:fldCharType="separate"/>
      </w:r>
      <w:r>
        <w:rPr>
          <w:rStyle w:val="28"/>
          <w:rFonts w:asciiTheme="minorEastAsia" w:hAnsiTheme="minorEastAsia" w:eastAsiaTheme="minorEastAsia"/>
          <w:color w:val="auto"/>
          <w:sz w:val="24"/>
          <w:szCs w:val="24"/>
        </w:rPr>
        <w:t>第四节  推进“智慧阜平”系统工程建设</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_Toc62244281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79</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"_Toc62244282" </w:instrText>
      </w:r>
      <w:r>
        <w:rPr>
          <w:color w:val="auto"/>
        </w:rPr>
        <w:fldChar w:fldCharType="separate"/>
      </w:r>
      <w:r>
        <w:rPr>
          <w:rStyle w:val="28"/>
          <w:color w:val="auto"/>
        </w:rPr>
        <w:t>第七章  持续改善人民生活品质，创建和谐阜平</w:t>
      </w:r>
      <w:r>
        <w:rPr>
          <w:color w:val="auto"/>
        </w:rPr>
        <w:tab/>
      </w:r>
      <w:r>
        <w:rPr>
          <w:color w:val="auto"/>
        </w:rPr>
        <w:fldChar w:fldCharType="begin"/>
      </w:r>
      <w:r>
        <w:rPr>
          <w:color w:val="auto"/>
        </w:rPr>
        <w:instrText xml:space="preserve"> PAGEREF _Toc62244282 \h </w:instrText>
      </w:r>
      <w:r>
        <w:rPr>
          <w:color w:val="auto"/>
        </w:rPr>
        <w:fldChar w:fldCharType="separate"/>
      </w:r>
      <w:r>
        <w:rPr>
          <w:color w:val="auto"/>
        </w:rPr>
        <w:t>81</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"_Toc62244283" </w:instrText>
      </w:r>
      <w:r>
        <w:rPr>
          <w:color w:val="auto"/>
        </w:rPr>
        <w:fldChar w:fldCharType="separate"/>
      </w:r>
      <w:r>
        <w:rPr>
          <w:rStyle w:val="28"/>
          <w:rFonts w:asciiTheme="minorEastAsia" w:hAnsiTheme="minorEastAsia" w:eastAsiaTheme="minorEastAsia"/>
          <w:color w:val="auto"/>
          <w:sz w:val="24"/>
          <w:szCs w:val="24"/>
        </w:rPr>
        <w:t>第一节  大力实施“健康阜平”发展战略</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_Toc62244283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82</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"_Toc62244284" </w:instrText>
      </w:r>
      <w:r>
        <w:rPr>
          <w:color w:val="auto"/>
        </w:rPr>
        <w:fldChar w:fldCharType="separate"/>
      </w:r>
      <w:r>
        <w:rPr>
          <w:rStyle w:val="28"/>
          <w:rFonts w:asciiTheme="minorEastAsia" w:hAnsiTheme="minorEastAsia" w:eastAsiaTheme="minorEastAsia"/>
          <w:color w:val="auto"/>
          <w:sz w:val="24"/>
          <w:szCs w:val="24"/>
        </w:rPr>
        <w:t>第二节  推动社会公共服务优质均等化</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_Toc62244284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84</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"_Toc62244285" </w:instrText>
      </w:r>
      <w:r>
        <w:rPr>
          <w:color w:val="auto"/>
        </w:rPr>
        <w:fldChar w:fldCharType="separate"/>
      </w:r>
      <w:r>
        <w:rPr>
          <w:rStyle w:val="28"/>
          <w:rFonts w:asciiTheme="minorEastAsia" w:hAnsiTheme="minorEastAsia" w:eastAsiaTheme="minorEastAsia"/>
          <w:color w:val="auto"/>
          <w:sz w:val="24"/>
          <w:szCs w:val="24"/>
        </w:rPr>
        <w:t>第三节  健全覆盖城乡的社会保障体系</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_Toc62244285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93</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"_Toc62244286" </w:instrText>
      </w:r>
      <w:r>
        <w:rPr>
          <w:color w:val="auto"/>
        </w:rPr>
        <w:fldChar w:fldCharType="separate"/>
      </w:r>
      <w:r>
        <w:rPr>
          <w:rStyle w:val="28"/>
          <w:color w:val="auto"/>
        </w:rPr>
        <w:t>第八章  全面深化重点领域改革，共建</w:t>
      </w:r>
      <w:r>
        <w:rPr>
          <w:rStyle w:val="28"/>
          <w:rFonts w:hint="eastAsia"/>
          <w:color w:val="auto"/>
        </w:rPr>
        <w:t>创新</w:t>
      </w:r>
      <w:r>
        <w:rPr>
          <w:rStyle w:val="28"/>
          <w:color w:val="auto"/>
        </w:rPr>
        <w:t>阜平</w:t>
      </w:r>
      <w:r>
        <w:rPr>
          <w:color w:val="auto"/>
        </w:rPr>
        <w:tab/>
      </w:r>
      <w:r>
        <w:rPr>
          <w:color w:val="auto"/>
        </w:rPr>
        <w:fldChar w:fldCharType="begin"/>
      </w:r>
      <w:r>
        <w:rPr>
          <w:color w:val="auto"/>
        </w:rPr>
        <w:instrText xml:space="preserve"> PAGEREF _Toc62244286 \h </w:instrText>
      </w:r>
      <w:r>
        <w:rPr>
          <w:color w:val="auto"/>
        </w:rPr>
        <w:fldChar w:fldCharType="separate"/>
      </w:r>
      <w:r>
        <w:rPr>
          <w:color w:val="auto"/>
        </w:rPr>
        <w:t>98</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"_Toc62244287" </w:instrText>
      </w:r>
      <w:r>
        <w:rPr>
          <w:color w:val="auto"/>
        </w:rPr>
        <w:fldChar w:fldCharType="separate"/>
      </w:r>
      <w:r>
        <w:rPr>
          <w:rStyle w:val="28"/>
          <w:rFonts w:asciiTheme="minorEastAsia" w:hAnsiTheme="minorEastAsia" w:eastAsiaTheme="minorEastAsia"/>
          <w:color w:val="auto"/>
          <w:sz w:val="24"/>
          <w:szCs w:val="24"/>
        </w:rPr>
        <w:t>第一节  深度融入区域协同发展</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_Toc62244287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99</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"_Toc62244288" </w:instrText>
      </w:r>
      <w:r>
        <w:rPr>
          <w:color w:val="auto"/>
        </w:rPr>
        <w:fldChar w:fldCharType="separate"/>
      </w:r>
      <w:r>
        <w:rPr>
          <w:rStyle w:val="28"/>
          <w:rFonts w:asciiTheme="minorEastAsia" w:hAnsiTheme="minorEastAsia" w:eastAsiaTheme="minorEastAsia"/>
          <w:color w:val="auto"/>
          <w:sz w:val="24"/>
          <w:szCs w:val="24"/>
        </w:rPr>
        <w:t>第二节  加快关键领域深化改革</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_Toc62244288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101</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"_Toc62244289" </w:instrText>
      </w:r>
      <w:r>
        <w:rPr>
          <w:color w:val="auto"/>
        </w:rPr>
        <w:fldChar w:fldCharType="separate"/>
      </w:r>
      <w:r>
        <w:rPr>
          <w:rStyle w:val="28"/>
          <w:color w:val="auto"/>
        </w:rPr>
        <w:t>第九章  加强创新社会治理体系，打造平安阜平</w:t>
      </w:r>
      <w:r>
        <w:rPr>
          <w:color w:val="auto"/>
        </w:rPr>
        <w:tab/>
      </w:r>
      <w:r>
        <w:rPr>
          <w:color w:val="auto"/>
        </w:rPr>
        <w:fldChar w:fldCharType="begin"/>
      </w:r>
      <w:r>
        <w:rPr>
          <w:color w:val="auto"/>
        </w:rPr>
        <w:instrText xml:space="preserve"> PAGEREF _Toc62244289 \h </w:instrText>
      </w:r>
      <w:r>
        <w:rPr>
          <w:color w:val="auto"/>
        </w:rPr>
        <w:fldChar w:fldCharType="separate"/>
      </w:r>
      <w:r>
        <w:rPr>
          <w:color w:val="auto"/>
        </w:rPr>
        <w:t>103</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"_Toc62244290" </w:instrText>
      </w:r>
      <w:r>
        <w:rPr>
          <w:color w:val="auto"/>
        </w:rPr>
        <w:fldChar w:fldCharType="separate"/>
      </w:r>
      <w:r>
        <w:rPr>
          <w:rStyle w:val="28"/>
          <w:rFonts w:asciiTheme="minorEastAsia" w:hAnsiTheme="minorEastAsia" w:eastAsiaTheme="minorEastAsia"/>
          <w:color w:val="auto"/>
          <w:sz w:val="24"/>
          <w:szCs w:val="24"/>
        </w:rPr>
        <w:t>第一节  强化提升法治政府服务能力</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_Toc62244290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103</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"_Toc62244291" </w:instrText>
      </w:r>
      <w:r>
        <w:rPr>
          <w:color w:val="auto"/>
        </w:rPr>
        <w:fldChar w:fldCharType="separate"/>
      </w:r>
      <w:r>
        <w:rPr>
          <w:rStyle w:val="28"/>
          <w:rFonts w:asciiTheme="minorEastAsia" w:hAnsiTheme="minorEastAsia" w:eastAsiaTheme="minorEastAsia"/>
          <w:color w:val="auto"/>
          <w:sz w:val="24"/>
          <w:szCs w:val="24"/>
        </w:rPr>
        <w:t>第二节  探索完善现代社会治理格局</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_Toc62244291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104</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"_Toc62244292" </w:instrText>
      </w:r>
      <w:r>
        <w:rPr>
          <w:color w:val="auto"/>
        </w:rPr>
        <w:fldChar w:fldCharType="separate"/>
      </w:r>
      <w:r>
        <w:rPr>
          <w:rStyle w:val="28"/>
          <w:rFonts w:asciiTheme="minorEastAsia" w:hAnsiTheme="minorEastAsia" w:eastAsiaTheme="minorEastAsia"/>
          <w:color w:val="auto"/>
          <w:sz w:val="24"/>
          <w:szCs w:val="24"/>
        </w:rPr>
        <w:t>第三节  全力构建综合应急管理体系</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_Toc62244292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107</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5"/>
        <w:ind w:firstLine="602"/>
        <w:rPr>
          <w:rFonts w:asciiTheme="minorHAnsi" w:hAnsiTheme="minorHAnsi" w:eastAsiaTheme="minorEastAsia"/>
          <w:color w:val="auto"/>
          <w:sz w:val="21"/>
          <w:szCs w:val="22"/>
        </w:rPr>
      </w:pPr>
      <w:r>
        <w:rPr>
          <w:color w:val="auto"/>
        </w:rPr>
        <w:fldChar w:fldCharType="begin"/>
      </w:r>
      <w:r>
        <w:rPr>
          <w:color w:val="auto"/>
        </w:rPr>
        <w:instrText xml:space="preserve"> HYPERLINK \l "_Toc62244293" </w:instrText>
      </w:r>
      <w:r>
        <w:rPr>
          <w:color w:val="auto"/>
        </w:rPr>
        <w:fldChar w:fldCharType="separate"/>
      </w:r>
      <w:r>
        <w:rPr>
          <w:rStyle w:val="28"/>
          <w:color w:val="auto"/>
        </w:rPr>
        <w:t>第十章  强化规划实施保障</w:t>
      </w:r>
      <w:r>
        <w:rPr>
          <w:color w:val="auto"/>
        </w:rPr>
        <w:tab/>
      </w:r>
      <w:r>
        <w:rPr>
          <w:color w:val="auto"/>
        </w:rPr>
        <w:fldChar w:fldCharType="begin"/>
      </w:r>
      <w:r>
        <w:rPr>
          <w:color w:val="auto"/>
        </w:rPr>
        <w:instrText xml:space="preserve"> PAGEREF _Toc62244293 \h </w:instrText>
      </w:r>
      <w:r>
        <w:rPr>
          <w:color w:val="auto"/>
        </w:rPr>
        <w:fldChar w:fldCharType="separate"/>
      </w:r>
      <w:r>
        <w:rPr>
          <w:color w:val="auto"/>
        </w:rPr>
        <w:t>112</w:t>
      </w:r>
      <w:r>
        <w:rPr>
          <w:color w:val="auto"/>
        </w:rPr>
        <w:fldChar w:fldCharType="end"/>
      </w:r>
      <w:r>
        <w:rPr>
          <w:color w:val="auto"/>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"_Toc62244294" </w:instrText>
      </w:r>
      <w:r>
        <w:rPr>
          <w:color w:val="auto"/>
        </w:rPr>
        <w:fldChar w:fldCharType="separate"/>
      </w:r>
      <w:r>
        <w:rPr>
          <w:rStyle w:val="28"/>
          <w:rFonts w:asciiTheme="minorEastAsia" w:hAnsiTheme="minorEastAsia" w:eastAsiaTheme="minorEastAsia"/>
          <w:color w:val="auto"/>
          <w:sz w:val="24"/>
          <w:szCs w:val="24"/>
        </w:rPr>
        <w:t>第一节  加强党的核心领导作用</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_Toc62244294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112</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"_Toc62244295" </w:instrText>
      </w:r>
      <w:r>
        <w:rPr>
          <w:color w:val="auto"/>
        </w:rPr>
        <w:fldChar w:fldCharType="separate"/>
      </w:r>
      <w:r>
        <w:rPr>
          <w:rStyle w:val="28"/>
          <w:rFonts w:asciiTheme="minorEastAsia" w:hAnsiTheme="minorEastAsia" w:eastAsiaTheme="minorEastAsia"/>
          <w:color w:val="auto"/>
          <w:sz w:val="24"/>
          <w:szCs w:val="24"/>
        </w:rPr>
        <w:t>第二节  协调规范规划组织实施</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_Toc62244295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113</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"_Toc62244296" </w:instrText>
      </w:r>
      <w:r>
        <w:rPr>
          <w:color w:val="auto"/>
        </w:rPr>
        <w:fldChar w:fldCharType="separate"/>
      </w:r>
      <w:r>
        <w:rPr>
          <w:rStyle w:val="28"/>
          <w:rFonts w:asciiTheme="minorEastAsia" w:hAnsiTheme="minorEastAsia" w:eastAsiaTheme="minorEastAsia"/>
          <w:color w:val="auto"/>
          <w:sz w:val="24"/>
          <w:szCs w:val="24"/>
        </w:rPr>
        <w:t>第三节  构建强化规划保障体系</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_Toc62244296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113</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pStyle w:val="19"/>
        <w:tabs>
          <w:tab w:val="right" w:leader="dot" w:pos="8296"/>
        </w:tabs>
        <w:spacing w:line="560" w:lineRule="exact"/>
        <w:ind w:left="301" w:firstLine="400"/>
        <w:rPr>
          <w:rStyle w:val="28"/>
          <w:rFonts w:asciiTheme="minorEastAsia" w:hAnsiTheme="minorEastAsia" w:eastAsiaTheme="minorEastAsia"/>
          <w:color w:val="auto"/>
          <w:sz w:val="24"/>
          <w:szCs w:val="24"/>
        </w:rPr>
      </w:pPr>
      <w:r>
        <w:rPr>
          <w:color w:val="auto"/>
        </w:rPr>
        <w:fldChar w:fldCharType="begin"/>
      </w:r>
      <w:r>
        <w:rPr>
          <w:color w:val="auto"/>
        </w:rPr>
        <w:instrText xml:space="preserve"> HYPERLINK \l "_Toc62244297" </w:instrText>
      </w:r>
      <w:r>
        <w:rPr>
          <w:color w:val="auto"/>
        </w:rPr>
        <w:fldChar w:fldCharType="separate"/>
      </w:r>
      <w:r>
        <w:rPr>
          <w:rStyle w:val="28"/>
          <w:rFonts w:asciiTheme="minorEastAsia" w:hAnsiTheme="minorEastAsia" w:eastAsiaTheme="minorEastAsia"/>
          <w:color w:val="auto"/>
          <w:sz w:val="24"/>
          <w:szCs w:val="24"/>
        </w:rPr>
        <w:t>第四节  加强规划动态监测评估</w:t>
      </w:r>
      <w:r>
        <w:rPr>
          <w:rStyle w:val="28"/>
          <w:rFonts w:asciiTheme="minorEastAsia" w:hAnsiTheme="minorEastAsia" w:eastAsiaTheme="minorEastAsia"/>
          <w:color w:val="auto"/>
          <w:sz w:val="24"/>
          <w:szCs w:val="24"/>
        </w:rPr>
        <w:tab/>
      </w:r>
      <w:r>
        <w:rPr>
          <w:rStyle w:val="28"/>
          <w:rFonts w:asciiTheme="minorEastAsia" w:hAnsiTheme="minorEastAsia" w:eastAsiaTheme="minorEastAsia"/>
          <w:color w:val="auto"/>
          <w:sz w:val="24"/>
          <w:szCs w:val="24"/>
        </w:rPr>
        <w:fldChar w:fldCharType="begin"/>
      </w:r>
      <w:r>
        <w:rPr>
          <w:rStyle w:val="28"/>
          <w:rFonts w:asciiTheme="minorEastAsia" w:hAnsiTheme="minorEastAsia" w:eastAsiaTheme="minorEastAsia"/>
          <w:color w:val="auto"/>
          <w:sz w:val="24"/>
          <w:szCs w:val="24"/>
        </w:rPr>
        <w:instrText xml:space="preserve"> PAGEREF _Toc62244297 \h </w:instrText>
      </w:r>
      <w:r>
        <w:rPr>
          <w:rStyle w:val="28"/>
          <w:rFonts w:asciiTheme="minorEastAsia" w:hAnsiTheme="minorEastAsia" w:eastAsiaTheme="minorEastAsia"/>
          <w:color w:val="auto"/>
          <w:sz w:val="24"/>
          <w:szCs w:val="24"/>
        </w:rPr>
        <w:fldChar w:fldCharType="separate"/>
      </w:r>
      <w:r>
        <w:rPr>
          <w:rStyle w:val="28"/>
          <w:rFonts w:asciiTheme="minorEastAsia" w:hAnsiTheme="minorEastAsia" w:eastAsiaTheme="minorEastAsia"/>
          <w:color w:val="auto"/>
          <w:sz w:val="24"/>
          <w:szCs w:val="24"/>
        </w:rPr>
        <w:t>114</w:t>
      </w:r>
      <w:r>
        <w:rPr>
          <w:rStyle w:val="28"/>
          <w:rFonts w:asciiTheme="minorEastAsia" w:hAnsiTheme="minorEastAsia" w:eastAsiaTheme="minorEastAsia"/>
          <w:color w:val="auto"/>
          <w:sz w:val="24"/>
          <w:szCs w:val="24"/>
        </w:rPr>
        <w:fldChar w:fldCharType="end"/>
      </w:r>
      <w:r>
        <w:rPr>
          <w:rStyle w:val="28"/>
          <w:rFonts w:asciiTheme="minorEastAsia" w:hAnsiTheme="minorEastAsia" w:eastAsiaTheme="minorEastAsia"/>
          <w:color w:val="auto"/>
          <w:sz w:val="24"/>
          <w:szCs w:val="24"/>
        </w:rPr>
        <w:fldChar w:fldCharType="end"/>
      </w:r>
    </w:p>
    <w:p>
      <w:pPr>
        <w:spacing w:line="560" w:lineRule="exact"/>
        <w:ind w:firstLine="480"/>
        <w:rPr>
          <w:color w:val="auto"/>
        </w:rPr>
      </w:pPr>
      <w:r>
        <w:rPr>
          <w:rFonts w:ascii="Times New Roman" w:hAnsi="Times New Roman" w:cs="Times New Roman"/>
          <w:color w:val="auto"/>
          <w:sz w:val="24"/>
        </w:rPr>
        <w:fldChar w:fldCharType="end"/>
      </w:r>
    </w:p>
    <w:p>
      <w:pPr>
        <w:pStyle w:val="2"/>
        <w:tabs>
          <w:tab w:val="left" w:pos="1800"/>
        </w:tabs>
        <w:spacing w:line="240" w:lineRule="auto"/>
        <w:rPr>
          <w:color w:val="auto"/>
        </w:rPr>
      </w:pPr>
      <w:bookmarkStart w:id="0" w:name="_Toc62244253"/>
      <w:r>
        <w:rPr>
          <w:color w:val="auto"/>
        </w:rPr>
        <w:t>序言</w:t>
      </w:r>
      <w:bookmarkEnd w:id="0"/>
      <w:r>
        <w:rPr>
          <w:color w:val="auto"/>
        </w:rPr>
        <w:tab/>
      </w:r>
    </w:p>
    <w:p>
      <w:pPr>
        <w:ind w:firstLine="560"/>
        <w:rPr>
          <w:color w:val="auto"/>
          <w:shd w:val="clear" w:color="auto" w:fill="FFFFFF"/>
        </w:rPr>
      </w:pPr>
    </w:p>
    <w:p>
      <w:pPr>
        <w:ind w:firstLine="560"/>
        <w:rPr>
          <w:color w:val="auto"/>
          <w:shd w:val="clear" w:color="auto" w:fill="FFFFFF"/>
        </w:rPr>
      </w:pPr>
      <w:r>
        <w:rPr>
          <w:rFonts w:hint="eastAsia"/>
          <w:color w:val="auto"/>
          <w:shd w:val="clear" w:color="auto" w:fill="FFFFFF"/>
        </w:rPr>
        <w:t>“十四五”时期，是我国“两个一百年”奋斗目标承前启后、全面开启建设社会主义现代化国家新征程的开局期，是阜平县在夺取脱贫攻坚战全面胜利、如期实现与全国同步全面建成小康的基础上，乘势而上向全面建设社会主义现代化迈进的起步期，也是阜平县深入落实</w:t>
      </w:r>
      <w:r>
        <w:rPr>
          <w:color w:val="auto"/>
          <w:shd w:val="clear" w:color="auto" w:fill="FFFFFF"/>
        </w:rPr>
        <w:t>京津冀协同发展战略</w:t>
      </w:r>
      <w:r>
        <w:rPr>
          <w:rFonts w:hint="eastAsia"/>
          <w:color w:val="auto"/>
          <w:shd w:val="clear" w:color="auto" w:fill="FFFFFF"/>
        </w:rPr>
        <w:t>、加速融入京雄保一体化发展新格局、加快</w:t>
      </w:r>
      <w:r>
        <w:rPr>
          <w:color w:val="auto"/>
          <w:shd w:val="clear" w:color="auto" w:fill="FFFFFF"/>
        </w:rPr>
        <w:t>建设保定市西部中心城市的关键阶段</w:t>
      </w:r>
      <w:r>
        <w:rPr>
          <w:rFonts w:hint="eastAsia"/>
          <w:color w:val="auto"/>
          <w:shd w:val="clear" w:color="auto" w:fill="FFFFFF"/>
        </w:rPr>
        <w:t>。时代赋予阜平更光荣的使命，人民寄予阜平更美好的向往，必须以更高站位、更宽视野、</w:t>
      </w:r>
      <w:r>
        <w:rPr>
          <w:color w:val="auto"/>
          <w:shd w:val="clear" w:color="auto" w:fill="FFFFFF"/>
        </w:rPr>
        <w:t>更大格局</w:t>
      </w:r>
      <w:r>
        <w:rPr>
          <w:rFonts w:hint="eastAsia"/>
          <w:color w:val="auto"/>
          <w:shd w:val="clear" w:color="auto" w:fill="FFFFFF"/>
        </w:rPr>
        <w:t>，齐心协力描绘高质量发展新画卷。</w:t>
      </w:r>
    </w:p>
    <w:p>
      <w:pPr>
        <w:ind w:firstLine="560"/>
        <w:rPr>
          <w:color w:val="auto"/>
          <w:shd w:val="clear" w:color="auto" w:fill="FFFFFF"/>
        </w:rPr>
      </w:pPr>
      <w:r>
        <w:rPr>
          <w:rFonts w:hint="eastAsia"/>
          <w:color w:val="auto"/>
          <w:shd w:val="clear" w:color="auto" w:fill="FFFFFF"/>
        </w:rPr>
        <w:t>《阜平县国民经济和社会发展第十四个五年规划和二○三五年远景目标纲要》是在</w:t>
      </w:r>
      <w:r>
        <w:rPr>
          <w:color w:val="auto"/>
          <w:shd w:val="clear" w:color="auto" w:fill="FFFFFF"/>
        </w:rPr>
        <w:t>全面总结“</w:t>
      </w:r>
      <w:r>
        <w:rPr>
          <w:rFonts w:hint="eastAsia"/>
          <w:color w:val="auto"/>
          <w:shd w:val="clear" w:color="auto" w:fill="FFFFFF"/>
        </w:rPr>
        <w:t>十三五</w:t>
      </w:r>
      <w:r>
        <w:rPr>
          <w:color w:val="auto"/>
          <w:shd w:val="clear" w:color="auto" w:fill="FFFFFF"/>
        </w:rPr>
        <w:t>”</w:t>
      </w:r>
      <w:r>
        <w:rPr>
          <w:rFonts w:hint="eastAsia"/>
          <w:color w:val="auto"/>
          <w:shd w:val="clear" w:color="auto" w:fill="FFFFFF"/>
        </w:rPr>
        <w:t>成就</w:t>
      </w:r>
      <w:r>
        <w:rPr>
          <w:color w:val="auto"/>
          <w:shd w:val="clear" w:color="auto" w:fill="FFFFFF"/>
        </w:rPr>
        <w:t>基础上，深入分析“</w:t>
      </w:r>
      <w:r>
        <w:rPr>
          <w:rFonts w:hint="eastAsia"/>
          <w:color w:val="auto"/>
          <w:shd w:val="clear" w:color="auto" w:fill="FFFFFF"/>
        </w:rPr>
        <w:t>十四五</w:t>
      </w:r>
      <w:r>
        <w:rPr>
          <w:color w:val="auto"/>
          <w:shd w:val="clear" w:color="auto" w:fill="FFFFFF"/>
        </w:rPr>
        <w:t>”</w:t>
      </w:r>
      <w:r>
        <w:rPr>
          <w:rFonts w:hint="eastAsia"/>
          <w:color w:val="auto"/>
          <w:shd w:val="clear" w:color="auto" w:fill="FFFFFF"/>
        </w:rPr>
        <w:t>时期</w:t>
      </w:r>
      <w:r>
        <w:rPr>
          <w:color w:val="auto"/>
          <w:shd w:val="clear" w:color="auto" w:fill="FFFFFF"/>
        </w:rPr>
        <w:t>我县面临的</w:t>
      </w:r>
      <w:r>
        <w:rPr>
          <w:rFonts w:hint="eastAsia"/>
          <w:color w:val="auto"/>
          <w:shd w:val="clear" w:color="auto" w:fill="FFFFFF"/>
        </w:rPr>
        <w:t>内外</w:t>
      </w:r>
      <w:r>
        <w:rPr>
          <w:color w:val="auto"/>
          <w:shd w:val="clear" w:color="auto" w:fill="FFFFFF"/>
        </w:rPr>
        <w:t>发展形势，</w:t>
      </w:r>
      <w:r>
        <w:rPr>
          <w:rFonts w:hint="eastAsia"/>
          <w:color w:val="auto"/>
          <w:shd w:val="clear" w:color="auto" w:fill="FFFFFF"/>
        </w:rPr>
        <w:t>深刻认识我国社会主要矛盾变化带来的新特征新要求，深刻认识错综复杂的国际环境带来的新矛盾新挑战。</w:t>
      </w:r>
      <w:r>
        <w:rPr>
          <w:color w:val="auto"/>
          <w:shd w:val="clear" w:color="auto" w:fill="FFFFFF"/>
        </w:rPr>
        <w:t>科学编制并有效实施</w:t>
      </w:r>
      <w:r>
        <w:rPr>
          <w:rFonts w:hint="eastAsia"/>
          <w:color w:val="auto"/>
          <w:shd w:val="clear" w:color="auto" w:fill="FFFFFF"/>
        </w:rPr>
        <w:t>《规划纲要》</w:t>
      </w:r>
      <w:r>
        <w:rPr>
          <w:color w:val="auto"/>
          <w:shd w:val="clear" w:color="auto" w:fill="FFFFFF"/>
        </w:rPr>
        <w:t>，对于我县巩固全面建成小康社会成果，</w:t>
      </w:r>
      <w:r>
        <w:rPr>
          <w:rFonts w:hint="eastAsia"/>
          <w:color w:val="auto"/>
          <w:shd w:val="clear" w:color="auto" w:fill="FFFFFF"/>
        </w:rPr>
        <w:t>准确</w:t>
      </w:r>
      <w:r>
        <w:rPr>
          <w:color w:val="auto"/>
          <w:shd w:val="clear" w:color="auto" w:fill="FFFFFF"/>
        </w:rPr>
        <w:t>把握协同发展的演进趋势，</w:t>
      </w:r>
      <w:r>
        <w:rPr>
          <w:rFonts w:hint="eastAsia"/>
          <w:color w:val="auto"/>
          <w:shd w:val="clear" w:color="auto" w:fill="FFFFFF"/>
        </w:rPr>
        <w:t>抢抓重要战略机遇，在危机中育先机、于变局中开新局，为全面建设社会主义现代化新阜平开好局、起好步</w:t>
      </w:r>
      <w:r>
        <w:rPr>
          <w:color w:val="auto"/>
          <w:shd w:val="clear" w:color="auto" w:fill="FFFFFF"/>
        </w:rPr>
        <w:t>，具有</w:t>
      </w:r>
      <w:r>
        <w:rPr>
          <w:rFonts w:hint="eastAsia"/>
          <w:color w:val="auto"/>
          <w:shd w:val="clear" w:color="auto" w:fill="FFFFFF"/>
        </w:rPr>
        <w:t>重大现实意义和深远历史意义。规划期为2021-2025年</w:t>
      </w:r>
      <w:r>
        <w:rPr>
          <w:color w:val="auto"/>
          <w:shd w:val="clear" w:color="auto" w:fill="FFFFFF"/>
        </w:rPr>
        <w:t>，展望到</w:t>
      </w:r>
      <w:r>
        <w:rPr>
          <w:rFonts w:hint="eastAsia"/>
          <w:color w:val="auto"/>
          <w:shd w:val="clear" w:color="auto" w:fill="FFFFFF"/>
        </w:rPr>
        <w:t>2035年</w:t>
      </w:r>
      <w:r>
        <w:rPr>
          <w:color w:val="auto"/>
          <w:shd w:val="clear" w:color="auto" w:fill="FFFFFF"/>
        </w:rPr>
        <w:t>。</w:t>
      </w:r>
    </w:p>
    <w:p>
      <w:pPr>
        <w:ind w:firstLine="560"/>
        <w:rPr>
          <w:color w:val="auto"/>
          <w:shd w:val="clear" w:color="auto" w:fill="FFFFFF"/>
        </w:rPr>
      </w:pPr>
    </w:p>
    <w:p>
      <w:pPr>
        <w:pStyle w:val="2"/>
        <w:spacing w:line="240" w:lineRule="auto"/>
        <w:jc w:val="center"/>
        <w:rPr>
          <w:color w:val="auto"/>
        </w:rPr>
      </w:pPr>
      <w:bookmarkStart w:id="1" w:name="_Toc62244254"/>
      <w:r>
        <w:rPr>
          <w:rFonts w:hint="eastAsia"/>
          <w:color w:val="auto"/>
        </w:rPr>
        <w:t>第一章  谱写阜平发展新篇章</w:t>
      </w:r>
      <w:bookmarkEnd w:id="1"/>
    </w:p>
    <w:p>
      <w:pPr>
        <w:pStyle w:val="3"/>
        <w:spacing w:before="204"/>
        <w:ind w:firstLine="560" w:firstLineChars="200"/>
        <w:rPr>
          <w:color w:val="auto"/>
          <w:szCs w:val="30"/>
        </w:rPr>
      </w:pPr>
      <w:bookmarkStart w:id="2" w:name="_Toc62244255"/>
      <w:r>
        <w:rPr>
          <w:rFonts w:hint="eastAsia"/>
          <w:color w:val="auto"/>
          <w:szCs w:val="30"/>
        </w:rPr>
        <w:t>第一节  “十三五”时期决胜全面建成小康社会取得决定性成就</w:t>
      </w:r>
      <w:bookmarkEnd w:id="2"/>
    </w:p>
    <w:p>
      <w:pPr>
        <w:ind w:firstLine="560"/>
        <w:rPr>
          <w:color w:val="auto"/>
        </w:rPr>
      </w:pPr>
      <w:r>
        <w:rPr>
          <w:rFonts w:hint="eastAsia"/>
          <w:color w:val="auto"/>
        </w:rPr>
        <w:t>“十三五”时期，阜平县始终牢记习近平总书记视察阜平重要嘱托，在中央、省、市和县委的坚强领导下，打硬仗、谋发展，凝聚起强大的推动力，经济社会发展各个领域均取得了显著成效。</w:t>
      </w:r>
    </w:p>
    <w:p>
      <w:pPr>
        <w:ind w:firstLine="562"/>
        <w:rPr>
          <w:color w:val="auto"/>
        </w:rPr>
      </w:pPr>
      <w:r>
        <w:rPr>
          <w:rFonts w:hint="eastAsia"/>
          <w:b/>
          <w:color w:val="auto"/>
        </w:rPr>
        <w:t>——脱贫攻坚战取得决定性胜利</w:t>
      </w:r>
      <w:r>
        <w:rPr>
          <w:rFonts w:hint="eastAsia"/>
          <w:color w:val="auto"/>
        </w:rPr>
        <w:t>。聚焦“两不愁三保障”，打造以现代食用菌、高效林果、中药材、规模养殖、家庭手工业、生态旅游业为主的扶贫产业体系，实现所有村和所有贫困户全覆盖，食用菌发展到</w:t>
      </w:r>
      <w:r>
        <w:rPr>
          <w:color w:val="auto"/>
        </w:rPr>
        <w:t>2.1万亩，高效林果达到10万亩，中药材种植突破9万亩，新建规模养殖小区210个，培育认定龙头企业45个、专业合作社1022家</w:t>
      </w:r>
      <w:r>
        <w:rPr>
          <w:rFonts w:hint="eastAsia"/>
          <w:color w:val="auto"/>
        </w:rPr>
        <w:t>，其中</w:t>
      </w:r>
      <w:r>
        <w:rPr>
          <w:color w:val="auto"/>
        </w:rPr>
        <w:t>，</w:t>
      </w:r>
      <w:r>
        <w:rPr>
          <w:rFonts w:hint="eastAsia"/>
          <w:color w:val="auto"/>
        </w:rPr>
        <w:t>阜平香菇和硒鸽入选全国产业扶贫典型案例。2020年，各项扶贫产业实现贫困群众人均年产业收入7211元。</w:t>
      </w:r>
      <w:r>
        <w:rPr>
          <w:color w:val="auto"/>
        </w:rPr>
        <w:t>大力</w:t>
      </w:r>
      <w:r>
        <w:rPr>
          <w:rFonts w:hint="eastAsia"/>
          <w:color w:val="auto"/>
        </w:rPr>
        <w:t>完善带贫机制，通过土地入股、基地务工、扶贫公益岗位等多渠道增加贫困群众收入；构建扶贫协作机制，积极探索“互联网+”“金融+”助力模式，有效遏止边脱贫边返贫、边增贫现象。全县实现贫困数量“清仓归零”，</w:t>
      </w:r>
      <w:r>
        <w:rPr>
          <w:color w:val="auto"/>
        </w:rPr>
        <w:t>44415户108121人</w:t>
      </w:r>
      <w:r>
        <w:rPr>
          <w:rFonts w:hint="eastAsia"/>
          <w:color w:val="auto"/>
        </w:rPr>
        <w:t>建档立卡贫困人口全部脱贫，省政府宣布阜平县退出贫困县序列，并高质量通过国家脱贫攻坚普查，</w:t>
      </w:r>
      <w:r>
        <w:rPr>
          <w:rFonts w:hint="eastAsia" w:ascii="仿宋_GB2312" w:hAnsi="仿宋_GB2312" w:eastAsia="仿宋_GB2312" w:cs="仿宋_GB2312"/>
          <w:bCs/>
          <w:color w:val="auto"/>
        </w:rPr>
        <w:t>入选首批全国脱贫攻坚交流基地</w:t>
      </w:r>
      <w:r>
        <w:rPr>
          <w:rFonts w:hint="eastAsia"/>
          <w:color w:val="auto"/>
        </w:rPr>
        <w:t>。</w:t>
      </w:r>
    </w:p>
    <w:p>
      <w:pPr>
        <w:ind w:firstLine="562"/>
        <w:rPr>
          <w:color w:val="auto"/>
        </w:rPr>
      </w:pPr>
      <w:r>
        <w:rPr>
          <w:rFonts w:hint="eastAsia"/>
          <w:b/>
          <w:color w:val="auto"/>
        </w:rPr>
        <w:t>——全县经济综合实力迈上新台阶</w:t>
      </w:r>
      <w:r>
        <w:rPr>
          <w:rFonts w:hint="eastAsia"/>
          <w:color w:val="auto"/>
        </w:rPr>
        <w:t>。</w:t>
      </w:r>
      <w:r>
        <w:rPr>
          <w:color w:val="auto"/>
        </w:rPr>
        <w:t>2020</w:t>
      </w:r>
      <w:r>
        <w:rPr>
          <w:rFonts w:hint="eastAsia"/>
          <w:color w:val="auto"/>
        </w:rPr>
        <w:t>年，全县实现地区生产总值</w:t>
      </w:r>
      <w:r>
        <w:rPr>
          <w:color w:val="auto"/>
        </w:rPr>
        <w:t>50.1</w:t>
      </w:r>
      <w:r>
        <w:rPr>
          <w:rFonts w:hint="eastAsia"/>
          <w:color w:val="auto"/>
        </w:rPr>
        <w:t>亿元，较“十二五”末期增长72.2%，年均增速达11.5%，</w:t>
      </w:r>
      <w:r>
        <w:rPr>
          <w:color w:val="auto"/>
        </w:rPr>
        <w:t>其中，规模以上工业增加值</w:t>
      </w:r>
      <w:r>
        <w:rPr>
          <w:rFonts w:hint="eastAsia"/>
          <w:color w:val="auto"/>
        </w:rPr>
        <w:t>实现3.6亿元。经济发展活力不断增强，消费对经济增长的</w:t>
      </w:r>
      <w:r>
        <w:rPr>
          <w:color w:val="auto"/>
        </w:rPr>
        <w:t>拉动</w:t>
      </w:r>
      <w:r>
        <w:rPr>
          <w:rFonts w:hint="eastAsia"/>
          <w:color w:val="auto"/>
        </w:rPr>
        <w:t>作用进一步巩固，三次产业结构由2015年的23.6:12.0:64.4调整为</w:t>
      </w:r>
      <w:r>
        <w:rPr>
          <w:color w:val="auto"/>
        </w:rPr>
        <w:t>30.5:12.1:57.4</w:t>
      </w:r>
      <w:r>
        <w:rPr>
          <w:rFonts w:hint="eastAsia"/>
          <w:color w:val="auto"/>
        </w:rPr>
        <w:t>。2020年，实现城乡居民人均可支配收入约1.</w:t>
      </w:r>
      <w:r>
        <w:rPr>
          <w:color w:val="auto"/>
        </w:rPr>
        <w:t>6</w:t>
      </w:r>
      <w:r>
        <w:rPr>
          <w:rFonts w:hint="eastAsia"/>
          <w:color w:val="auto"/>
        </w:rPr>
        <w:t>万元，其中，农村居民人均可支配收入</w:t>
      </w:r>
      <w:r>
        <w:rPr>
          <w:color w:val="auto"/>
        </w:rPr>
        <w:t>10829</w:t>
      </w:r>
      <w:r>
        <w:rPr>
          <w:rFonts w:hint="eastAsia"/>
          <w:color w:val="auto"/>
        </w:rPr>
        <w:t>元，较“十二五”末期增长</w:t>
      </w:r>
      <w:r>
        <w:rPr>
          <w:color w:val="auto"/>
        </w:rPr>
        <w:t>86</w:t>
      </w:r>
      <w:r>
        <w:rPr>
          <w:rFonts w:hint="eastAsia"/>
          <w:color w:val="auto"/>
        </w:rPr>
        <w:t>%。全县居民储蓄存款余额突破百亿达到121.91亿元；社会消费品零售总额实现9.6亿元</w:t>
      </w:r>
      <w:r>
        <w:rPr>
          <w:color w:val="auto"/>
        </w:rPr>
        <w:t>；</w:t>
      </w:r>
      <w:r>
        <w:rPr>
          <w:rFonts w:hint="eastAsia"/>
          <w:color w:val="auto"/>
        </w:rPr>
        <w:t>引进外资</w:t>
      </w:r>
      <w:r>
        <w:rPr>
          <w:color w:val="auto"/>
        </w:rPr>
        <w:t>20</w:t>
      </w:r>
      <w:r>
        <w:rPr>
          <w:rFonts w:hint="eastAsia"/>
          <w:color w:val="auto"/>
        </w:rPr>
        <w:t>万美元，出口额</w:t>
      </w:r>
      <w:r>
        <w:rPr>
          <w:color w:val="auto"/>
        </w:rPr>
        <w:t>45</w:t>
      </w:r>
      <w:r>
        <w:rPr>
          <w:rFonts w:hint="eastAsia"/>
          <w:color w:val="auto"/>
        </w:rPr>
        <w:t>万美元。</w:t>
      </w:r>
      <w:r>
        <w:rPr>
          <w:color w:val="auto"/>
        </w:rPr>
        <w:t>2020年全部财政收入66276万元，较</w:t>
      </w:r>
      <w:r>
        <w:rPr>
          <w:rFonts w:hint="eastAsia"/>
          <w:color w:val="auto"/>
        </w:rPr>
        <w:t>“</w:t>
      </w:r>
      <w:r>
        <w:rPr>
          <w:color w:val="auto"/>
        </w:rPr>
        <w:t>十</w:t>
      </w:r>
      <w:r>
        <w:rPr>
          <w:rFonts w:hint="eastAsia"/>
          <w:color w:val="auto"/>
        </w:rPr>
        <w:t>二</w:t>
      </w:r>
      <w:r>
        <w:rPr>
          <w:color w:val="auto"/>
        </w:rPr>
        <w:t>五</w:t>
      </w:r>
      <w:r>
        <w:rPr>
          <w:rFonts w:hint="eastAsia"/>
          <w:color w:val="auto"/>
        </w:rPr>
        <w:t>”</w:t>
      </w:r>
      <w:r>
        <w:rPr>
          <w:color w:val="auto"/>
        </w:rPr>
        <w:t>期末增长131.9%</w:t>
      </w:r>
      <w:r>
        <w:rPr>
          <w:rFonts w:hint="eastAsia"/>
          <w:color w:val="auto"/>
        </w:rPr>
        <w:t>；</w:t>
      </w:r>
      <w:r>
        <w:rPr>
          <w:color w:val="auto"/>
        </w:rPr>
        <w:t>一般公共预算收入53379万元，较</w:t>
      </w:r>
      <w:r>
        <w:rPr>
          <w:rFonts w:hint="eastAsia"/>
          <w:color w:val="auto"/>
        </w:rPr>
        <w:t>“</w:t>
      </w:r>
      <w:r>
        <w:rPr>
          <w:color w:val="auto"/>
        </w:rPr>
        <w:t>十</w:t>
      </w:r>
      <w:r>
        <w:rPr>
          <w:rFonts w:hint="eastAsia"/>
          <w:color w:val="auto"/>
        </w:rPr>
        <w:t>二</w:t>
      </w:r>
      <w:r>
        <w:rPr>
          <w:color w:val="auto"/>
        </w:rPr>
        <w:t>五</w:t>
      </w:r>
      <w:r>
        <w:rPr>
          <w:rFonts w:hint="eastAsia"/>
          <w:color w:val="auto"/>
        </w:rPr>
        <w:t>”</w:t>
      </w:r>
      <w:r>
        <w:rPr>
          <w:color w:val="auto"/>
        </w:rPr>
        <w:t>期末增长127.2%。</w:t>
      </w:r>
      <w:r>
        <w:rPr>
          <w:rFonts w:hint="eastAsia"/>
          <w:color w:val="auto"/>
        </w:rPr>
        <w:t>全县用电量5.06亿千瓦时，较“十二五”末期增长138.6%。</w:t>
      </w:r>
    </w:p>
    <w:p>
      <w:pPr>
        <w:ind w:firstLine="562"/>
        <w:rPr>
          <w:color w:val="auto"/>
        </w:rPr>
      </w:pPr>
      <w:r>
        <w:rPr>
          <w:rFonts w:hint="eastAsia"/>
          <w:b/>
          <w:color w:val="auto"/>
        </w:rPr>
        <w:t>——园区载体建设助推产业升级</w:t>
      </w:r>
      <w:r>
        <w:rPr>
          <w:rFonts w:hint="eastAsia"/>
          <w:color w:val="auto"/>
        </w:rPr>
        <w:t>。把壮大县域经济作为高质量发展总抓手，聚力项目和园区建设，谋划启动了先进装备制造区、农副产品加工园区、大健康医疗及文创区、基础设施配套服务区等建设项目，“一心两带四片区”建设格局基本形成。招商引资成果显著，累计签约引进项目</w:t>
      </w:r>
      <w:r>
        <w:rPr>
          <w:color w:val="auto"/>
        </w:rPr>
        <w:t>50个，计划总投资逾180亿元</w:t>
      </w:r>
      <w:r>
        <w:rPr>
          <w:rFonts w:hint="eastAsia"/>
          <w:color w:val="auto"/>
        </w:rPr>
        <w:t>，水泥粉磨站、云花溪谷、硒鸽肉鸽养殖及屠宰加工、新六种猪场、大正食品、醇油坊、荷马金桥服务外包基地等项目实现投产，阜平北京文创园一期文化会客厅建成投用。截止2020年底，阜平经济开发区共有注册企业95家，其中，规上工业企业22家、规上服务业2家、引进外资企业2家、规下及其他企业69家；完成营业收入16亿元，同比增长26.3%；税收收入11000万元，同比增长14.4%。</w:t>
      </w:r>
    </w:p>
    <w:p>
      <w:pPr>
        <w:ind w:firstLine="562"/>
        <w:rPr>
          <w:color w:val="auto"/>
        </w:rPr>
      </w:pPr>
      <w:r>
        <w:rPr>
          <w:rFonts w:hint="eastAsia"/>
          <w:b/>
          <w:color w:val="auto"/>
        </w:rPr>
        <w:t>——城乡统筹构建基础设施网络体系</w:t>
      </w:r>
      <w:r>
        <w:rPr>
          <w:rFonts w:hint="eastAsia"/>
          <w:color w:val="auto"/>
        </w:rPr>
        <w:t>。坚持全域统筹，推进多规合一，国土空间规划编制完成初步成果。县城建设实现扩容提质，“一心、三带、两片区”</w:t>
      </w:r>
      <w:r>
        <w:rPr>
          <w:color w:val="auto"/>
        </w:rPr>
        <w:t>的城市格局基本形成</w:t>
      </w:r>
      <w:r>
        <w:rPr>
          <w:rFonts w:hint="eastAsia"/>
          <w:color w:val="auto"/>
        </w:rPr>
        <w:t>，老城区风貌显著提升。推进城乡客运一体化，公交线路实现城区和主要乡镇全覆盖，新改建三级以上公路</w:t>
      </w:r>
      <w:r>
        <w:rPr>
          <w:color w:val="auto"/>
        </w:rPr>
        <w:t>501公里，新建农村公路710公里</w:t>
      </w:r>
      <w:r>
        <w:rPr>
          <w:rFonts w:hint="eastAsia"/>
          <w:color w:val="auto"/>
        </w:rPr>
        <w:t>，公路通车总里程达1828公里，获评“四好农村路”</w:t>
      </w:r>
      <w:r>
        <w:rPr>
          <w:color w:val="auto"/>
        </w:rPr>
        <w:t>省级示范县</w:t>
      </w:r>
      <w:r>
        <w:rPr>
          <w:rFonts w:hint="eastAsia"/>
          <w:color w:val="auto"/>
        </w:rPr>
        <w:t>，“一心两环七射八联”的交通路网格局基本形成；随着太行山高速阜平至西柏坡段建成通车，西阜高速城南庄连接线动工建设，配合完成雄忻铁路（阜平段）线路定位和征拆核查，通用机场空域获中部战区批复，全县对外立体交通体系建设实现突破。持续改善群众生产生活条件，县城建成区绿地率达到38.3%；深入开展农村人居环境整治，大力推进农村厕所革命，新建5个农村垃圾转运站，城乡环卫市场化保洁面积达</w:t>
      </w:r>
      <w:r>
        <w:rPr>
          <w:color w:val="auto"/>
        </w:rPr>
        <w:t>719</w:t>
      </w:r>
      <w:r>
        <w:rPr>
          <w:rFonts w:hint="eastAsia"/>
          <w:color w:val="auto"/>
        </w:rPr>
        <w:t>万平米，城乡面貌焕然一新。成功</w:t>
      </w:r>
      <w:r>
        <w:rPr>
          <w:color w:val="auto"/>
        </w:rPr>
        <w:t>获批河北省第一批新型智慧城市建设试点</w:t>
      </w:r>
      <w:r>
        <w:rPr>
          <w:rFonts w:hint="eastAsia"/>
          <w:color w:val="auto"/>
        </w:rPr>
        <w:t>，实现光纤宽带对所有行政村、</w:t>
      </w:r>
      <w:r>
        <w:rPr>
          <w:color w:val="auto"/>
        </w:rPr>
        <w:t>5G网络对县城及重点区域全覆盖。</w:t>
      </w:r>
    </w:p>
    <w:p>
      <w:pPr>
        <w:ind w:firstLine="562"/>
        <w:rPr>
          <w:color w:val="auto"/>
        </w:rPr>
      </w:pPr>
      <w:r>
        <w:rPr>
          <w:rFonts w:hint="eastAsia"/>
          <w:b/>
          <w:color w:val="auto"/>
        </w:rPr>
        <w:t>——人民群众幸福指数不断提高</w:t>
      </w:r>
      <w:r>
        <w:rPr>
          <w:rFonts w:hint="eastAsia"/>
          <w:color w:val="auto"/>
        </w:rPr>
        <w:t>。教育事业迈上新台阶，顺利</w:t>
      </w:r>
      <w:r>
        <w:rPr>
          <w:color w:val="auto"/>
        </w:rPr>
        <w:t>通过</w:t>
      </w:r>
      <w:r>
        <w:rPr>
          <w:rFonts w:hint="eastAsia"/>
          <w:color w:val="auto"/>
        </w:rPr>
        <w:t>国家义务教育基本均衡县验收</w:t>
      </w:r>
      <w:r>
        <w:rPr>
          <w:color w:val="auto"/>
        </w:rPr>
        <w:t>，</w:t>
      </w:r>
      <w:r>
        <w:rPr>
          <w:rFonts w:hint="eastAsia"/>
          <w:color w:val="auto"/>
        </w:rPr>
        <w:t>教育扶贫工作被教育部评为全国先进典型案例，阜平中学被清华大学授予“优秀生源基地”；与河北软件职业技术学院联办5年制（3+2）普通高职大专班，在职教中心设立保定职业技术学院阜平校区，成立北京—燕太片区职教扶贫协作区</w:t>
      </w:r>
      <w:r>
        <w:rPr>
          <w:color w:val="auto"/>
        </w:rPr>
        <w:t>，开展“3+2”“3+4”贯通培养和“职普融通”试点</w:t>
      </w:r>
      <w:r>
        <w:rPr>
          <w:rFonts w:hint="eastAsia"/>
          <w:color w:val="auto"/>
        </w:rPr>
        <w:t>，职教中心中高职并存的办学格局初步形成。卫生事业实现新发展，顺利通过省级健康促进县创建评估验收；中医院、疾控中心、妇幼保健院等项目竣工投用，县中医院与国家中医科学院签订深度帮扶协议。养老服务能力获得</w:t>
      </w:r>
      <w:r>
        <w:rPr>
          <w:color w:val="auto"/>
        </w:rPr>
        <w:t>新提升</w:t>
      </w:r>
      <w:r>
        <w:rPr>
          <w:rFonts w:hint="eastAsia"/>
          <w:color w:val="auto"/>
        </w:rPr>
        <w:t>，构建县、乡、村三级养老服务体系，新建乡镇敬老院</w:t>
      </w:r>
      <w:r>
        <w:rPr>
          <w:color w:val="auto"/>
        </w:rPr>
        <w:t>4所、村级幸福院15所</w:t>
      </w:r>
      <w:r>
        <w:rPr>
          <w:rFonts w:hint="eastAsia"/>
          <w:color w:val="auto"/>
        </w:rPr>
        <w:t>。文化事业展现新气象，建设</w:t>
      </w:r>
      <w:r>
        <w:rPr>
          <w:color w:val="auto"/>
        </w:rPr>
        <w:t>完成</w:t>
      </w:r>
      <w:r>
        <w:rPr>
          <w:rFonts w:hint="eastAsia"/>
          <w:color w:val="auto"/>
        </w:rPr>
        <w:t>“四馆一站</w:t>
      </w:r>
      <w:r>
        <w:rPr>
          <w:color w:val="auto"/>
        </w:rPr>
        <w:t>一中心</w:t>
      </w:r>
      <w:r>
        <w:rPr>
          <w:rFonts w:hint="eastAsia"/>
          <w:color w:val="auto"/>
        </w:rPr>
        <w:t>”，大力挖掘文化非遗，认定4项市级、12项县级非遗，整理3项申报省级非遗；成功举办北京文创大赛燕太片区赛事等系列活动。</w:t>
      </w:r>
    </w:p>
    <w:p>
      <w:pPr>
        <w:ind w:firstLine="562"/>
        <w:rPr>
          <w:color w:val="auto"/>
        </w:rPr>
      </w:pPr>
      <w:r>
        <w:rPr>
          <w:rFonts w:hint="eastAsia"/>
          <w:b/>
          <w:color w:val="auto"/>
        </w:rPr>
        <w:t>——生态环境质量实现全面提升</w:t>
      </w:r>
      <w:r>
        <w:rPr>
          <w:rFonts w:hint="eastAsia"/>
          <w:color w:val="auto"/>
        </w:rPr>
        <w:t>。坚持打好“蓝天、碧水、净土”三大战役，生态环境质量全面提升。实施清洁能源替代工作计划，强化扬尘治理和尾气监管，逐步建立大气主要污染物监测、管控和预警系统，空气综合指数和PM2.5同比实现双下降，空气质量优良天数比率达到70.68%，较“十二五”期末改善56.36%；以白洋淀上游流域综合治理为重点，深入推进水污染防治，严格县域内涉水企业的环境监管，</w:t>
      </w:r>
      <w:r>
        <w:rPr>
          <w:color w:val="auto"/>
        </w:rPr>
        <w:t>河流断面水质监测达标率为</w:t>
      </w:r>
      <w:r>
        <w:rPr>
          <w:rFonts w:hint="eastAsia"/>
          <w:color w:val="auto"/>
        </w:rPr>
        <w:t>100</w:t>
      </w:r>
      <w:r>
        <w:rPr>
          <w:color w:val="auto"/>
        </w:rPr>
        <w:t>%</w:t>
      </w:r>
      <w:r>
        <w:rPr>
          <w:rFonts w:hint="eastAsia"/>
          <w:color w:val="auto"/>
        </w:rPr>
        <w:t>；扎实推进生态保护修复，深入开展“1+5”专项整治行动，持续抓好责任主体灭失矿山治理修复，森林覆盖率由“十二五”期末的41.</w:t>
      </w:r>
      <w:r>
        <w:rPr>
          <w:color w:val="auto"/>
        </w:rPr>
        <w:t>1</w:t>
      </w:r>
      <w:r>
        <w:rPr>
          <w:rFonts w:hint="eastAsia"/>
          <w:color w:val="auto"/>
        </w:rPr>
        <w:t>%提高到4</w:t>
      </w:r>
      <w:r>
        <w:rPr>
          <w:color w:val="auto"/>
        </w:rPr>
        <w:t>9.18</w:t>
      </w:r>
      <w:r>
        <w:rPr>
          <w:rFonts w:hint="eastAsia"/>
          <w:color w:val="auto"/>
        </w:rPr>
        <w:t>%。</w:t>
      </w:r>
    </w:p>
    <w:p>
      <w:pPr>
        <w:ind w:firstLine="562"/>
        <w:rPr>
          <w:color w:val="auto"/>
        </w:rPr>
      </w:pPr>
      <w:r>
        <w:rPr>
          <w:rFonts w:hint="eastAsia"/>
          <w:b/>
          <w:color w:val="auto"/>
        </w:rPr>
        <w:t>——深化改革和</w:t>
      </w:r>
      <w:r>
        <w:rPr>
          <w:b/>
          <w:color w:val="auto"/>
        </w:rPr>
        <w:t>治理</w:t>
      </w:r>
      <w:r>
        <w:rPr>
          <w:rFonts w:hint="eastAsia"/>
          <w:b/>
          <w:color w:val="auto"/>
        </w:rPr>
        <w:t>能力大幅提升</w:t>
      </w:r>
      <w:r>
        <w:rPr>
          <w:rFonts w:hint="eastAsia"/>
          <w:color w:val="auto"/>
        </w:rPr>
        <w:t>。全面推进依法治县工作，深化制度改革，持续优化营商环境，</w:t>
      </w:r>
      <w:r>
        <w:rPr>
          <w:color w:val="auto"/>
        </w:rPr>
        <w:t>企业开办时间压缩至</w:t>
      </w:r>
      <w:r>
        <w:rPr>
          <w:rFonts w:hint="eastAsia"/>
          <w:color w:val="auto"/>
        </w:rPr>
        <w:t>1个</w:t>
      </w:r>
      <w:r>
        <w:rPr>
          <w:color w:val="auto"/>
        </w:rPr>
        <w:t>工作日，</w:t>
      </w:r>
      <w:r>
        <w:rPr>
          <w:rFonts w:hint="eastAsia"/>
          <w:color w:val="auto"/>
        </w:rPr>
        <w:t>502项</w:t>
      </w:r>
      <w:r>
        <w:rPr>
          <w:color w:val="auto"/>
        </w:rPr>
        <w:t>审批服务事项全部</w:t>
      </w:r>
      <w:r>
        <w:rPr>
          <w:rFonts w:hint="eastAsia"/>
          <w:color w:val="auto"/>
        </w:rPr>
        <w:t>实现</w:t>
      </w:r>
      <w:r>
        <w:rPr>
          <w:color w:val="auto"/>
        </w:rPr>
        <w:t>网上办理，</w:t>
      </w:r>
      <w:r>
        <w:rPr>
          <w:rFonts w:hint="eastAsia"/>
          <w:color w:val="auto"/>
        </w:rPr>
        <w:t>160项</w:t>
      </w:r>
      <w:r>
        <w:rPr>
          <w:color w:val="auto"/>
        </w:rPr>
        <w:t>审批事项实现</w:t>
      </w:r>
      <w:r>
        <w:rPr>
          <w:rFonts w:hint="eastAsia"/>
          <w:color w:val="auto"/>
        </w:rPr>
        <w:t>“最多</w:t>
      </w:r>
      <w:r>
        <w:rPr>
          <w:color w:val="auto"/>
        </w:rPr>
        <w:t>跑一次</w:t>
      </w:r>
      <w:r>
        <w:rPr>
          <w:rFonts w:hint="eastAsia"/>
          <w:color w:val="auto"/>
        </w:rPr>
        <w:t>”，100项</w:t>
      </w:r>
      <w:r>
        <w:rPr>
          <w:color w:val="auto"/>
        </w:rPr>
        <w:t>高频事项实现</w:t>
      </w:r>
      <w:r>
        <w:rPr>
          <w:rFonts w:hint="eastAsia"/>
          <w:color w:val="auto"/>
        </w:rPr>
        <w:t>“一窗通办”。提升县域治理能力和水平持续</w:t>
      </w:r>
      <w:r>
        <w:rPr>
          <w:color w:val="auto"/>
        </w:rPr>
        <w:t>提升</w:t>
      </w:r>
      <w:r>
        <w:rPr>
          <w:rFonts w:hint="eastAsia"/>
          <w:color w:val="auto"/>
        </w:rPr>
        <w:t>，开展扫黑除恶专项斗争，完成“天网工程”</w:t>
      </w:r>
      <w:r>
        <w:rPr>
          <w:color w:val="auto"/>
        </w:rPr>
        <w:t>“雪亮工程”，实现治安防控全覆盖，群众安全感明显增强</w:t>
      </w:r>
      <w:r>
        <w:rPr>
          <w:rFonts w:hint="eastAsia"/>
          <w:color w:val="auto"/>
        </w:rPr>
        <w:t>，社会大局持续保持稳定；全力以赴打赢疫情防控阻击战，建立四级网格体系，严格落实“四早”措施，做到及时复工复产，经济社会秩序加快恢复。持续开展重点领域安全生产专项整治，食品药品等重点行业市场监管力度不断强化。</w:t>
      </w:r>
    </w:p>
    <w:p>
      <w:pPr>
        <w:pStyle w:val="3"/>
        <w:spacing w:before="204"/>
        <w:ind w:firstLine="560" w:firstLineChars="200"/>
        <w:rPr>
          <w:color w:val="auto"/>
          <w:szCs w:val="30"/>
        </w:rPr>
      </w:pPr>
      <w:bookmarkStart w:id="3" w:name="_Toc62244256"/>
      <w:r>
        <w:rPr>
          <w:rFonts w:hint="eastAsia"/>
          <w:color w:val="auto"/>
          <w:szCs w:val="30"/>
        </w:rPr>
        <w:t>第二节  “十四五”时期发展环境面临复杂深刻变化</w:t>
      </w:r>
      <w:bookmarkEnd w:id="3"/>
    </w:p>
    <w:p>
      <w:pPr>
        <w:ind w:firstLine="560"/>
        <w:rPr>
          <w:color w:val="auto"/>
        </w:rPr>
      </w:pPr>
      <w:r>
        <w:rPr>
          <w:rFonts w:hint="eastAsia"/>
          <w:color w:val="auto"/>
        </w:rPr>
        <w:t>以辩证思维看待新发展阶段的新机遇新挑战，做到准确识变、科学应变、主动求变，立足阜平基本县情，在区域竞合中定位坐标，实现高质量发展。</w:t>
      </w:r>
    </w:p>
    <w:p>
      <w:pPr>
        <w:pStyle w:val="4"/>
        <w:numPr>
          <w:ilvl w:val="0"/>
          <w:numId w:val="0"/>
        </w:numPr>
        <w:ind w:left="643"/>
        <w:rPr>
          <w:color w:val="auto"/>
        </w:rPr>
      </w:pPr>
      <w:r>
        <w:rPr>
          <w:rFonts w:hint="eastAsia"/>
          <w:color w:val="auto"/>
        </w:rPr>
        <w:t>一、世界处于百年未有之大变局的深度演化期</w:t>
      </w:r>
    </w:p>
    <w:p>
      <w:pPr>
        <w:ind w:firstLine="560"/>
        <w:rPr>
          <w:color w:val="auto"/>
        </w:rPr>
      </w:pPr>
      <w:r>
        <w:rPr>
          <w:rFonts w:hint="eastAsia"/>
          <w:color w:val="auto"/>
        </w:rPr>
        <w:t>当今世界正经历百年未有之大变局，世界进入</w:t>
      </w:r>
      <w:r>
        <w:rPr>
          <w:color w:val="auto"/>
        </w:rPr>
        <w:t>动荡期、变革期</w:t>
      </w:r>
      <w:r>
        <w:rPr>
          <w:rFonts w:hint="eastAsia"/>
          <w:color w:val="auto"/>
        </w:rPr>
        <w:t>。一是全球化格局之变，将重新定义发达国家与发展中国家、特别是其周边的发展中国家的国际分工与合作关系。二是产业链价值链供应链重组之变，全球产业链、供应链面临非经济因素冲击而收缩变短，给相关行业带来影响，加速了产业链、供应链的重构。三是中美关系之变，中美战略博弈将成为常态，国际地缘政治形势将更加严峻。四是新技术应用突破之变，以</w:t>
      </w:r>
      <w:r>
        <w:rPr>
          <w:color w:val="auto"/>
        </w:rPr>
        <w:t>5G</w:t>
      </w:r>
      <w:r>
        <w:rPr>
          <w:rFonts w:hint="eastAsia"/>
          <w:color w:val="auto"/>
        </w:rPr>
        <w:t>、人工智能、物联网、大数据、区块链等为代表的新一代信息技术广泛渗透，给生产生活方式带来前所未有的颠覆性变革。五是新冠肺炎疫情对全球格局</w:t>
      </w:r>
      <w:r>
        <w:rPr>
          <w:color w:val="auto"/>
        </w:rPr>
        <w:t>产生</w:t>
      </w:r>
      <w:r>
        <w:rPr>
          <w:rFonts w:hint="eastAsia"/>
          <w:color w:val="auto"/>
        </w:rPr>
        <w:t>广泛而明显的</w:t>
      </w:r>
      <w:r>
        <w:rPr>
          <w:color w:val="auto"/>
        </w:rPr>
        <w:t>中长期</w:t>
      </w:r>
      <w:r>
        <w:rPr>
          <w:rFonts w:hint="eastAsia"/>
          <w:color w:val="auto"/>
        </w:rPr>
        <w:t>影响，外部发展环境将更加错综复杂。</w:t>
      </w:r>
    </w:p>
    <w:p>
      <w:pPr>
        <w:pStyle w:val="4"/>
        <w:numPr>
          <w:ilvl w:val="0"/>
          <w:numId w:val="0"/>
        </w:numPr>
        <w:ind w:left="643"/>
        <w:rPr>
          <w:color w:val="auto"/>
          <w:spacing w:val="-4"/>
        </w:rPr>
      </w:pPr>
      <w:r>
        <w:rPr>
          <w:rFonts w:hint="eastAsia"/>
          <w:color w:val="auto"/>
          <w:spacing w:val="-4"/>
        </w:rPr>
        <w:t>二</w:t>
      </w:r>
      <w:r>
        <w:rPr>
          <w:color w:val="auto"/>
          <w:spacing w:val="-4"/>
        </w:rPr>
        <w:t>、</w:t>
      </w:r>
      <w:r>
        <w:rPr>
          <w:rFonts w:hint="eastAsia"/>
          <w:color w:val="auto"/>
          <w:spacing w:val="-4"/>
        </w:rPr>
        <w:t>我国处于全面建设社会主义现代化国家新征程的开局起步期</w:t>
      </w:r>
    </w:p>
    <w:p>
      <w:pPr>
        <w:ind w:firstLine="560"/>
        <w:rPr>
          <w:color w:val="auto"/>
        </w:rPr>
      </w:pPr>
      <w:r>
        <w:rPr>
          <w:rFonts w:hint="eastAsia"/>
          <w:color w:val="auto"/>
        </w:rPr>
        <w:t>我国已进入高质量发展阶段，经济社会发展将呈现“五期”阶段特征：一是转型发展进入关键期，要加快构建以国内循环为主体、国内国际双循环相互促进的新发展格局。二是工业化进入中后期，深入实施创新驱动，加快传统产业优化升级，推动新旧动能加速转换，努力打造以创新为主要引领、高尖特新兼具的制造强国。三是城乡和区域发展进入融合期，城镇化呈现出和乡村振兴互促共生、双轮驱动的新局面。四是生态文明建设进入新时期，加快推动生产生活绿色化转型，“两山”理论形成生动实践。五是社会治理现代化进入全面推进期，治理体系和治理能力现代化亟需全面推进，防范化解各类风险挑战能力亟待全面提高。</w:t>
      </w:r>
    </w:p>
    <w:p>
      <w:pPr>
        <w:pStyle w:val="4"/>
        <w:numPr>
          <w:ilvl w:val="0"/>
          <w:numId w:val="0"/>
        </w:numPr>
        <w:ind w:left="643"/>
        <w:rPr>
          <w:color w:val="auto"/>
        </w:rPr>
      </w:pPr>
      <w:r>
        <w:rPr>
          <w:rFonts w:hint="eastAsia"/>
          <w:color w:val="auto"/>
        </w:rPr>
        <w:t>三</w:t>
      </w:r>
      <w:r>
        <w:rPr>
          <w:color w:val="auto"/>
        </w:rPr>
        <w:t>、阜平县</w:t>
      </w:r>
      <w:r>
        <w:rPr>
          <w:rFonts w:hint="eastAsia"/>
          <w:color w:val="auto"/>
        </w:rPr>
        <w:t>处于大有可为但充满挑战的重要战略机遇期</w:t>
      </w:r>
    </w:p>
    <w:p>
      <w:pPr>
        <w:ind w:firstLine="560"/>
        <w:rPr>
          <w:color w:val="auto"/>
        </w:rPr>
      </w:pPr>
      <w:r>
        <w:rPr>
          <w:rFonts w:hint="eastAsia"/>
          <w:color w:val="auto"/>
        </w:rPr>
        <w:t>“十四五”时期，阜平县经济社会发展将处于高质量跨越式发展的关键阶段，既迎来很多有利条件，不确定性和风险挑战也明显加大。</w:t>
      </w:r>
    </w:p>
    <w:p>
      <w:pPr>
        <w:ind w:firstLine="560"/>
        <w:rPr>
          <w:color w:val="auto"/>
        </w:rPr>
      </w:pPr>
      <w:r>
        <w:rPr>
          <w:rFonts w:hint="eastAsia"/>
          <w:color w:val="auto"/>
        </w:rPr>
        <w:t>风险挑战主要来自四个方面：一是县域经济总量偏低、财政收入低位运行、人口规模较小的相对弱势依然存在，经济持续下行压力加大，经济平稳运行面临挑战。二是新旧</w:t>
      </w:r>
      <w:r>
        <w:rPr>
          <w:color w:val="auto"/>
        </w:rPr>
        <w:t>动能转换不快，</w:t>
      </w:r>
      <w:r>
        <w:rPr>
          <w:rFonts w:hint="eastAsia"/>
          <w:color w:val="auto"/>
        </w:rPr>
        <w:t>产业整体处于较低端水平，科技和品牌创新能力偏弱，传统产业核心竞争力不足，提升创新能力面临挑战。三是尽管</w:t>
      </w:r>
      <w:r>
        <w:rPr>
          <w:color w:val="auto"/>
        </w:rPr>
        <w:t>阜平县</w:t>
      </w:r>
      <w:r>
        <w:rPr>
          <w:rFonts w:hint="eastAsia"/>
          <w:color w:val="auto"/>
        </w:rPr>
        <w:t>已经基本实现</w:t>
      </w:r>
      <w:r>
        <w:rPr>
          <w:color w:val="auto"/>
        </w:rPr>
        <w:t>全面建成小康社会，但</w:t>
      </w:r>
      <w:r>
        <w:rPr>
          <w:rFonts w:hint="eastAsia"/>
          <w:color w:val="auto"/>
        </w:rPr>
        <w:t>整体质量和水平与全国平均水平仍有一定差距，发展不平衡不充分</w:t>
      </w:r>
      <w:r>
        <w:rPr>
          <w:color w:val="auto"/>
        </w:rPr>
        <w:t>问题</w:t>
      </w:r>
      <w:r>
        <w:rPr>
          <w:rFonts w:hint="eastAsia"/>
          <w:color w:val="auto"/>
        </w:rPr>
        <w:t>的</w:t>
      </w:r>
      <w:r>
        <w:rPr>
          <w:color w:val="auto"/>
        </w:rPr>
        <w:t>解决面临挑战</w:t>
      </w:r>
      <w:r>
        <w:rPr>
          <w:rFonts w:hint="eastAsia"/>
          <w:color w:val="auto"/>
        </w:rPr>
        <w:t>。四</w:t>
      </w:r>
      <w:r>
        <w:rPr>
          <w:color w:val="auto"/>
        </w:rPr>
        <w:t>是</w:t>
      </w:r>
      <w:r>
        <w:rPr>
          <w:rFonts w:hint="eastAsia"/>
          <w:color w:val="auto"/>
        </w:rPr>
        <w:t>还将面临区域竞争加剧的挑战</w:t>
      </w:r>
      <w:r>
        <w:rPr>
          <w:color w:val="auto"/>
        </w:rPr>
        <w:t>，</w:t>
      </w:r>
      <w:r>
        <w:rPr>
          <w:rFonts w:hint="eastAsia"/>
          <w:color w:val="auto"/>
        </w:rPr>
        <w:t>未来</w:t>
      </w:r>
      <w:r>
        <w:rPr>
          <w:color w:val="auto"/>
        </w:rPr>
        <w:t>在接受京津</w:t>
      </w:r>
      <w:r>
        <w:rPr>
          <w:rFonts w:hint="eastAsia"/>
          <w:color w:val="auto"/>
        </w:rPr>
        <w:t>雄</w:t>
      </w:r>
      <w:r>
        <w:rPr>
          <w:color w:val="auto"/>
        </w:rPr>
        <w:t>辐射</w:t>
      </w:r>
      <w:r>
        <w:rPr>
          <w:rFonts w:hint="eastAsia"/>
          <w:color w:val="auto"/>
        </w:rPr>
        <w:t>带动、</w:t>
      </w:r>
      <w:r>
        <w:rPr>
          <w:color w:val="auto"/>
        </w:rPr>
        <w:t>承接</w:t>
      </w:r>
      <w:r>
        <w:rPr>
          <w:rFonts w:hint="eastAsia"/>
          <w:color w:val="auto"/>
        </w:rPr>
        <w:t>优质</w:t>
      </w:r>
      <w:r>
        <w:rPr>
          <w:color w:val="auto"/>
        </w:rPr>
        <w:t>要素资源</w:t>
      </w:r>
      <w:r>
        <w:rPr>
          <w:rFonts w:hint="eastAsia"/>
          <w:color w:val="auto"/>
        </w:rPr>
        <w:t>方面</w:t>
      </w:r>
      <w:r>
        <w:rPr>
          <w:color w:val="auto"/>
        </w:rPr>
        <w:t>的竞争</w:t>
      </w:r>
      <w:r>
        <w:rPr>
          <w:rFonts w:hint="eastAsia"/>
          <w:color w:val="auto"/>
        </w:rPr>
        <w:t>将更趋激烈。</w:t>
      </w:r>
    </w:p>
    <w:p>
      <w:pPr>
        <w:ind w:firstLine="560"/>
        <w:rPr>
          <w:color w:val="auto"/>
        </w:rPr>
      </w:pPr>
      <w:r>
        <w:rPr>
          <w:rFonts w:hint="eastAsia"/>
          <w:color w:val="auto"/>
        </w:rPr>
        <w:t>应对风险的有利条件也体现在四个方面：一是京津冀协同发展进入新阶段，特别是雄安新区和</w:t>
      </w:r>
      <w:r>
        <w:rPr>
          <w:color w:val="auto"/>
        </w:rPr>
        <w:t>雄忻高铁</w:t>
      </w:r>
      <w:r>
        <w:rPr>
          <w:rFonts w:hint="eastAsia"/>
          <w:color w:val="auto"/>
        </w:rPr>
        <w:t>的</w:t>
      </w:r>
      <w:r>
        <w:rPr>
          <w:color w:val="auto"/>
        </w:rPr>
        <w:t>建设</w:t>
      </w:r>
      <w:r>
        <w:rPr>
          <w:rFonts w:hint="eastAsia"/>
          <w:color w:val="auto"/>
        </w:rPr>
        <w:t>，将阜平纳入“雄安半小时经济圈”，显著提升区位优势，随着京雄保一体化发展新格局</w:t>
      </w:r>
      <w:r>
        <w:rPr>
          <w:color w:val="auto"/>
        </w:rPr>
        <w:t>的</w:t>
      </w:r>
      <w:r>
        <w:rPr>
          <w:rFonts w:hint="eastAsia"/>
          <w:color w:val="auto"/>
        </w:rPr>
        <w:t>开启，京津冀产业协同迎来加速发展期。二是绿色低碳的高质量发展要求凸显生态资源优势，阜平县在构建以产业生态化和生态产业化为主体的生态经济体系方面</w:t>
      </w:r>
      <w:r>
        <w:rPr>
          <w:color w:val="auto"/>
        </w:rPr>
        <w:t>大有可为。</w:t>
      </w:r>
      <w:r>
        <w:rPr>
          <w:rFonts w:hint="eastAsia"/>
          <w:color w:val="auto"/>
        </w:rPr>
        <w:t>三是推动脱贫攻坚与乡村振兴衔接融合的时机已经成熟，“山区</w:t>
      </w:r>
      <w:r>
        <w:rPr>
          <w:color w:val="auto"/>
        </w:rPr>
        <w:t>经济</w:t>
      </w:r>
      <w:r>
        <w:rPr>
          <w:rFonts w:hint="eastAsia"/>
          <w:color w:val="auto"/>
        </w:rPr>
        <w:t>”将为全县经济发展带来新的机遇，注入新的动力；积极</w:t>
      </w:r>
      <w:r>
        <w:rPr>
          <w:color w:val="auto"/>
        </w:rPr>
        <w:t>凸显</w:t>
      </w:r>
      <w:r>
        <w:rPr>
          <w:rFonts w:hint="eastAsia"/>
          <w:color w:val="auto"/>
        </w:rPr>
        <w:t>“</w:t>
      </w:r>
      <w:r>
        <w:rPr>
          <w:color w:val="auto"/>
        </w:rPr>
        <w:t>阜平</w:t>
      </w:r>
      <w:r>
        <w:rPr>
          <w:rFonts w:hint="eastAsia"/>
          <w:color w:val="auto"/>
        </w:rPr>
        <w:t>样板”</w:t>
      </w:r>
      <w:r>
        <w:rPr>
          <w:color w:val="auto"/>
        </w:rPr>
        <w:t>，</w:t>
      </w:r>
      <w:r>
        <w:rPr>
          <w:rFonts w:hint="eastAsia"/>
          <w:color w:val="auto"/>
        </w:rPr>
        <w:t>打造展示中国改革开放、消除贫困丰硕成果的重要宣传</w:t>
      </w:r>
      <w:r>
        <w:rPr>
          <w:color w:val="auto"/>
        </w:rPr>
        <w:t>门户和展示</w:t>
      </w:r>
      <w:r>
        <w:rPr>
          <w:rFonts w:hint="eastAsia"/>
          <w:color w:val="auto"/>
        </w:rPr>
        <w:t>平台。四是供给侧结构性改革和要素优势加快转换，增强全县产业发展支撑。全民消费时代到来，加之</w:t>
      </w:r>
      <w:r>
        <w:rPr>
          <w:color w:val="auto"/>
        </w:rPr>
        <w:t>新冠疫情</w:t>
      </w:r>
      <w:r>
        <w:rPr>
          <w:rFonts w:hint="eastAsia"/>
          <w:color w:val="auto"/>
        </w:rPr>
        <w:t>影响</w:t>
      </w:r>
      <w:r>
        <w:rPr>
          <w:color w:val="auto"/>
        </w:rPr>
        <w:t>，</w:t>
      </w:r>
      <w:r>
        <w:rPr>
          <w:rFonts w:hint="eastAsia"/>
          <w:color w:val="auto"/>
        </w:rPr>
        <w:t>将为阜平全域旅游和生命健康产业的发展</w:t>
      </w:r>
      <w:r>
        <w:rPr>
          <w:color w:val="auto"/>
        </w:rPr>
        <w:t>带来重大</w:t>
      </w:r>
      <w:r>
        <w:rPr>
          <w:rFonts w:hint="eastAsia"/>
          <w:color w:val="auto"/>
        </w:rPr>
        <w:t>契机；中国职业教育走进新时代，为阜平发挥职教优势提供了广阔市场；国家加速推进“两新一重”投资建设</w:t>
      </w:r>
      <w:r>
        <w:rPr>
          <w:color w:val="auto"/>
        </w:rPr>
        <w:t>，</w:t>
      </w:r>
      <w:r>
        <w:rPr>
          <w:rFonts w:hint="eastAsia"/>
          <w:color w:val="auto"/>
        </w:rPr>
        <w:t>有助于</w:t>
      </w:r>
      <w:r>
        <w:rPr>
          <w:color w:val="auto"/>
        </w:rPr>
        <w:t>阜平县</w:t>
      </w:r>
      <w:r>
        <w:rPr>
          <w:rFonts w:hint="eastAsia"/>
          <w:color w:val="auto"/>
        </w:rPr>
        <w:t>继续稳步对接发展机遇与发展政策，加快实现新型城镇化发展目标。</w:t>
      </w:r>
    </w:p>
    <w:p>
      <w:pPr>
        <w:pStyle w:val="3"/>
        <w:spacing w:before="204"/>
        <w:ind w:firstLine="560" w:firstLineChars="200"/>
        <w:rPr>
          <w:color w:val="auto"/>
          <w:szCs w:val="30"/>
        </w:rPr>
      </w:pPr>
      <w:bookmarkStart w:id="4" w:name="_Toc62244257"/>
      <w:r>
        <w:rPr>
          <w:rFonts w:hint="eastAsia"/>
          <w:color w:val="auto"/>
          <w:szCs w:val="30"/>
        </w:rPr>
        <w:t>第三节  加快</w:t>
      </w:r>
      <w:r>
        <w:rPr>
          <w:color w:val="auto"/>
          <w:szCs w:val="30"/>
        </w:rPr>
        <w:t>建设</w:t>
      </w:r>
      <w:r>
        <w:rPr>
          <w:rFonts w:hint="eastAsia"/>
          <w:color w:val="auto"/>
          <w:szCs w:val="30"/>
        </w:rPr>
        <w:t>保定市</w:t>
      </w:r>
      <w:r>
        <w:rPr>
          <w:color w:val="auto"/>
          <w:szCs w:val="30"/>
        </w:rPr>
        <w:t>西部中心城市</w:t>
      </w:r>
      <w:bookmarkEnd w:id="4"/>
    </w:p>
    <w:p>
      <w:pPr>
        <w:pStyle w:val="4"/>
        <w:numPr>
          <w:ilvl w:val="0"/>
          <w:numId w:val="0"/>
        </w:numPr>
        <w:ind w:left="643"/>
        <w:rPr>
          <w:color w:val="auto"/>
        </w:rPr>
      </w:pPr>
      <w:r>
        <w:rPr>
          <w:rFonts w:hint="eastAsia"/>
          <w:color w:val="auto"/>
        </w:rPr>
        <w:t>一</w:t>
      </w:r>
      <w:r>
        <w:rPr>
          <w:color w:val="auto"/>
        </w:rPr>
        <w:t>、</w:t>
      </w:r>
      <w:r>
        <w:rPr>
          <w:rFonts w:hint="eastAsia"/>
          <w:color w:val="auto"/>
        </w:rPr>
        <w:t>指导</w:t>
      </w:r>
      <w:r>
        <w:rPr>
          <w:color w:val="auto"/>
        </w:rPr>
        <w:t>思想</w:t>
      </w:r>
    </w:p>
    <w:p>
      <w:pPr>
        <w:ind w:firstLine="560"/>
        <w:rPr>
          <w:color w:val="auto"/>
        </w:rPr>
      </w:pPr>
      <w:r>
        <w:rPr>
          <w:rFonts w:hint="eastAsia"/>
          <w:color w:val="auto"/>
        </w:rPr>
        <w:t>坚持以习近平新时代中国特色社会主义思想为指导，全面贯彻党的十九大和十九届二中、三中、四中、</w:t>
      </w:r>
      <w:r>
        <w:rPr>
          <w:color w:val="auto"/>
        </w:rPr>
        <w:t>五中</w:t>
      </w:r>
      <w:r>
        <w:rPr>
          <w:rFonts w:hint="eastAsia"/>
          <w:color w:val="auto"/>
        </w:rPr>
        <w:t>全会及习近平总书记在庆祝中国共产党成立</w:t>
      </w:r>
      <w:r>
        <w:rPr>
          <w:color w:val="auto"/>
        </w:rPr>
        <w:t>100周年大会上的重要讲话精神</w:t>
      </w:r>
      <w:r>
        <w:rPr>
          <w:rFonts w:hint="eastAsia"/>
          <w:color w:val="auto"/>
        </w:rPr>
        <w:t>，坚持以马克思列宁主义、毛泽东思想、邓小平理论、“三个代表”重要思想、科学发展观、习近平新时代中国特色社会主义思想为指导，</w:t>
      </w:r>
      <w:r>
        <w:rPr>
          <w:color w:val="auto"/>
        </w:rPr>
        <w:t>准确</w:t>
      </w:r>
      <w:r>
        <w:rPr>
          <w:rFonts w:hint="eastAsia"/>
          <w:color w:val="auto"/>
        </w:rPr>
        <w:t>认识</w:t>
      </w:r>
      <w:r>
        <w:rPr>
          <w:color w:val="auto"/>
        </w:rPr>
        <w:t>和把握</w:t>
      </w:r>
      <w:r>
        <w:rPr>
          <w:rFonts w:hint="eastAsia"/>
          <w:color w:val="auto"/>
        </w:rPr>
        <w:t>“两个</w:t>
      </w:r>
      <w:r>
        <w:rPr>
          <w:color w:val="auto"/>
        </w:rPr>
        <w:t>大局</w:t>
      </w:r>
      <w:r>
        <w:rPr>
          <w:rFonts w:hint="eastAsia"/>
          <w:color w:val="auto"/>
        </w:rPr>
        <w:t>”，深入</w:t>
      </w:r>
      <w:r>
        <w:rPr>
          <w:color w:val="auto"/>
        </w:rPr>
        <w:t>落实习近平总书记</w:t>
      </w:r>
      <w:r>
        <w:rPr>
          <w:rFonts w:hint="eastAsia"/>
          <w:color w:val="auto"/>
        </w:rPr>
        <w:t>对</w:t>
      </w:r>
      <w:r>
        <w:rPr>
          <w:color w:val="auto"/>
        </w:rPr>
        <w:t>河北对保定工作</w:t>
      </w:r>
      <w:r>
        <w:rPr>
          <w:rFonts w:hint="eastAsia"/>
          <w:color w:val="auto"/>
        </w:rPr>
        <w:t>的</w:t>
      </w:r>
      <w:r>
        <w:rPr>
          <w:color w:val="auto"/>
        </w:rPr>
        <w:t>重要指示批示，</w:t>
      </w:r>
      <w:r>
        <w:rPr>
          <w:rFonts w:hint="eastAsia"/>
          <w:color w:val="auto"/>
        </w:rPr>
        <w:t>始终铭记总书记“让乡亲们过上好日子”的殷切嘱托，全面落实党中央、省委、市委重大战略</w:t>
      </w:r>
      <w:r>
        <w:rPr>
          <w:color w:val="auto"/>
        </w:rPr>
        <w:t>决策和</w:t>
      </w:r>
      <w:r>
        <w:rPr>
          <w:rFonts w:hint="eastAsia"/>
          <w:color w:val="auto"/>
        </w:rPr>
        <w:t>工作部署，坚定不移</w:t>
      </w:r>
      <w:r>
        <w:rPr>
          <w:color w:val="auto"/>
        </w:rPr>
        <w:t>贯彻</w:t>
      </w:r>
      <w:r>
        <w:rPr>
          <w:rFonts w:hint="eastAsia"/>
          <w:color w:val="auto"/>
        </w:rPr>
        <w:t>新发展理念，坚持稳中求进工作总基调，以推动高质量发展为主题，以深化供给侧结构性改革为主线，以</w:t>
      </w:r>
      <w:r>
        <w:rPr>
          <w:color w:val="auto"/>
        </w:rPr>
        <w:t>改革创新为根本动力，</w:t>
      </w:r>
      <w:r>
        <w:rPr>
          <w:rFonts w:hint="eastAsia"/>
          <w:color w:val="auto"/>
        </w:rPr>
        <w:t>以</w:t>
      </w:r>
      <w:r>
        <w:rPr>
          <w:color w:val="auto"/>
        </w:rPr>
        <w:t>满足人民日益增长的美好生活</w:t>
      </w:r>
      <w:r>
        <w:rPr>
          <w:rFonts w:hint="eastAsia"/>
          <w:color w:val="auto"/>
        </w:rPr>
        <w:t>需要</w:t>
      </w:r>
      <w:r>
        <w:rPr>
          <w:color w:val="auto"/>
        </w:rPr>
        <w:t>为根本目的，</w:t>
      </w:r>
      <w:r>
        <w:rPr>
          <w:rFonts w:hint="eastAsia"/>
          <w:color w:val="auto"/>
        </w:rPr>
        <w:t>以京津冀协同发展为纲领，以构建“双循环”发展新格局为方向，围绕保定市委京雄保一体化战略布局，贯彻实施“</w:t>
      </w:r>
      <w:r>
        <w:rPr>
          <w:color w:val="auto"/>
        </w:rPr>
        <w:t>11312”总体部署，坚持以人民至上为统领，瞄准“十四五”建设保定市西部中心城市，实现地区生产总值、城乡居民收入“两个翻一番”目标，开展党员干部队伍政治素质、业务能力、工作作风“三个提升工程”，推动实施经济社会发展“十二大任务”，积极融入京雄保一体化发展新格局，全面提升阜平发展品质和群众生活品质，奋力开创新时代阜平跨越发展新局面</w:t>
      </w:r>
      <w:r>
        <w:rPr>
          <w:rFonts w:hint="eastAsia"/>
          <w:color w:val="auto"/>
        </w:rPr>
        <w:t>。</w:t>
      </w:r>
    </w:p>
    <w:p>
      <w:pPr>
        <w:pStyle w:val="4"/>
        <w:numPr>
          <w:ilvl w:val="0"/>
          <w:numId w:val="0"/>
        </w:numPr>
        <w:ind w:left="643"/>
        <w:rPr>
          <w:color w:val="auto"/>
        </w:rPr>
      </w:pPr>
      <w:r>
        <w:rPr>
          <w:rFonts w:hint="eastAsia"/>
          <w:color w:val="auto"/>
        </w:rPr>
        <w:t>二</w:t>
      </w:r>
      <w:r>
        <w:rPr>
          <w:color w:val="auto"/>
        </w:rPr>
        <w:t>、</w:t>
      </w:r>
      <w:r>
        <w:rPr>
          <w:rFonts w:hint="eastAsia"/>
          <w:color w:val="auto"/>
        </w:rPr>
        <w:t>基本原则</w:t>
      </w:r>
    </w:p>
    <w:p>
      <w:pPr>
        <w:ind w:firstLine="562"/>
        <w:rPr>
          <w:color w:val="auto"/>
        </w:rPr>
      </w:pPr>
      <w:r>
        <w:rPr>
          <w:rFonts w:hint="eastAsia"/>
          <w:b/>
          <w:color w:val="auto"/>
        </w:rPr>
        <w:t>——坚持党的全面领导</w:t>
      </w:r>
      <w:r>
        <w:rPr>
          <w:rFonts w:hint="eastAsia"/>
          <w:color w:val="auto"/>
        </w:rPr>
        <w:t>。坚持和完善党领导经济社会发展的体制机制，坚决执行维护党中央权威和集中统一领导的各项制度，始终同以习近平同志为核心的党中央保持高度一致，不断提高贯彻新发展理念、构建新发展格局的能力和水平，为实现高质量发展提供根本保证。</w:t>
      </w:r>
    </w:p>
    <w:p>
      <w:pPr>
        <w:ind w:firstLine="562"/>
        <w:rPr>
          <w:color w:val="auto"/>
        </w:rPr>
      </w:pPr>
      <w:r>
        <w:rPr>
          <w:rFonts w:hint="eastAsia"/>
          <w:b/>
          <w:color w:val="auto"/>
        </w:rPr>
        <w:t>——坚持提升执政能力</w:t>
      </w:r>
      <w:r>
        <w:rPr>
          <w:rFonts w:hint="eastAsia"/>
          <w:color w:val="auto"/>
        </w:rPr>
        <w:t>。坚持执政能力与新时期的社会主义市场经济相适应，着力实施政治素质提升、业务能力提升、工作作风提升“三个提升”工程，主动提升各级党委和领导干部科学判断形势能力、驾驭市场经济能力、应对复杂局面能力、依法执政能力和总揽全局能力，切实保障高质量实现规划目标。</w:t>
      </w:r>
    </w:p>
    <w:p>
      <w:pPr>
        <w:ind w:firstLine="562"/>
        <w:rPr>
          <w:color w:val="auto"/>
        </w:rPr>
      </w:pPr>
      <w:r>
        <w:rPr>
          <w:rFonts w:hint="eastAsia"/>
          <w:b/>
          <w:color w:val="auto"/>
        </w:rPr>
        <w:t>——坚持人民至上</w:t>
      </w:r>
      <w:r>
        <w:rPr>
          <w:rFonts w:hint="eastAsia"/>
          <w:color w:val="auto"/>
        </w:rPr>
        <w:t>。坚持以人民为中心，始终牢记人民至上，始终做到发展为了人民、发展依靠人民、发展成果由人民共享，把为民办事、为民造福作为最重要的政绩，坚持</w:t>
      </w:r>
      <w:r>
        <w:rPr>
          <w:color w:val="auto"/>
        </w:rPr>
        <w:t>共同富裕方向，</w:t>
      </w:r>
      <w:r>
        <w:rPr>
          <w:rFonts w:hint="eastAsia"/>
          <w:color w:val="auto"/>
        </w:rPr>
        <w:t>将</w:t>
      </w:r>
      <w:r>
        <w:rPr>
          <w:color w:val="auto"/>
        </w:rPr>
        <w:t>巩固</w:t>
      </w:r>
      <w:r>
        <w:rPr>
          <w:rFonts w:hint="eastAsia"/>
          <w:color w:val="auto"/>
        </w:rPr>
        <w:t>拓展</w:t>
      </w:r>
      <w:r>
        <w:rPr>
          <w:color w:val="auto"/>
        </w:rPr>
        <w:t>脱贫攻坚成果放在突出位置，</w:t>
      </w:r>
      <w:r>
        <w:rPr>
          <w:rFonts w:hint="eastAsia"/>
          <w:color w:val="auto"/>
        </w:rPr>
        <w:t>及时响应人民对美好生活的向往，深入实施民心工程，维护人民根本利益，不断增进民生福祉。</w:t>
      </w:r>
    </w:p>
    <w:p>
      <w:pPr>
        <w:ind w:firstLine="562"/>
        <w:rPr>
          <w:color w:val="auto"/>
        </w:rPr>
      </w:pPr>
      <w:r>
        <w:rPr>
          <w:rFonts w:hint="eastAsia"/>
          <w:b/>
          <w:color w:val="auto"/>
        </w:rPr>
        <w:t>——坚持新发展理念</w:t>
      </w:r>
      <w:r>
        <w:rPr>
          <w:rFonts w:hint="eastAsia"/>
          <w:color w:val="auto"/>
        </w:rPr>
        <w:t>。坚持把新发展理念贯穿发展全过程和各领域，切实转变发展方式，积极融入新发展格局，创新突破发展难题，加快转型升级和提质增效，推动质量变革、效率变革、动力变革，实现更高质量、更有效率、更加公平、更可持续、更为安全的发展。</w:t>
      </w:r>
    </w:p>
    <w:p>
      <w:pPr>
        <w:ind w:firstLine="562"/>
        <w:rPr>
          <w:color w:val="auto"/>
        </w:rPr>
      </w:pPr>
      <w:r>
        <w:rPr>
          <w:rFonts w:hint="eastAsia"/>
          <w:b/>
          <w:color w:val="auto"/>
        </w:rPr>
        <w:t>——坚持深化改革开放</w:t>
      </w:r>
      <w:r>
        <w:rPr>
          <w:rFonts w:hint="eastAsia"/>
          <w:color w:val="auto"/>
        </w:rPr>
        <w:t>。坚定不移推进深化改革，加快开放步伐，不断激发新发展活力，加强治理体系和治理能力现代化建设，以夯实双循环体系的体制基础为目标，破除影响高质量发展、高品质生活的体制机制障碍，持续增强内生发展动力和可持续发展活力。</w:t>
      </w:r>
    </w:p>
    <w:p>
      <w:pPr>
        <w:ind w:firstLine="562"/>
        <w:rPr>
          <w:color w:val="auto"/>
        </w:rPr>
      </w:pPr>
      <w:r>
        <w:rPr>
          <w:rFonts w:hint="eastAsia"/>
          <w:b/>
          <w:color w:val="auto"/>
        </w:rPr>
        <w:t>——坚持系统观念</w:t>
      </w:r>
      <w:r>
        <w:rPr>
          <w:rFonts w:hint="eastAsia"/>
          <w:color w:val="auto"/>
        </w:rPr>
        <w:t>。加强前瞻性思考、全局性谋划、战略性布局、整体性推进，坚持全县上下一条心、经济社会一盘棋，调动发挥各方面积极性，着力固根基、扬优势、补短板、强弱项，注重防范化解重大风险挑战，实现发展质量、结构、规模、速度、效益、安全相统一。</w:t>
      </w:r>
    </w:p>
    <w:p>
      <w:pPr>
        <w:ind w:firstLine="562"/>
        <w:rPr>
          <w:color w:val="auto"/>
        </w:rPr>
      </w:pPr>
      <w:r>
        <w:rPr>
          <w:rFonts w:hint="eastAsia"/>
          <w:b/>
          <w:color w:val="auto"/>
        </w:rPr>
        <w:t>——坚持协同发展</w:t>
      </w:r>
      <w:r>
        <w:rPr>
          <w:rFonts w:hint="eastAsia"/>
          <w:color w:val="auto"/>
        </w:rPr>
        <w:t>。积极主动深入落实京津冀协同发展战略，服务支撑雄安新区建设，全力推动交通、生态、产业、服务等领域对接合作，积极承接北京非首都功能疏解和保定、雄安资源梯次转移，加快打造京雄保一体化发展融合示范区。</w:t>
      </w:r>
    </w:p>
    <w:p>
      <w:pPr>
        <w:ind w:firstLine="562"/>
        <w:rPr>
          <w:color w:val="auto"/>
        </w:rPr>
      </w:pPr>
      <w:r>
        <w:rPr>
          <w:rFonts w:hint="eastAsia"/>
          <w:b/>
          <w:color w:val="auto"/>
        </w:rPr>
        <w:t>——坚持生态优先</w:t>
      </w:r>
      <w:r>
        <w:rPr>
          <w:rFonts w:hint="eastAsia"/>
          <w:color w:val="auto"/>
        </w:rPr>
        <w:t>。始终把生态环境保护挺在前面，发挥生态最大优势和潜力，深入践行“两山理论”，坚定走生产发展、生活富裕、生态良好的文明发展道路。</w:t>
      </w:r>
    </w:p>
    <w:p>
      <w:pPr>
        <w:pStyle w:val="4"/>
        <w:numPr>
          <w:ilvl w:val="0"/>
          <w:numId w:val="0"/>
        </w:numPr>
        <w:ind w:left="643"/>
        <w:rPr>
          <w:color w:val="auto"/>
        </w:rPr>
      </w:pPr>
      <w:r>
        <w:rPr>
          <w:rFonts w:hint="eastAsia"/>
          <w:color w:val="auto"/>
        </w:rPr>
        <w:t>三</w:t>
      </w:r>
      <w:r>
        <w:rPr>
          <w:color w:val="auto"/>
        </w:rPr>
        <w:t>、</w:t>
      </w:r>
      <w:r>
        <w:rPr>
          <w:rFonts w:hint="eastAsia"/>
          <w:color w:val="auto"/>
        </w:rPr>
        <w:t>发展战略</w:t>
      </w:r>
    </w:p>
    <w:p>
      <w:pPr>
        <w:ind w:firstLine="562"/>
        <w:rPr>
          <w:color w:val="auto"/>
        </w:rPr>
      </w:pPr>
      <w:r>
        <w:rPr>
          <w:rFonts w:hint="eastAsia"/>
          <w:b/>
          <w:color w:val="auto"/>
        </w:rPr>
        <w:t>——创新驱动，转型发展</w:t>
      </w:r>
      <w:r>
        <w:rPr>
          <w:rFonts w:hint="eastAsia"/>
          <w:color w:val="auto"/>
        </w:rPr>
        <w:t>。把创新驱动摆在高质量发展的核心位置，贯穿全局</w:t>
      </w:r>
      <w:r>
        <w:rPr>
          <w:color w:val="auto"/>
        </w:rPr>
        <w:t>引领</w:t>
      </w:r>
      <w:r>
        <w:rPr>
          <w:rFonts w:hint="eastAsia"/>
          <w:color w:val="auto"/>
        </w:rPr>
        <w:t>一切工作，加快培育发展新动能，加速提升产业链水平，打造新载体，探索新模式；发挥企业创新主体作用，构建科技、教育、产业、金融紧密融合的创新体系。</w:t>
      </w:r>
    </w:p>
    <w:p>
      <w:pPr>
        <w:ind w:firstLine="562"/>
        <w:rPr>
          <w:color w:val="auto"/>
        </w:rPr>
      </w:pPr>
      <w:r>
        <w:rPr>
          <w:rFonts w:hint="eastAsia"/>
          <w:b/>
          <w:color w:val="auto"/>
        </w:rPr>
        <w:t>——城乡联动，协调发展</w:t>
      </w:r>
      <w:r>
        <w:rPr>
          <w:rFonts w:hint="eastAsia"/>
          <w:color w:val="auto"/>
        </w:rPr>
        <w:t>。把</w:t>
      </w:r>
      <w:r>
        <w:rPr>
          <w:color w:val="auto"/>
        </w:rPr>
        <w:t>协调</w:t>
      </w:r>
      <w:r>
        <w:rPr>
          <w:rFonts w:hint="eastAsia"/>
          <w:color w:val="auto"/>
        </w:rPr>
        <w:t>统筹</w:t>
      </w:r>
      <w:r>
        <w:rPr>
          <w:color w:val="auto"/>
        </w:rPr>
        <w:t>摆</w:t>
      </w:r>
      <w:r>
        <w:rPr>
          <w:rFonts w:hint="eastAsia"/>
          <w:color w:val="auto"/>
        </w:rPr>
        <w:t>在健康</w:t>
      </w:r>
      <w:r>
        <w:rPr>
          <w:color w:val="auto"/>
        </w:rPr>
        <w:t>发展内</w:t>
      </w:r>
      <w:r>
        <w:rPr>
          <w:rFonts w:hint="eastAsia"/>
          <w:color w:val="auto"/>
        </w:rPr>
        <w:t>在</w:t>
      </w:r>
      <w:r>
        <w:rPr>
          <w:color w:val="auto"/>
        </w:rPr>
        <w:t>要求的保障位置，</w:t>
      </w:r>
      <w:r>
        <w:rPr>
          <w:rFonts w:hint="eastAsia"/>
          <w:color w:val="auto"/>
        </w:rPr>
        <w:t>坚持以人为中心、具有</w:t>
      </w:r>
      <w:r>
        <w:rPr>
          <w:color w:val="auto"/>
        </w:rPr>
        <w:t>阜平特色</w:t>
      </w:r>
      <w:r>
        <w:rPr>
          <w:rFonts w:hint="eastAsia"/>
          <w:color w:val="auto"/>
        </w:rPr>
        <w:t>的新型城镇化道路。优化城乡格局，强化产业支撑，提升宜居水平，建设</w:t>
      </w:r>
      <w:r>
        <w:rPr>
          <w:color w:val="auto"/>
        </w:rPr>
        <w:t>覆盖城乡、基本均等的现代基础设施网络</w:t>
      </w:r>
      <w:r>
        <w:rPr>
          <w:rFonts w:hint="eastAsia"/>
          <w:color w:val="auto"/>
        </w:rPr>
        <w:t>；因地制宜实施乡村振兴战略，探索镇村协同发展模式，增强发展的整体性和协同性。</w:t>
      </w:r>
    </w:p>
    <w:p>
      <w:pPr>
        <w:ind w:firstLine="562"/>
        <w:rPr>
          <w:color w:val="auto"/>
        </w:rPr>
      </w:pPr>
      <w:r>
        <w:rPr>
          <w:rFonts w:hint="eastAsia"/>
          <w:b/>
          <w:color w:val="auto"/>
        </w:rPr>
        <w:t>——生态优先，集约发展</w:t>
      </w:r>
      <w:r>
        <w:rPr>
          <w:rFonts w:hint="eastAsia"/>
          <w:color w:val="auto"/>
        </w:rPr>
        <w:t>。把</w:t>
      </w:r>
      <w:r>
        <w:rPr>
          <w:color w:val="auto"/>
        </w:rPr>
        <w:t>生态文明</w:t>
      </w:r>
      <w:r>
        <w:rPr>
          <w:rFonts w:hint="eastAsia"/>
          <w:color w:val="auto"/>
        </w:rPr>
        <w:t>摆在底线</w:t>
      </w:r>
      <w:r>
        <w:rPr>
          <w:color w:val="auto"/>
        </w:rPr>
        <w:t>和门槛的</w:t>
      </w:r>
      <w:r>
        <w:rPr>
          <w:rFonts w:hint="eastAsia"/>
          <w:color w:val="auto"/>
        </w:rPr>
        <w:t>首要</w:t>
      </w:r>
      <w:r>
        <w:rPr>
          <w:color w:val="auto"/>
        </w:rPr>
        <w:t>位置，</w:t>
      </w:r>
      <w:r>
        <w:rPr>
          <w:rFonts w:hint="eastAsia"/>
          <w:color w:val="auto"/>
        </w:rPr>
        <w:t>发挥生态最大优势和潜力，整合资源，优化布局，深入践行“两山理论”，建设绿色</w:t>
      </w:r>
      <w:r>
        <w:rPr>
          <w:color w:val="auto"/>
        </w:rPr>
        <w:t>阜平、</w:t>
      </w:r>
      <w:r>
        <w:rPr>
          <w:rFonts w:hint="eastAsia"/>
          <w:color w:val="auto"/>
        </w:rPr>
        <w:t>美丽阜平。</w:t>
      </w:r>
    </w:p>
    <w:p>
      <w:pPr>
        <w:ind w:firstLine="562"/>
        <w:rPr>
          <w:color w:val="auto"/>
        </w:rPr>
      </w:pPr>
      <w:r>
        <w:rPr>
          <w:rFonts w:hint="eastAsia"/>
          <w:b/>
          <w:color w:val="auto"/>
        </w:rPr>
        <w:t>——双向循环，协同发展</w:t>
      </w:r>
      <w:r>
        <w:rPr>
          <w:rFonts w:hint="eastAsia"/>
          <w:color w:val="auto"/>
        </w:rPr>
        <w:t>。把</w:t>
      </w:r>
      <w:r>
        <w:rPr>
          <w:color w:val="auto"/>
        </w:rPr>
        <w:t>区域协同摆在</w:t>
      </w:r>
      <w:r>
        <w:rPr>
          <w:rFonts w:hint="eastAsia"/>
          <w:color w:val="auto"/>
        </w:rPr>
        <w:t>支撑</w:t>
      </w:r>
      <w:r>
        <w:rPr>
          <w:color w:val="auto"/>
        </w:rPr>
        <w:t>可持续发展</w:t>
      </w:r>
      <w:r>
        <w:rPr>
          <w:rFonts w:hint="eastAsia"/>
          <w:color w:val="auto"/>
        </w:rPr>
        <w:t>的</w:t>
      </w:r>
      <w:r>
        <w:rPr>
          <w:color w:val="auto"/>
        </w:rPr>
        <w:t>战略</w:t>
      </w:r>
      <w:r>
        <w:rPr>
          <w:rFonts w:hint="eastAsia"/>
          <w:color w:val="auto"/>
        </w:rPr>
        <w:t>位置，持续增强发展动力</w:t>
      </w:r>
      <w:r>
        <w:rPr>
          <w:color w:val="auto"/>
        </w:rPr>
        <w:t>。</w:t>
      </w:r>
      <w:r>
        <w:rPr>
          <w:rFonts w:hint="eastAsia"/>
          <w:color w:val="auto"/>
        </w:rPr>
        <w:t>抓住扩大内需战略基点，完善内外交通网络，优势分工、主动</w:t>
      </w:r>
      <w:r>
        <w:rPr>
          <w:color w:val="auto"/>
        </w:rPr>
        <w:t>融入</w:t>
      </w:r>
      <w:r>
        <w:rPr>
          <w:rFonts w:hint="eastAsia"/>
          <w:color w:val="auto"/>
        </w:rPr>
        <w:t>区域合作，拓展协作发展领域，形成需求牵引供给、供给创造需求的更高水平动态平衡，构建</w:t>
      </w:r>
      <w:r>
        <w:rPr>
          <w:color w:val="auto"/>
        </w:rPr>
        <w:t>新发展格局</w:t>
      </w:r>
      <w:r>
        <w:rPr>
          <w:rFonts w:hint="eastAsia"/>
          <w:color w:val="auto"/>
        </w:rPr>
        <w:t>。</w:t>
      </w:r>
    </w:p>
    <w:p>
      <w:pPr>
        <w:ind w:firstLine="562"/>
        <w:rPr>
          <w:color w:val="auto"/>
        </w:rPr>
      </w:pPr>
      <w:r>
        <w:rPr>
          <w:rFonts w:hint="eastAsia"/>
          <w:b/>
          <w:color w:val="auto"/>
        </w:rPr>
        <w:t>——普惠共享，和谐发展</w:t>
      </w:r>
      <w:r>
        <w:rPr>
          <w:rFonts w:hint="eastAsia"/>
          <w:color w:val="auto"/>
        </w:rPr>
        <w:t>。把人民至上</w:t>
      </w:r>
      <w:r>
        <w:rPr>
          <w:color w:val="auto"/>
        </w:rPr>
        <w:t>摆在全县经济社会发展的</w:t>
      </w:r>
      <w:r>
        <w:rPr>
          <w:rFonts w:hint="eastAsia"/>
          <w:color w:val="auto"/>
        </w:rPr>
        <w:t>主体</w:t>
      </w:r>
      <w:r>
        <w:rPr>
          <w:color w:val="auto"/>
        </w:rPr>
        <w:t>位置。</w:t>
      </w:r>
      <w:r>
        <w:rPr>
          <w:rFonts w:hint="eastAsia"/>
          <w:color w:val="auto"/>
        </w:rPr>
        <w:t>坚持普惠性、均等化增进民生福祉</w:t>
      </w:r>
      <w:r>
        <w:rPr>
          <w:color w:val="auto"/>
        </w:rPr>
        <w:t>，</w:t>
      </w:r>
      <w:r>
        <w:rPr>
          <w:rFonts w:hint="eastAsia"/>
          <w:color w:val="auto"/>
        </w:rPr>
        <w:t>支持发展与巩固脱贫成果关联度高的优势业态与</w:t>
      </w:r>
      <w:r>
        <w:rPr>
          <w:color w:val="auto"/>
        </w:rPr>
        <w:t>服务体系</w:t>
      </w:r>
      <w:r>
        <w:rPr>
          <w:rFonts w:hint="eastAsia"/>
          <w:color w:val="auto"/>
        </w:rPr>
        <w:t>；构建全覆盖、可持续的社保体系，强化公共卫生和疾控体系，促进人口长期均衡和</w:t>
      </w:r>
      <w:r>
        <w:rPr>
          <w:color w:val="auto"/>
        </w:rPr>
        <w:t>全面</w:t>
      </w:r>
      <w:r>
        <w:rPr>
          <w:rFonts w:hint="eastAsia"/>
          <w:color w:val="auto"/>
        </w:rPr>
        <w:t>发展，不断实现人民对美好生活的向往。</w:t>
      </w:r>
    </w:p>
    <w:p>
      <w:pPr>
        <w:pStyle w:val="4"/>
        <w:numPr>
          <w:ilvl w:val="0"/>
          <w:numId w:val="0"/>
        </w:numPr>
        <w:ind w:left="643"/>
        <w:rPr>
          <w:color w:val="auto"/>
        </w:rPr>
      </w:pPr>
      <w:r>
        <w:rPr>
          <w:rFonts w:hint="eastAsia"/>
          <w:color w:val="auto"/>
        </w:rPr>
        <w:t>四</w:t>
      </w:r>
      <w:r>
        <w:rPr>
          <w:color w:val="auto"/>
        </w:rPr>
        <w:t>、</w:t>
      </w:r>
      <w:r>
        <w:rPr>
          <w:rFonts w:hint="eastAsia"/>
          <w:color w:val="auto"/>
        </w:rPr>
        <w:t>总体思路</w:t>
      </w:r>
    </w:p>
    <w:p>
      <w:pPr>
        <w:ind w:firstLine="560"/>
        <w:rPr>
          <w:color w:val="auto"/>
        </w:rPr>
      </w:pPr>
      <w:r>
        <w:rPr>
          <w:rFonts w:hint="eastAsia"/>
          <w:color w:val="auto"/>
        </w:rPr>
        <w:t>全面贯彻高质量发展核心理念，</w:t>
      </w:r>
      <w:r>
        <w:rPr>
          <w:color w:val="auto"/>
        </w:rPr>
        <w:t>坚持</w:t>
      </w:r>
      <w:r>
        <w:rPr>
          <w:rFonts w:hint="eastAsia"/>
          <w:color w:val="auto"/>
        </w:rPr>
        <w:t>“旅游兴县、产业强县、生态富县”发展思路，围绕打造保定市西部中心城市的</w:t>
      </w:r>
      <w:r>
        <w:rPr>
          <w:color w:val="auto"/>
        </w:rPr>
        <w:t>总体</w:t>
      </w:r>
      <w:r>
        <w:rPr>
          <w:rFonts w:hint="eastAsia"/>
          <w:color w:val="auto"/>
        </w:rPr>
        <w:t>定位，着力</w:t>
      </w:r>
      <w:r>
        <w:rPr>
          <w:color w:val="auto"/>
        </w:rPr>
        <w:t>强化</w:t>
      </w:r>
      <w:r>
        <w:rPr>
          <w:rFonts w:hint="eastAsia"/>
          <w:color w:val="auto"/>
        </w:rPr>
        <w:t>交通</w:t>
      </w:r>
      <w:r>
        <w:rPr>
          <w:color w:val="auto"/>
        </w:rPr>
        <w:t>节点建设，</w:t>
      </w:r>
      <w:r>
        <w:rPr>
          <w:rFonts w:hint="eastAsia"/>
          <w:color w:val="auto"/>
        </w:rPr>
        <w:t>积极</w:t>
      </w:r>
      <w:r>
        <w:rPr>
          <w:color w:val="auto"/>
        </w:rPr>
        <w:t>融入区域产业</w:t>
      </w:r>
      <w:r>
        <w:rPr>
          <w:rFonts w:hint="eastAsia"/>
          <w:color w:val="auto"/>
        </w:rPr>
        <w:t>链条</w:t>
      </w:r>
      <w:r>
        <w:rPr>
          <w:color w:val="auto"/>
        </w:rPr>
        <w:t>，</w:t>
      </w:r>
      <w:r>
        <w:rPr>
          <w:rFonts w:hint="eastAsia"/>
          <w:color w:val="auto"/>
        </w:rPr>
        <w:t>充分发挥生态资源优势，</w:t>
      </w:r>
      <w:r>
        <w:rPr>
          <w:color w:val="auto"/>
        </w:rPr>
        <w:t>拓展</w:t>
      </w:r>
      <w:r>
        <w:rPr>
          <w:rFonts w:hint="eastAsia"/>
          <w:color w:val="auto"/>
        </w:rPr>
        <w:t>城市发展新领域和</w:t>
      </w:r>
      <w:r>
        <w:rPr>
          <w:color w:val="auto"/>
        </w:rPr>
        <w:t>新空间</w:t>
      </w:r>
      <w:r>
        <w:rPr>
          <w:rFonts w:hint="eastAsia"/>
          <w:color w:val="auto"/>
        </w:rPr>
        <w:t>，加快建设“一城、四区、一基地”，即以保定市西部中心城市为核心目标，着力落实五大</w:t>
      </w:r>
      <w:r>
        <w:rPr>
          <w:color w:val="auto"/>
        </w:rPr>
        <w:t>战略定位。</w:t>
      </w:r>
    </w:p>
    <w:p>
      <w:pPr>
        <w:ind w:firstLine="562"/>
        <w:rPr>
          <w:color w:val="auto"/>
        </w:rPr>
      </w:pPr>
      <w:r>
        <w:rPr>
          <w:rFonts w:hint="eastAsia"/>
          <w:b/>
          <w:color w:val="auto"/>
        </w:rPr>
        <w:t>——乡村振兴</w:t>
      </w:r>
      <w:r>
        <w:rPr>
          <w:b/>
          <w:color w:val="auto"/>
        </w:rPr>
        <w:t>示范</w:t>
      </w:r>
      <w:r>
        <w:rPr>
          <w:rFonts w:hint="eastAsia"/>
          <w:b/>
          <w:color w:val="auto"/>
        </w:rPr>
        <w:t>先行区</w:t>
      </w:r>
      <w:r>
        <w:rPr>
          <w:rFonts w:hint="eastAsia"/>
          <w:color w:val="auto"/>
        </w:rPr>
        <w:t>。全面实施乡村振兴战略，做好巩固拓展</w:t>
      </w:r>
      <w:r>
        <w:rPr>
          <w:color w:val="auto"/>
        </w:rPr>
        <w:t>脱贫攻坚成果同乡村振兴有效衔接，</w:t>
      </w:r>
      <w:r>
        <w:rPr>
          <w:rFonts w:hint="eastAsia"/>
          <w:color w:val="auto"/>
        </w:rPr>
        <w:t>高质量打造乡村振兴的“阜平样板”。提高农业质量效益，继续做精做优特色农产品，打造以京津冀地区为主要市场、辐射全国的优质特色农产品生产加工供应基地；明确“新型城镇化+”推进主线，分类引导特色镇村体系构建，打造具有“山区特点、老区特色、时代特征”的城乡融合发展的“阜平模式”。以建设扶贫交流基地为契机，打造面向全国乃至世界展示中国消除贫困丰硕成果的重要宣传门户、展示载体和协作平台，积极推动建立边缘地区扶贫协作和经济合作机制，积极参与扶贫话语体系的构建与传播，为人类减贫事业贡献可供借鉴的“阜平经验”。</w:t>
      </w:r>
    </w:p>
    <w:p>
      <w:pPr>
        <w:ind w:firstLine="562"/>
        <w:rPr>
          <w:color w:val="auto"/>
        </w:rPr>
      </w:pPr>
      <w:r>
        <w:rPr>
          <w:rFonts w:hint="eastAsia"/>
          <w:b/>
          <w:color w:val="auto"/>
        </w:rPr>
        <w:t>——“两山”理论创新带动践行区</w:t>
      </w:r>
      <w:r>
        <w:rPr>
          <w:rFonts w:hint="eastAsia"/>
          <w:color w:val="auto"/>
        </w:rPr>
        <w:t>。坚持绿色生态屏障定位，</w:t>
      </w:r>
      <w:r>
        <w:rPr>
          <w:color w:val="auto"/>
        </w:rPr>
        <w:t>以高水平的生态建设推动经济社会高质量发展。</w:t>
      </w:r>
      <w:r>
        <w:rPr>
          <w:rFonts w:hint="eastAsia"/>
          <w:color w:val="auto"/>
        </w:rPr>
        <w:t>持续改善</w:t>
      </w:r>
      <w:r>
        <w:rPr>
          <w:color w:val="auto"/>
        </w:rPr>
        <w:t>环境质量，</w:t>
      </w:r>
      <w:r>
        <w:rPr>
          <w:rFonts w:hint="eastAsia"/>
          <w:color w:val="auto"/>
        </w:rPr>
        <w:t>守住</w:t>
      </w:r>
      <w:r>
        <w:rPr>
          <w:color w:val="auto"/>
        </w:rPr>
        <w:t>自然生态安全边界，</w:t>
      </w:r>
      <w:r>
        <w:rPr>
          <w:rFonts w:hint="eastAsia"/>
          <w:color w:val="auto"/>
        </w:rPr>
        <w:t>构建京津冀生态环境支撑区，创建省级园林城市，打好美丽阜平建设持久战；加快生态经济体系建设，全面推动绿色</w:t>
      </w:r>
      <w:r>
        <w:rPr>
          <w:color w:val="auto"/>
        </w:rPr>
        <w:t>低碳发展，</w:t>
      </w:r>
      <w:r>
        <w:rPr>
          <w:rFonts w:hint="eastAsia"/>
          <w:color w:val="auto"/>
        </w:rPr>
        <w:t>打造太行山绿色产业发展区，高品质发展以生态农业、休闲度假、健康产业为主的原生态经济，有效打通“两山”转化通道；全面</w:t>
      </w:r>
      <w:r>
        <w:rPr>
          <w:color w:val="auto"/>
        </w:rPr>
        <w:t>提高</w:t>
      </w:r>
      <w:r>
        <w:rPr>
          <w:rFonts w:hint="eastAsia"/>
          <w:color w:val="auto"/>
        </w:rPr>
        <w:t>资源</w:t>
      </w:r>
      <w:r>
        <w:rPr>
          <w:color w:val="auto"/>
        </w:rPr>
        <w:t>利用效率，</w:t>
      </w:r>
      <w:r>
        <w:rPr>
          <w:rFonts w:hint="eastAsia"/>
          <w:color w:val="auto"/>
        </w:rPr>
        <w:t>探索生态资源资本化制度，创建生态产品价值实现试验区，发挥区域优势积极争取绿色金融体系和区域生态合作试点，打造京津冀晋绿色崛起示范样板。</w:t>
      </w:r>
    </w:p>
    <w:p>
      <w:pPr>
        <w:ind w:firstLine="562"/>
        <w:rPr>
          <w:color w:val="auto"/>
          <w:shd w:val="clear" w:color="auto" w:fill="FFFFFF"/>
        </w:rPr>
      </w:pPr>
      <w:r>
        <w:rPr>
          <w:rFonts w:hint="eastAsia"/>
          <w:b/>
          <w:color w:val="auto"/>
          <w:shd w:val="clear" w:color="auto" w:fill="FFFFFF"/>
        </w:rPr>
        <w:t>——太行山区绿色产业协同发展</w:t>
      </w:r>
      <w:r>
        <w:rPr>
          <w:b/>
          <w:color w:val="auto"/>
          <w:shd w:val="clear" w:color="auto" w:fill="FFFFFF"/>
        </w:rPr>
        <w:t>区</w:t>
      </w:r>
      <w:r>
        <w:rPr>
          <w:color w:val="auto"/>
          <w:shd w:val="clear" w:color="auto" w:fill="FFFFFF"/>
        </w:rPr>
        <w:t>。</w:t>
      </w:r>
      <w:r>
        <w:rPr>
          <w:rFonts w:hint="eastAsia"/>
          <w:color w:val="auto"/>
          <w:shd w:val="clear" w:color="auto" w:fill="FFFFFF"/>
        </w:rPr>
        <w:t>深入贯彻“产业强县”战略，立足</w:t>
      </w:r>
      <w:r>
        <w:rPr>
          <w:color w:val="auto"/>
          <w:shd w:val="clear" w:color="auto" w:fill="FFFFFF"/>
        </w:rPr>
        <w:t>绿色本底，</w:t>
      </w:r>
      <w:r>
        <w:rPr>
          <w:rFonts w:hint="eastAsia"/>
          <w:color w:val="auto"/>
          <w:shd w:val="clear" w:color="auto" w:fill="FFFFFF"/>
        </w:rPr>
        <w:t>聚焦</w:t>
      </w:r>
      <w:r>
        <w:rPr>
          <w:color w:val="auto"/>
          <w:shd w:val="clear" w:color="auto" w:fill="FFFFFF"/>
        </w:rPr>
        <w:t>健康产业，</w:t>
      </w:r>
      <w:r>
        <w:rPr>
          <w:rFonts w:hint="eastAsia"/>
          <w:color w:val="auto"/>
          <w:shd w:val="clear" w:color="auto" w:fill="FFFFFF"/>
        </w:rPr>
        <w:t>着力强链补链延链，做好梯次产业承接和配套发展，大幅提升产业规模和能级，构建完善现代产业体系。推动传统企业“腾笼换鸟”，引导扶持特色果品、蔬菜、菌类、中药材、畜产品和水产品等加工企业向产业链中高端延伸，打造特色健康食品加工供应基地；实现优势企业“凤栖梧桐”，主动融入</w:t>
      </w:r>
      <w:r>
        <w:rPr>
          <w:color w:val="auto"/>
          <w:shd w:val="clear" w:color="auto" w:fill="FFFFFF"/>
        </w:rPr>
        <w:t>京雄保一体化</w:t>
      </w:r>
      <w:r>
        <w:rPr>
          <w:rFonts w:hint="eastAsia"/>
          <w:color w:val="auto"/>
          <w:shd w:val="clear" w:color="auto" w:fill="FFFFFF"/>
        </w:rPr>
        <w:t>发展新格局，围绕节能环保、医药健康、现代农业、现代物流、食品加工、新材料及相关生产性服务业等，着力引进一批补短板、带发展、促升级的大项目、好项目，构筑优化阜平绿色产业生态圈。</w:t>
      </w:r>
    </w:p>
    <w:p>
      <w:pPr>
        <w:ind w:firstLine="562"/>
        <w:rPr>
          <w:color w:val="auto"/>
        </w:rPr>
      </w:pPr>
      <w:r>
        <w:rPr>
          <w:rFonts w:hint="eastAsia"/>
          <w:b/>
          <w:color w:val="auto"/>
        </w:rPr>
        <w:t>——国家全域旅游示范区</w:t>
      </w:r>
      <w:r>
        <w:rPr>
          <w:rFonts w:hint="eastAsia"/>
          <w:color w:val="auto"/>
        </w:rPr>
        <w:t>。大力</w:t>
      </w:r>
      <w:r>
        <w:rPr>
          <w:color w:val="auto"/>
        </w:rPr>
        <w:t>拓展城乡消费市场，</w:t>
      </w:r>
      <w:r>
        <w:rPr>
          <w:rFonts w:hint="eastAsia"/>
          <w:color w:val="auto"/>
        </w:rPr>
        <w:t>融合打造旅游产业生态圈，盘活全域旅游一盘棋，打造以太行山沿线为核心、辐射京津冀晋乃至全国区域的全域旅游示范区。贯彻“县域即景区”整体发展理念，构筑“一心一环三核四区”的全域旅游战略布局，形成旅游引导城乡融合发展的空间布局；坚持“旅游+”和“+旅游”发展思路，大力推进旅游业与一、二、三产业融合发展，促进产业链条全域化和旅游产业全域辐射带动。</w:t>
      </w:r>
    </w:p>
    <w:p>
      <w:pPr>
        <w:ind w:firstLine="562"/>
        <w:rPr>
          <w:color w:val="auto"/>
        </w:rPr>
      </w:pPr>
      <w:r>
        <w:rPr>
          <w:rFonts w:hint="eastAsia"/>
          <w:b/>
          <w:color w:val="auto"/>
        </w:rPr>
        <w:t>——京津冀都市圈服务保障基地</w:t>
      </w:r>
      <w:r>
        <w:rPr>
          <w:rFonts w:hint="eastAsia"/>
          <w:color w:val="auto"/>
        </w:rPr>
        <w:t>。聚焦</w:t>
      </w:r>
      <w:r>
        <w:rPr>
          <w:color w:val="auto"/>
        </w:rPr>
        <w:t>服务</w:t>
      </w:r>
      <w:r>
        <w:rPr>
          <w:rFonts w:hint="eastAsia"/>
          <w:color w:val="auto"/>
        </w:rPr>
        <w:t>联动</w:t>
      </w:r>
      <w:r>
        <w:rPr>
          <w:color w:val="auto"/>
        </w:rPr>
        <w:t>，</w:t>
      </w:r>
      <w:r>
        <w:rPr>
          <w:rFonts w:hint="eastAsia"/>
          <w:color w:val="auto"/>
        </w:rPr>
        <w:t>深入</w:t>
      </w:r>
      <w:r>
        <w:rPr>
          <w:color w:val="auto"/>
        </w:rPr>
        <w:t>贯彻区域协同发展战略，</w:t>
      </w:r>
      <w:r>
        <w:rPr>
          <w:rFonts w:hint="eastAsia"/>
          <w:color w:val="auto"/>
        </w:rPr>
        <w:t>着力</w:t>
      </w:r>
      <w:r>
        <w:rPr>
          <w:color w:val="auto"/>
        </w:rPr>
        <w:t>打造</w:t>
      </w:r>
      <w:r>
        <w:rPr>
          <w:rFonts w:hint="eastAsia"/>
          <w:color w:val="auto"/>
        </w:rPr>
        <w:t>京津冀都市圈的重要服务保障基地。</w:t>
      </w:r>
      <w:r>
        <w:rPr>
          <w:rFonts w:hint="eastAsia"/>
          <w:color w:val="auto"/>
          <w:shd w:val="clear" w:color="auto" w:fill="FFFFFF"/>
        </w:rPr>
        <w:t>强化重大交通廊道承东启西、贯通南北的支撑作用，探索枢纽型城市发展模式，夯实承接基础，打造京津冀晋四省（市）联动的重要节点。</w:t>
      </w:r>
      <w:r>
        <w:rPr>
          <w:rFonts w:hint="eastAsia"/>
          <w:color w:val="auto"/>
        </w:rPr>
        <w:t>发挥生态、教育、医疗等资源优势，</w:t>
      </w:r>
      <w:r>
        <w:rPr>
          <w:rFonts w:hint="eastAsia"/>
          <w:color w:val="auto"/>
          <w:shd w:val="clear" w:color="auto" w:fill="FFFFFF"/>
        </w:rPr>
        <w:t>深入挖掘职教潜力，加快推动“产城教”融合</w:t>
      </w:r>
      <w:r>
        <w:rPr>
          <w:color w:val="auto"/>
          <w:shd w:val="clear" w:color="auto" w:fill="FFFFFF"/>
        </w:rPr>
        <w:t>发展，</w:t>
      </w:r>
      <w:r>
        <w:rPr>
          <w:rFonts w:hint="eastAsia"/>
          <w:color w:val="auto"/>
          <w:shd w:val="clear" w:color="auto" w:fill="FFFFFF"/>
        </w:rPr>
        <w:t>打造满足全县产业需求、服务京津冀晋市场的高技能、高技术人才培养和输送基地；</w:t>
      </w:r>
      <w:r>
        <w:rPr>
          <w:rFonts w:hint="eastAsia"/>
          <w:color w:val="auto"/>
        </w:rPr>
        <w:t>构建生命健康服务体系，增强“康、养、学、游、体”服务产品供给能力，</w:t>
      </w:r>
      <w:r>
        <w:rPr>
          <w:rFonts w:hint="eastAsia"/>
          <w:color w:val="auto"/>
          <w:shd w:val="clear" w:color="auto" w:fill="FFFFFF"/>
        </w:rPr>
        <w:t>打造京津冀康养服务新高地。</w:t>
      </w:r>
    </w:p>
    <w:p>
      <w:pPr>
        <w:pStyle w:val="4"/>
        <w:numPr>
          <w:ilvl w:val="0"/>
          <w:numId w:val="0"/>
        </w:numPr>
        <w:ind w:left="643"/>
        <w:rPr>
          <w:color w:val="auto"/>
        </w:rPr>
      </w:pPr>
      <w:r>
        <w:rPr>
          <w:rFonts w:hint="eastAsia"/>
          <w:color w:val="auto"/>
        </w:rPr>
        <w:t>五</w:t>
      </w:r>
      <w:r>
        <w:rPr>
          <w:color w:val="auto"/>
        </w:rPr>
        <w:t>、</w:t>
      </w:r>
      <w:r>
        <w:rPr>
          <w:rFonts w:hint="eastAsia"/>
          <w:color w:val="auto"/>
        </w:rPr>
        <w:t>发展</w:t>
      </w:r>
      <w:r>
        <w:rPr>
          <w:color w:val="auto"/>
        </w:rPr>
        <w:t>目标</w:t>
      </w:r>
    </w:p>
    <w:p>
      <w:pPr>
        <w:ind w:firstLine="560"/>
        <w:rPr>
          <w:color w:val="auto"/>
        </w:rPr>
      </w:pPr>
      <w:r>
        <w:rPr>
          <w:rFonts w:hint="eastAsia"/>
          <w:color w:val="auto"/>
        </w:rPr>
        <w:t>按照党的“十九大”明确的全面建设社会主义现代化国家及其“两步走”战略安排，紧紧围绕建设保定市西部中心城市、推动全县GDP和人均收入“两个翻番”的总体目标，努力</w:t>
      </w:r>
      <w:r>
        <w:rPr>
          <w:color w:val="auto"/>
        </w:rPr>
        <w:t>实现</w:t>
      </w:r>
      <w:r>
        <w:rPr>
          <w:rFonts w:hint="eastAsia"/>
          <w:color w:val="auto"/>
        </w:rPr>
        <w:t>“双跨越、四提升”发展</w:t>
      </w:r>
      <w:r>
        <w:rPr>
          <w:color w:val="auto"/>
        </w:rPr>
        <w:t>目标</w:t>
      </w:r>
      <w:r>
        <w:rPr>
          <w:rFonts w:hint="eastAsia"/>
          <w:color w:val="auto"/>
        </w:rPr>
        <w:t>，平稳跨越全面建设社会主义现代化的起步期，为到2035年与全国同步基本实现社会主义现代化奠定坚实基础。</w:t>
      </w:r>
    </w:p>
    <w:p>
      <w:pPr>
        <w:ind w:firstLine="562"/>
        <w:rPr>
          <w:b/>
          <w:color w:val="auto"/>
        </w:rPr>
      </w:pPr>
      <w:r>
        <w:rPr>
          <w:rFonts w:hint="eastAsia"/>
          <w:b/>
          <w:color w:val="auto"/>
        </w:rPr>
        <w:t>1.“双跨越”，即经济总量、发展质量实现新跨越</w:t>
      </w:r>
    </w:p>
    <w:p>
      <w:pPr>
        <w:ind w:firstLine="562"/>
        <w:rPr>
          <w:color w:val="auto"/>
          <w:szCs w:val="32"/>
        </w:rPr>
      </w:pPr>
      <w:r>
        <w:rPr>
          <w:rFonts w:hint="eastAsia"/>
          <w:b/>
          <w:color w:val="auto"/>
          <w:szCs w:val="32"/>
        </w:rPr>
        <w:t>——经济总量实现新跨越</w:t>
      </w:r>
      <w:r>
        <w:rPr>
          <w:rFonts w:hint="eastAsia"/>
          <w:color w:val="auto"/>
          <w:szCs w:val="32"/>
        </w:rPr>
        <w:t>。继续紧扣“发展”第一要务不动摇，抢抓机遇，着力突破，在质量效益明显提升的基础上实现经济持续健康发展，经济结构更加优化，现代化经济体系建设取得重大进展，综合实力大幅攀升。到2025年</w:t>
      </w:r>
      <w:r>
        <w:rPr>
          <w:color w:val="auto"/>
          <w:szCs w:val="32"/>
        </w:rPr>
        <w:t>，</w:t>
      </w:r>
      <w:r>
        <w:rPr>
          <w:rFonts w:hint="eastAsia"/>
          <w:color w:val="auto"/>
          <w:szCs w:val="32"/>
        </w:rPr>
        <w:t>力争全县生产总值、城乡居民人均可支配收入较“十三五”末期均实现翻一番，全县G</w:t>
      </w:r>
      <w:r>
        <w:rPr>
          <w:color w:val="auto"/>
          <w:szCs w:val="32"/>
        </w:rPr>
        <w:t>DP</w:t>
      </w:r>
      <w:r>
        <w:rPr>
          <w:rFonts w:hint="eastAsia"/>
          <w:color w:val="auto"/>
          <w:szCs w:val="32"/>
        </w:rPr>
        <w:t>突破百亿元大关，农村居民人均可支配收入达到</w:t>
      </w:r>
      <w:r>
        <w:rPr>
          <w:color w:val="auto"/>
          <w:szCs w:val="32"/>
        </w:rPr>
        <w:t>22000元</w:t>
      </w:r>
      <w:r>
        <w:rPr>
          <w:rFonts w:hint="eastAsia"/>
          <w:color w:val="auto"/>
          <w:szCs w:val="32"/>
        </w:rPr>
        <w:t>；主要经济指标增速继续保持全市前列。</w:t>
      </w:r>
    </w:p>
    <w:p>
      <w:pPr>
        <w:ind w:firstLine="562"/>
        <w:rPr>
          <w:color w:val="auto"/>
          <w:szCs w:val="32"/>
        </w:rPr>
      </w:pPr>
      <w:r>
        <w:rPr>
          <w:rFonts w:hint="eastAsia"/>
          <w:b/>
          <w:color w:val="auto"/>
          <w:szCs w:val="32"/>
        </w:rPr>
        <w:t>——发展质量实现新跨越</w:t>
      </w:r>
      <w:r>
        <w:rPr>
          <w:rFonts w:hint="eastAsia"/>
          <w:color w:val="auto"/>
          <w:szCs w:val="32"/>
        </w:rPr>
        <w:t>。创新能力显著提升，创新体系不断完善，发展效益大幅增长。园区发展由量变转向质变，承接京津保产业转移取得明显成效。现代农业规模化、标准化、集约化、产业化格局基本形成，战略性新兴产业、现代服务经济占比大幅提升，战略性新兴产业占规上工业增加值比重达到或接近全省平均水平，新动能成为拉动经济增长的主动力。</w:t>
      </w:r>
    </w:p>
    <w:p>
      <w:pPr>
        <w:ind w:firstLine="562"/>
        <w:rPr>
          <w:b/>
          <w:color w:val="auto"/>
          <w:szCs w:val="32"/>
        </w:rPr>
      </w:pPr>
      <w:r>
        <w:rPr>
          <w:rFonts w:hint="eastAsia"/>
          <w:b/>
          <w:color w:val="auto"/>
          <w:szCs w:val="32"/>
        </w:rPr>
        <w:t>2.“四提升”，即生态文明建设、城乡融合发展、人民幸福指数、社会治理水平实现新提升</w:t>
      </w:r>
    </w:p>
    <w:p>
      <w:pPr>
        <w:ind w:firstLine="562"/>
        <w:rPr>
          <w:color w:val="auto"/>
          <w:szCs w:val="32"/>
        </w:rPr>
      </w:pPr>
      <w:r>
        <w:rPr>
          <w:rFonts w:hint="eastAsia"/>
          <w:b/>
          <w:color w:val="auto"/>
          <w:szCs w:val="32"/>
        </w:rPr>
        <w:t>——城乡融合发展实现新提升</w:t>
      </w:r>
      <w:r>
        <w:rPr>
          <w:rFonts w:hint="eastAsia"/>
          <w:color w:val="auto"/>
          <w:szCs w:val="32"/>
        </w:rPr>
        <w:t>。城乡区域发展协调性明显增强，城镇化质量及城市功能品质进一步提升，脱贫攻坚成果切实巩固拓展，乡村振兴战略全面</w:t>
      </w:r>
      <w:r>
        <w:rPr>
          <w:color w:val="auto"/>
          <w:szCs w:val="32"/>
        </w:rPr>
        <w:t>推进</w:t>
      </w:r>
      <w:r>
        <w:rPr>
          <w:rFonts w:hint="eastAsia"/>
          <w:color w:val="auto"/>
          <w:szCs w:val="32"/>
        </w:rPr>
        <w:t>取得明显进展，乡村特色</w:t>
      </w:r>
      <w:r>
        <w:rPr>
          <w:color w:val="auto"/>
          <w:szCs w:val="32"/>
        </w:rPr>
        <w:t>富民产业</w:t>
      </w:r>
      <w:r>
        <w:rPr>
          <w:rFonts w:hint="eastAsia"/>
          <w:color w:val="auto"/>
          <w:szCs w:val="32"/>
        </w:rPr>
        <w:t>持续</w:t>
      </w:r>
      <w:r>
        <w:rPr>
          <w:color w:val="auto"/>
          <w:szCs w:val="32"/>
        </w:rPr>
        <w:t>壮大</w:t>
      </w:r>
      <w:r>
        <w:rPr>
          <w:rFonts w:hint="eastAsia"/>
          <w:color w:val="auto"/>
          <w:szCs w:val="32"/>
        </w:rPr>
        <w:t>。到2025年，城乡融合发展体制机制初步建立，新型城镇化水平明显提高，全县常住人口城镇化率达到</w:t>
      </w:r>
      <w:r>
        <w:rPr>
          <w:color w:val="auto"/>
          <w:szCs w:val="32"/>
        </w:rPr>
        <w:t>57</w:t>
      </w:r>
      <w:r>
        <w:rPr>
          <w:rFonts w:hint="eastAsia"/>
          <w:color w:val="auto"/>
          <w:szCs w:val="32"/>
        </w:rPr>
        <w:t>%左右。</w:t>
      </w:r>
    </w:p>
    <w:p>
      <w:pPr>
        <w:ind w:firstLine="562"/>
        <w:rPr>
          <w:color w:val="auto"/>
          <w:szCs w:val="32"/>
        </w:rPr>
      </w:pPr>
      <w:r>
        <w:rPr>
          <w:rFonts w:hint="eastAsia"/>
          <w:b/>
          <w:color w:val="auto"/>
          <w:szCs w:val="32"/>
        </w:rPr>
        <w:t>——生态文明建设实现新提升</w:t>
      </w:r>
      <w:r>
        <w:rPr>
          <w:rFonts w:hint="eastAsia"/>
          <w:color w:val="auto"/>
          <w:szCs w:val="32"/>
        </w:rPr>
        <w:t>。积极创建国家生态文明建设示范县，生产</w:t>
      </w:r>
      <w:r>
        <w:rPr>
          <w:color w:val="auto"/>
          <w:szCs w:val="32"/>
        </w:rPr>
        <w:t>生活方式绿色转型成效显著，城乡人居环境</w:t>
      </w:r>
      <w:r>
        <w:rPr>
          <w:rFonts w:hint="eastAsia"/>
          <w:color w:val="auto"/>
          <w:szCs w:val="32"/>
        </w:rPr>
        <w:t>全面</w:t>
      </w:r>
      <w:r>
        <w:rPr>
          <w:color w:val="auto"/>
          <w:szCs w:val="32"/>
        </w:rPr>
        <w:t>优化</w:t>
      </w:r>
      <w:r>
        <w:rPr>
          <w:rFonts w:hint="eastAsia"/>
          <w:color w:val="auto"/>
          <w:szCs w:val="32"/>
        </w:rPr>
        <w:t>。到2025年，生态文明制度体系更加健全，绿色低碳循环发展模式初步建立，全县PM2.5年平均浓度下降至41微克/立方米，单位GDP能耗降低和主要污染物排放达到市要求，森林覆盖率达到</w:t>
      </w:r>
      <w:r>
        <w:rPr>
          <w:color w:val="auto"/>
          <w:szCs w:val="32"/>
        </w:rPr>
        <w:t>55</w:t>
      </w:r>
      <w:r>
        <w:rPr>
          <w:rFonts w:hint="eastAsia"/>
          <w:color w:val="auto"/>
          <w:szCs w:val="32"/>
        </w:rPr>
        <w:t>%以上。</w:t>
      </w:r>
    </w:p>
    <w:p>
      <w:pPr>
        <w:ind w:firstLine="562"/>
        <w:rPr>
          <w:color w:val="auto"/>
          <w:szCs w:val="32"/>
        </w:rPr>
      </w:pPr>
      <w:r>
        <w:rPr>
          <w:rFonts w:hint="eastAsia"/>
          <w:b/>
          <w:color w:val="auto"/>
          <w:szCs w:val="32"/>
        </w:rPr>
        <w:t>——人民幸福指数实现新提升</w:t>
      </w:r>
      <w:r>
        <w:rPr>
          <w:rFonts w:hint="eastAsia"/>
          <w:color w:val="auto"/>
          <w:szCs w:val="32"/>
        </w:rPr>
        <w:t>。城乡居民收入增长和经济增长保持基本同步，收入</w:t>
      </w:r>
      <w:r>
        <w:rPr>
          <w:color w:val="auto"/>
          <w:szCs w:val="32"/>
        </w:rPr>
        <w:t>分配方式和分配结构明显改善，</w:t>
      </w:r>
      <w:r>
        <w:rPr>
          <w:rFonts w:hint="eastAsia"/>
          <w:color w:val="auto"/>
          <w:szCs w:val="32"/>
        </w:rPr>
        <w:t>补齐就业、教育、医疗、养老、住房、社会保障、人口发展等民生领域的短板，基本公共服务均等化水平明显提高，人民对美好生活的需要得到更好满足。</w:t>
      </w:r>
    </w:p>
    <w:p>
      <w:pPr>
        <w:ind w:firstLine="562"/>
        <w:rPr>
          <w:color w:val="auto"/>
          <w:szCs w:val="32"/>
        </w:rPr>
      </w:pPr>
      <w:r>
        <w:rPr>
          <w:rFonts w:hint="eastAsia"/>
          <w:b/>
          <w:color w:val="auto"/>
          <w:szCs w:val="32"/>
        </w:rPr>
        <w:t>——社会治理水平实现新提升</w:t>
      </w:r>
      <w:r>
        <w:rPr>
          <w:rFonts w:hint="eastAsia"/>
          <w:color w:val="auto"/>
          <w:szCs w:val="32"/>
        </w:rPr>
        <w:t>。改革开放迈出新步伐</w:t>
      </w:r>
      <w:r>
        <w:rPr>
          <w:color w:val="auto"/>
          <w:szCs w:val="32"/>
        </w:rPr>
        <w:t>，</w:t>
      </w:r>
      <w:r>
        <w:rPr>
          <w:rFonts w:hint="eastAsia"/>
          <w:color w:val="auto"/>
          <w:szCs w:val="32"/>
        </w:rPr>
        <w:t>关键领域深化改革取得决定性成果，市场法、法治化、规范化营商环境基本形成，更高水平开放型经济新体制基本形成。社会主义民主法治更加健全，法治阜平、法治政府、法治社会一体建设取得积极进展。社会治理体系建设取得显著进展，全方位立体化公共安全网编织形成，突发公共事件应急能力显著增强，公民文明素质和社会文明程度显著提高。</w:t>
      </w:r>
    </w:p>
    <w:p>
      <w:pPr>
        <w:ind w:firstLine="562"/>
        <w:rPr>
          <w:b/>
          <w:color w:val="auto"/>
          <w:szCs w:val="32"/>
        </w:rPr>
      </w:pPr>
      <w:r>
        <w:rPr>
          <w:rFonts w:hint="eastAsia"/>
          <w:b/>
          <w:color w:val="auto"/>
          <w:szCs w:val="32"/>
        </w:rPr>
        <w:t>3.“两个翻番”，即全县GDP、城乡居民人均可支配收入较“十三五”末期均能翻一番</w:t>
      </w:r>
    </w:p>
    <w:p>
      <w:pPr>
        <w:spacing w:line="240" w:lineRule="auto"/>
        <w:ind w:firstLine="182" w:firstLineChars="83"/>
        <w:jc w:val="center"/>
        <w:rPr>
          <w:rFonts w:ascii="黑体" w:hAnsi="黑体" w:eastAsia="黑体"/>
          <w:color w:val="auto"/>
          <w:sz w:val="22"/>
        </w:rPr>
      </w:pPr>
      <w:r>
        <w:rPr>
          <w:rFonts w:hint="eastAsia" w:ascii="黑体" w:hAnsi="黑体" w:eastAsia="黑体"/>
          <w:color w:val="auto"/>
          <w:sz w:val="22"/>
        </w:rPr>
        <w:t>表</w:t>
      </w:r>
      <w:r>
        <w:rPr>
          <w:rFonts w:ascii="黑体" w:hAnsi="黑体" w:eastAsia="黑体"/>
          <w:color w:val="auto"/>
          <w:sz w:val="22"/>
        </w:rPr>
        <w:t xml:space="preserve">1 </w:t>
      </w:r>
      <w:r>
        <w:rPr>
          <w:rFonts w:hint="eastAsia" w:ascii="黑体" w:hAnsi="黑体" w:eastAsia="黑体"/>
          <w:color w:val="auto"/>
          <w:sz w:val="22"/>
        </w:rPr>
        <w:t>阜平县“十四五”经济</w:t>
      </w:r>
      <w:r>
        <w:rPr>
          <w:rFonts w:ascii="黑体" w:hAnsi="黑体" w:eastAsia="黑体"/>
          <w:color w:val="auto"/>
          <w:sz w:val="22"/>
        </w:rPr>
        <w:t>社会发展主要指标</w:t>
      </w:r>
    </w:p>
    <w:tbl>
      <w:tblPr>
        <w:tblStyle w:val="24"/>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946"/>
        <w:gridCol w:w="4055"/>
        <w:gridCol w:w="1056"/>
        <w:gridCol w:w="1076"/>
        <w:gridCol w:w="846"/>
        <w:gridCol w:w="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28" w:type="dxa"/>
            <w:vAlign w:val="center"/>
          </w:tcPr>
          <w:p>
            <w:pPr>
              <w:spacing w:line="300" w:lineRule="exact"/>
              <w:ind w:firstLine="0" w:firstLineChars="0"/>
              <w:jc w:val="center"/>
              <w:rPr>
                <w:rFonts w:ascii="黑体" w:hAnsi="黑体" w:eastAsia="黑体"/>
                <w:b/>
                <w:color w:val="auto"/>
                <w:sz w:val="21"/>
              </w:rPr>
            </w:pPr>
            <w:r>
              <w:rPr>
                <w:rFonts w:hint="eastAsia" w:ascii="黑体" w:hAnsi="黑体" w:eastAsia="黑体"/>
                <w:b/>
                <w:color w:val="auto"/>
                <w:sz w:val="21"/>
              </w:rPr>
              <w:t>序</w:t>
            </w:r>
          </w:p>
          <w:p>
            <w:pPr>
              <w:spacing w:line="300" w:lineRule="exact"/>
              <w:ind w:firstLine="0" w:firstLineChars="0"/>
              <w:jc w:val="center"/>
              <w:rPr>
                <w:rFonts w:ascii="黑体" w:hAnsi="黑体" w:eastAsia="黑体"/>
                <w:b/>
                <w:color w:val="auto"/>
                <w:sz w:val="21"/>
              </w:rPr>
            </w:pPr>
            <w:r>
              <w:rPr>
                <w:rFonts w:hint="eastAsia" w:ascii="黑体" w:hAnsi="黑体" w:eastAsia="黑体"/>
                <w:b/>
                <w:color w:val="auto"/>
                <w:sz w:val="21"/>
              </w:rPr>
              <w:t>号</w:t>
            </w:r>
          </w:p>
        </w:tc>
        <w:tc>
          <w:tcPr>
            <w:tcW w:w="946" w:type="dxa"/>
            <w:vAlign w:val="center"/>
          </w:tcPr>
          <w:p>
            <w:pPr>
              <w:spacing w:line="240" w:lineRule="auto"/>
              <w:ind w:firstLine="0" w:firstLineChars="0"/>
              <w:jc w:val="center"/>
              <w:rPr>
                <w:rFonts w:ascii="黑体" w:hAnsi="黑体" w:eastAsia="黑体"/>
                <w:b/>
                <w:color w:val="auto"/>
                <w:sz w:val="21"/>
              </w:rPr>
            </w:pPr>
            <w:r>
              <w:rPr>
                <w:rFonts w:hint="eastAsia" w:ascii="黑体" w:hAnsi="黑体" w:eastAsia="黑体"/>
                <w:b/>
                <w:color w:val="auto"/>
                <w:sz w:val="21"/>
              </w:rPr>
              <w:t>类别</w:t>
            </w:r>
          </w:p>
        </w:tc>
        <w:tc>
          <w:tcPr>
            <w:tcW w:w="4055" w:type="dxa"/>
            <w:vAlign w:val="center"/>
          </w:tcPr>
          <w:p>
            <w:pPr>
              <w:spacing w:line="240" w:lineRule="auto"/>
              <w:ind w:firstLine="0" w:firstLineChars="0"/>
              <w:jc w:val="center"/>
              <w:rPr>
                <w:rFonts w:ascii="黑体" w:hAnsi="黑体" w:eastAsia="黑体"/>
                <w:b/>
                <w:color w:val="auto"/>
                <w:sz w:val="21"/>
              </w:rPr>
            </w:pPr>
            <w:r>
              <w:rPr>
                <w:rFonts w:hint="eastAsia" w:ascii="黑体" w:hAnsi="黑体" w:eastAsia="黑体"/>
                <w:b/>
                <w:color w:val="auto"/>
                <w:sz w:val="21"/>
              </w:rPr>
              <w:t>指标</w:t>
            </w:r>
          </w:p>
        </w:tc>
        <w:tc>
          <w:tcPr>
            <w:tcW w:w="1056" w:type="dxa"/>
            <w:vAlign w:val="center"/>
          </w:tcPr>
          <w:p>
            <w:pPr>
              <w:spacing w:line="240" w:lineRule="auto"/>
              <w:ind w:firstLine="0" w:firstLineChars="0"/>
              <w:jc w:val="center"/>
              <w:rPr>
                <w:rFonts w:ascii="黑体" w:hAnsi="黑体" w:eastAsia="黑体"/>
                <w:b/>
                <w:color w:val="auto"/>
                <w:sz w:val="21"/>
              </w:rPr>
            </w:pPr>
            <w:r>
              <w:rPr>
                <w:rFonts w:hint="eastAsia" w:ascii="黑体" w:hAnsi="黑体" w:eastAsia="黑体"/>
                <w:b/>
                <w:color w:val="auto"/>
                <w:sz w:val="21"/>
              </w:rPr>
              <w:t>2020年</w:t>
            </w:r>
          </w:p>
        </w:tc>
        <w:tc>
          <w:tcPr>
            <w:tcW w:w="1076" w:type="dxa"/>
            <w:vAlign w:val="center"/>
          </w:tcPr>
          <w:p>
            <w:pPr>
              <w:spacing w:line="240" w:lineRule="auto"/>
              <w:ind w:firstLine="0" w:firstLineChars="0"/>
              <w:jc w:val="center"/>
              <w:rPr>
                <w:rFonts w:ascii="黑体" w:hAnsi="黑体" w:eastAsia="黑体"/>
                <w:b/>
                <w:color w:val="auto"/>
                <w:sz w:val="21"/>
              </w:rPr>
            </w:pPr>
            <w:r>
              <w:rPr>
                <w:rFonts w:hint="eastAsia" w:ascii="黑体" w:hAnsi="黑体" w:eastAsia="黑体"/>
                <w:b/>
                <w:color w:val="auto"/>
                <w:sz w:val="21"/>
              </w:rPr>
              <w:t>2025年</w:t>
            </w:r>
          </w:p>
        </w:tc>
        <w:tc>
          <w:tcPr>
            <w:tcW w:w="846" w:type="dxa"/>
            <w:vAlign w:val="center"/>
          </w:tcPr>
          <w:p>
            <w:pPr>
              <w:spacing w:line="240" w:lineRule="exact"/>
              <w:ind w:firstLine="0" w:firstLineChars="0"/>
              <w:jc w:val="center"/>
              <w:rPr>
                <w:rFonts w:ascii="黑体" w:hAnsi="黑体" w:eastAsia="黑体"/>
                <w:b/>
                <w:color w:val="auto"/>
                <w:sz w:val="21"/>
              </w:rPr>
            </w:pPr>
            <w:r>
              <w:rPr>
                <w:rFonts w:hint="eastAsia" w:ascii="黑体" w:hAnsi="黑体" w:eastAsia="黑体"/>
                <w:b/>
                <w:color w:val="auto"/>
                <w:sz w:val="21"/>
              </w:rPr>
              <w:t>年均</w:t>
            </w:r>
          </w:p>
          <w:p>
            <w:pPr>
              <w:spacing w:line="240" w:lineRule="exact"/>
              <w:ind w:firstLine="0" w:firstLineChars="0"/>
              <w:jc w:val="center"/>
              <w:rPr>
                <w:rFonts w:ascii="黑体" w:hAnsi="黑体" w:eastAsia="黑体"/>
                <w:b/>
                <w:color w:val="auto"/>
                <w:sz w:val="21"/>
              </w:rPr>
            </w:pPr>
            <w:r>
              <w:rPr>
                <w:rFonts w:hint="eastAsia" w:ascii="黑体" w:hAnsi="黑体" w:eastAsia="黑体"/>
                <w:b/>
                <w:color w:val="auto"/>
                <w:sz w:val="21"/>
              </w:rPr>
              <w:t>增长</w:t>
            </w:r>
          </w:p>
          <w:p>
            <w:pPr>
              <w:spacing w:line="240" w:lineRule="exact"/>
              <w:ind w:firstLine="0" w:firstLineChars="0"/>
              <w:jc w:val="center"/>
              <w:rPr>
                <w:rFonts w:ascii="黑体" w:hAnsi="黑体" w:eastAsia="黑体"/>
                <w:b/>
                <w:color w:val="auto"/>
                <w:sz w:val="21"/>
              </w:rPr>
            </w:pPr>
            <w:r>
              <w:rPr>
                <w:rFonts w:hint="eastAsia" w:ascii="黑体" w:hAnsi="黑体" w:eastAsia="黑体"/>
                <w:color w:val="auto"/>
                <w:sz w:val="21"/>
              </w:rPr>
              <w:t>（%）</w:t>
            </w:r>
          </w:p>
        </w:tc>
        <w:tc>
          <w:tcPr>
            <w:tcW w:w="944" w:type="dxa"/>
            <w:vAlign w:val="center"/>
          </w:tcPr>
          <w:p>
            <w:pPr>
              <w:spacing w:line="240" w:lineRule="auto"/>
              <w:ind w:firstLine="0" w:firstLineChars="0"/>
              <w:jc w:val="center"/>
              <w:rPr>
                <w:rFonts w:ascii="黑体" w:hAnsi="黑体" w:eastAsia="黑体"/>
                <w:b/>
                <w:color w:val="auto"/>
                <w:sz w:val="21"/>
              </w:rPr>
            </w:pPr>
            <w:r>
              <w:rPr>
                <w:rFonts w:hint="eastAsia" w:ascii="黑体" w:hAnsi="黑体" w:eastAsia="黑体"/>
                <w:b/>
                <w:color w:val="auto"/>
                <w:sz w:val="21"/>
              </w:rPr>
              <w:t>属性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w:t>
            </w:r>
          </w:p>
        </w:tc>
        <w:tc>
          <w:tcPr>
            <w:tcW w:w="946" w:type="dxa"/>
            <w:vMerge w:val="restart"/>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经济</w:t>
            </w:r>
          </w:p>
          <w:p>
            <w:pPr>
              <w:spacing w:line="240" w:lineRule="auto"/>
              <w:ind w:firstLine="0" w:firstLineChars="0"/>
              <w:jc w:val="center"/>
              <w:rPr>
                <w:rFonts w:eastAsiaTheme="minorEastAsia"/>
                <w:color w:val="auto"/>
                <w:sz w:val="21"/>
              </w:rPr>
            </w:pPr>
            <w:r>
              <w:rPr>
                <w:rFonts w:hint="eastAsia" w:eastAsiaTheme="minorEastAsia"/>
                <w:color w:val="auto"/>
                <w:sz w:val="21"/>
              </w:rPr>
              <w:t>发展</w:t>
            </w:r>
          </w:p>
          <w:p>
            <w:pPr>
              <w:spacing w:line="240" w:lineRule="auto"/>
              <w:ind w:firstLine="0" w:firstLineChars="0"/>
              <w:jc w:val="center"/>
              <w:rPr>
                <w:rFonts w:eastAsiaTheme="minorEastAsia"/>
                <w:color w:val="auto"/>
                <w:sz w:val="21"/>
              </w:rPr>
            </w:pPr>
            <w:r>
              <w:rPr>
                <w:rFonts w:hint="eastAsia" w:eastAsiaTheme="minorEastAsia"/>
                <w:color w:val="auto"/>
                <w:sz w:val="21"/>
              </w:rPr>
              <w:t>（</w:t>
            </w:r>
            <w:r>
              <w:rPr>
                <w:rFonts w:eastAsiaTheme="minorEastAsia"/>
                <w:color w:val="auto"/>
                <w:sz w:val="21"/>
              </w:rPr>
              <w:t>5</w:t>
            </w:r>
            <w:r>
              <w:rPr>
                <w:rFonts w:hint="eastAsia" w:eastAsiaTheme="minorEastAsia"/>
                <w:color w:val="auto"/>
                <w:sz w:val="21"/>
              </w:rPr>
              <w:t>项）</w:t>
            </w: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地区生产总值增长（%）</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99.6</w:t>
            </w:r>
          </w:p>
        </w:tc>
        <w:tc>
          <w:tcPr>
            <w:tcW w:w="84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14.8</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420"/>
              <w:rPr>
                <w:rFonts w:eastAsiaTheme="minorEastAsia"/>
                <w:bCs/>
                <w:iCs/>
                <w:color w:val="auto"/>
                <w:sz w:val="21"/>
              </w:rPr>
            </w:pPr>
            <w:r>
              <w:rPr>
                <w:rFonts w:hint="eastAsia" w:eastAsiaTheme="minorEastAsia"/>
                <w:bCs/>
                <w:iCs/>
                <w:color w:val="auto"/>
                <w:sz w:val="21"/>
              </w:rPr>
              <w:t>其中</w:t>
            </w:r>
            <w:r>
              <w:rPr>
                <w:rFonts w:eastAsiaTheme="minorEastAsia"/>
                <w:bCs/>
                <w:iCs/>
                <w:color w:val="auto"/>
                <w:sz w:val="21"/>
              </w:rPr>
              <w:t>：规模以上工业增加值</w:t>
            </w:r>
            <w:r>
              <w:rPr>
                <w:rFonts w:hint="eastAsia" w:eastAsiaTheme="minorEastAsia"/>
                <w:bCs/>
                <w:iCs/>
                <w:color w:val="auto"/>
                <w:sz w:val="21"/>
              </w:rPr>
              <w:t>（亿元）</w:t>
            </w:r>
          </w:p>
        </w:tc>
        <w:tc>
          <w:tcPr>
            <w:tcW w:w="1056" w:type="dxa"/>
            <w:vAlign w:val="center"/>
          </w:tcPr>
          <w:p>
            <w:pPr>
              <w:spacing w:line="240" w:lineRule="auto"/>
              <w:ind w:firstLine="0" w:firstLineChars="0"/>
              <w:jc w:val="center"/>
              <w:rPr>
                <w:rFonts w:eastAsiaTheme="minorEastAsia"/>
                <w:bCs/>
                <w:iCs/>
                <w:color w:val="auto"/>
                <w:sz w:val="21"/>
              </w:rPr>
            </w:pPr>
            <w:r>
              <w:rPr>
                <w:rFonts w:hint="eastAsia" w:eastAsiaTheme="minorEastAsia"/>
                <w:bCs/>
                <w:iCs/>
                <w:color w:val="auto"/>
                <w:sz w:val="21"/>
              </w:rPr>
              <w:t>3.6</w:t>
            </w:r>
          </w:p>
        </w:tc>
        <w:tc>
          <w:tcPr>
            <w:tcW w:w="107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26.4</w:t>
            </w:r>
          </w:p>
        </w:tc>
        <w:tc>
          <w:tcPr>
            <w:tcW w:w="84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49</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eastAsiaTheme="minorEastAsia"/>
                <w:color w:val="auto"/>
                <w:sz w:val="21"/>
              </w:rPr>
              <w:t>3</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bCs/>
                <w:iCs/>
                <w:color w:val="auto"/>
                <w:sz w:val="21"/>
              </w:rPr>
            </w:pPr>
            <w:r>
              <w:rPr>
                <w:rFonts w:hint="eastAsia" w:eastAsiaTheme="minorEastAsia"/>
                <w:bCs/>
                <w:iCs/>
                <w:color w:val="auto"/>
                <w:sz w:val="21"/>
              </w:rPr>
              <w:t>人均GDP（万元）</w:t>
            </w:r>
          </w:p>
        </w:tc>
        <w:tc>
          <w:tcPr>
            <w:tcW w:w="1056" w:type="dxa"/>
            <w:vAlign w:val="center"/>
          </w:tcPr>
          <w:p>
            <w:pPr>
              <w:spacing w:line="240" w:lineRule="auto"/>
              <w:ind w:firstLine="0" w:firstLineChars="0"/>
              <w:jc w:val="center"/>
              <w:rPr>
                <w:rFonts w:eastAsiaTheme="minorEastAsia"/>
                <w:bCs/>
                <w:iCs/>
                <w:color w:val="auto"/>
                <w:sz w:val="21"/>
              </w:rPr>
            </w:pPr>
            <w:r>
              <w:rPr>
                <w:rFonts w:hint="eastAsia" w:eastAsiaTheme="minorEastAsia"/>
                <w:bCs/>
                <w:iCs/>
                <w:color w:val="auto"/>
                <w:sz w:val="21"/>
              </w:rPr>
              <w:t>2</w:t>
            </w:r>
            <w:r>
              <w:rPr>
                <w:rFonts w:eastAsiaTheme="minorEastAsia"/>
                <w:bCs/>
                <w:iCs/>
                <w:color w:val="auto"/>
                <w:sz w:val="21"/>
              </w:rPr>
              <w:t>.</w:t>
            </w:r>
            <w:r>
              <w:rPr>
                <w:rFonts w:hint="eastAsia" w:eastAsiaTheme="minorEastAsia"/>
                <w:bCs/>
                <w:iCs/>
                <w:color w:val="auto"/>
                <w:sz w:val="21"/>
              </w:rPr>
              <w:t>16</w:t>
            </w:r>
          </w:p>
        </w:tc>
        <w:tc>
          <w:tcPr>
            <w:tcW w:w="107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4.2</w:t>
            </w:r>
          </w:p>
        </w:tc>
        <w:tc>
          <w:tcPr>
            <w:tcW w:w="84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14.2</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4</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全员劳动生产率增长（%）</w:t>
            </w:r>
          </w:p>
        </w:tc>
        <w:tc>
          <w:tcPr>
            <w:tcW w:w="1056" w:type="dxa"/>
            <w:vAlign w:val="center"/>
          </w:tcPr>
          <w:p>
            <w:pPr>
              <w:spacing w:line="240" w:lineRule="auto"/>
              <w:ind w:firstLine="0" w:firstLineChars="0"/>
              <w:jc w:val="center"/>
              <w:rPr>
                <w:rFonts w:eastAsiaTheme="minorEastAsia"/>
                <w:color w:val="auto"/>
                <w:sz w:val="21"/>
              </w:rPr>
            </w:pPr>
            <w:r>
              <w:rPr>
                <w:rFonts w:eastAsiaTheme="minorEastAsia"/>
                <w:bCs/>
                <w:iCs/>
                <w:color w:val="auto"/>
                <w:sz w:val="21"/>
              </w:rPr>
              <w:t>28.4</w:t>
            </w:r>
          </w:p>
        </w:tc>
        <w:tc>
          <w:tcPr>
            <w:tcW w:w="107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85.9</w:t>
            </w:r>
          </w:p>
        </w:tc>
        <w:tc>
          <w:tcPr>
            <w:tcW w:w="84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13.2</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5</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常住人口城镇化率（%）</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50</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57</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1.2</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6</w:t>
            </w:r>
          </w:p>
        </w:tc>
        <w:tc>
          <w:tcPr>
            <w:tcW w:w="946" w:type="dxa"/>
            <w:vMerge w:val="restart"/>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创新</w:t>
            </w:r>
          </w:p>
          <w:p>
            <w:pPr>
              <w:spacing w:line="240" w:lineRule="auto"/>
              <w:ind w:firstLine="0" w:firstLineChars="0"/>
              <w:jc w:val="center"/>
              <w:rPr>
                <w:rFonts w:eastAsiaTheme="minorEastAsia"/>
                <w:color w:val="auto"/>
                <w:sz w:val="21"/>
              </w:rPr>
            </w:pPr>
            <w:r>
              <w:rPr>
                <w:rFonts w:hint="eastAsia" w:eastAsiaTheme="minorEastAsia"/>
                <w:color w:val="auto"/>
                <w:sz w:val="21"/>
              </w:rPr>
              <w:t>驱动</w:t>
            </w:r>
          </w:p>
          <w:p>
            <w:pPr>
              <w:spacing w:line="240" w:lineRule="auto"/>
              <w:ind w:firstLine="0" w:firstLineChars="0"/>
              <w:jc w:val="center"/>
              <w:rPr>
                <w:rFonts w:eastAsiaTheme="minorEastAsia"/>
                <w:color w:val="auto"/>
                <w:sz w:val="21"/>
              </w:rPr>
            </w:pPr>
            <w:r>
              <w:rPr>
                <w:rFonts w:hint="eastAsia" w:eastAsiaTheme="minorEastAsia"/>
                <w:color w:val="auto"/>
                <w:sz w:val="21"/>
              </w:rPr>
              <w:t>（</w:t>
            </w:r>
            <w:r>
              <w:rPr>
                <w:rFonts w:eastAsiaTheme="minorEastAsia"/>
                <w:color w:val="auto"/>
                <w:sz w:val="21"/>
              </w:rPr>
              <w:t>3</w:t>
            </w:r>
            <w:r>
              <w:rPr>
                <w:rFonts w:hint="eastAsia" w:eastAsiaTheme="minorEastAsia"/>
                <w:color w:val="auto"/>
                <w:sz w:val="21"/>
              </w:rPr>
              <w:t>项）</w:t>
            </w: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全社会研发经费投入强度（%）</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1.5</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7</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每万人口高价值发明专利拥有量（件）</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0.13</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0.33</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w:t>
            </w:r>
            <w:r>
              <w:rPr>
                <w:rFonts w:eastAsiaTheme="minorEastAsia"/>
                <w:color w:val="auto"/>
                <w:sz w:val="21"/>
              </w:rPr>
              <w:t>0.2</w:t>
            </w:r>
            <w:r>
              <w:rPr>
                <w:rFonts w:hint="eastAsia" w:eastAsiaTheme="minorEastAsia"/>
                <w:color w:val="auto"/>
                <w:sz w:val="21"/>
              </w:rPr>
              <w:t>]</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8</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bCs/>
                <w:iCs/>
                <w:color w:val="auto"/>
                <w:sz w:val="21"/>
              </w:rPr>
            </w:pPr>
            <w:r>
              <w:rPr>
                <w:rFonts w:hint="eastAsia" w:eastAsiaTheme="minorEastAsia"/>
                <w:bCs/>
                <w:iCs/>
                <w:color w:val="auto"/>
                <w:sz w:val="21"/>
              </w:rPr>
              <w:t>高新技术企业和科技型中小微企业数(个)</w:t>
            </w:r>
          </w:p>
        </w:tc>
        <w:tc>
          <w:tcPr>
            <w:tcW w:w="1056" w:type="dxa"/>
            <w:vAlign w:val="center"/>
          </w:tcPr>
          <w:p>
            <w:pPr>
              <w:spacing w:line="240" w:lineRule="auto"/>
              <w:ind w:firstLine="0" w:firstLineChars="0"/>
              <w:jc w:val="center"/>
              <w:rPr>
                <w:rFonts w:eastAsiaTheme="minorEastAsia"/>
                <w:bCs/>
                <w:iCs/>
                <w:color w:val="auto"/>
                <w:sz w:val="21"/>
              </w:rPr>
            </w:pPr>
            <w:r>
              <w:rPr>
                <w:rFonts w:hint="eastAsia" w:eastAsiaTheme="minorEastAsia"/>
                <w:bCs/>
                <w:iCs/>
                <w:color w:val="auto"/>
                <w:sz w:val="21"/>
              </w:rPr>
              <w:t>106</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220</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15.7</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9</w:t>
            </w:r>
          </w:p>
        </w:tc>
        <w:tc>
          <w:tcPr>
            <w:tcW w:w="946" w:type="dxa"/>
            <w:vMerge w:val="restart"/>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民生</w:t>
            </w:r>
          </w:p>
          <w:p>
            <w:pPr>
              <w:spacing w:line="240" w:lineRule="auto"/>
              <w:ind w:firstLine="0" w:firstLineChars="0"/>
              <w:jc w:val="center"/>
              <w:rPr>
                <w:rFonts w:eastAsiaTheme="minorEastAsia"/>
                <w:color w:val="auto"/>
                <w:sz w:val="21"/>
              </w:rPr>
            </w:pPr>
            <w:r>
              <w:rPr>
                <w:rFonts w:hint="eastAsia" w:eastAsiaTheme="minorEastAsia"/>
                <w:color w:val="auto"/>
                <w:sz w:val="21"/>
              </w:rPr>
              <w:t>福祉</w:t>
            </w:r>
          </w:p>
          <w:p>
            <w:pPr>
              <w:spacing w:line="240" w:lineRule="auto"/>
              <w:ind w:firstLine="0" w:firstLineChars="0"/>
              <w:jc w:val="center"/>
              <w:rPr>
                <w:rFonts w:eastAsiaTheme="minorEastAsia"/>
                <w:color w:val="auto"/>
                <w:sz w:val="21"/>
              </w:rPr>
            </w:pPr>
            <w:r>
              <w:rPr>
                <w:rFonts w:hint="eastAsia" w:eastAsiaTheme="minorEastAsia"/>
                <w:color w:val="auto"/>
                <w:sz w:val="21"/>
              </w:rPr>
              <w:t>（</w:t>
            </w:r>
            <w:r>
              <w:rPr>
                <w:rFonts w:eastAsiaTheme="minorEastAsia"/>
                <w:color w:val="auto"/>
                <w:sz w:val="21"/>
              </w:rPr>
              <w:t>7</w:t>
            </w:r>
            <w:r>
              <w:rPr>
                <w:rFonts w:hint="eastAsia" w:eastAsiaTheme="minorEastAsia"/>
                <w:color w:val="auto"/>
                <w:sz w:val="21"/>
              </w:rPr>
              <w:t>项）</w:t>
            </w: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居民人均可支配收入增长（%）</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w:t>
            </w:r>
            <w:r>
              <w:rPr>
                <w:rFonts w:eastAsiaTheme="minorEastAsia"/>
                <w:color w:val="auto"/>
                <w:sz w:val="21"/>
              </w:rPr>
              <w:t>00</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10</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城镇调查失业率（%）</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≤4.5</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≤4</w:t>
            </w:r>
            <w:r>
              <w:rPr>
                <w:rFonts w:eastAsiaTheme="minorEastAsia"/>
                <w:color w:val="auto"/>
                <w:sz w:val="21"/>
              </w:rPr>
              <w:t>.5</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11</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人均预期寿命（岁）</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81.9</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82.5</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[0.</w:t>
            </w:r>
            <w:r>
              <w:rPr>
                <w:rFonts w:eastAsiaTheme="minorEastAsia"/>
                <w:color w:val="auto"/>
                <w:sz w:val="21"/>
              </w:rPr>
              <w:t>6</w:t>
            </w:r>
            <w:r>
              <w:rPr>
                <w:rFonts w:hint="eastAsia" w:eastAsiaTheme="minorEastAsia"/>
                <w:color w:val="auto"/>
                <w:sz w:val="21"/>
              </w:rPr>
              <w:t>]</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12</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每千人口执业（助理）医师数（人）</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2.13</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3</w:t>
            </w:r>
            <w:r>
              <w:rPr>
                <w:rFonts w:eastAsiaTheme="minorEastAsia"/>
                <w:color w:val="auto"/>
                <w:sz w:val="21"/>
              </w:rPr>
              <w:t>.1</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w:t>
            </w:r>
            <w:r>
              <w:rPr>
                <w:rFonts w:eastAsiaTheme="minorEastAsia"/>
                <w:color w:val="auto"/>
                <w:sz w:val="21"/>
              </w:rPr>
              <w:t>0.97</w:t>
            </w:r>
            <w:r>
              <w:rPr>
                <w:rFonts w:hint="eastAsia" w:eastAsiaTheme="minorEastAsia"/>
                <w:color w:val="auto"/>
                <w:sz w:val="21"/>
              </w:rPr>
              <w:t>]</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13</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基本养老保险参保率（%）</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9</w:t>
            </w:r>
            <w:r>
              <w:rPr>
                <w:rFonts w:eastAsiaTheme="minorEastAsia"/>
                <w:bCs/>
                <w:iCs/>
                <w:color w:val="auto"/>
                <w:sz w:val="21"/>
              </w:rPr>
              <w:t>0</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90</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0</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14</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每千人口拥有3岁以下婴幼儿托位数（个）</w:t>
            </w:r>
          </w:p>
        </w:tc>
        <w:tc>
          <w:tcPr>
            <w:tcW w:w="1056" w:type="dxa"/>
            <w:vAlign w:val="center"/>
          </w:tcPr>
          <w:p>
            <w:pPr>
              <w:spacing w:line="240" w:lineRule="auto"/>
              <w:ind w:firstLine="0" w:firstLineChars="0"/>
              <w:jc w:val="center"/>
              <w:rPr>
                <w:rFonts w:eastAsiaTheme="minorEastAsia"/>
                <w:bCs/>
                <w:iCs/>
                <w:color w:val="auto"/>
                <w:sz w:val="21"/>
              </w:rPr>
            </w:pPr>
            <w:r>
              <w:rPr>
                <w:rFonts w:eastAsiaTheme="minorEastAsia"/>
                <w:bCs/>
                <w:iCs/>
                <w:color w:val="auto"/>
                <w:sz w:val="21"/>
              </w:rPr>
              <w:t>0.11</w:t>
            </w:r>
          </w:p>
        </w:tc>
        <w:tc>
          <w:tcPr>
            <w:tcW w:w="107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3.6</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w:t>
            </w:r>
            <w:r>
              <w:rPr>
                <w:rFonts w:eastAsiaTheme="minorEastAsia"/>
                <w:color w:val="auto"/>
                <w:sz w:val="21"/>
              </w:rPr>
              <w:t>3.49</w:t>
            </w:r>
            <w:r>
              <w:rPr>
                <w:rFonts w:hint="eastAsia" w:eastAsiaTheme="minorEastAsia"/>
                <w:color w:val="auto"/>
                <w:sz w:val="21"/>
              </w:rPr>
              <w:t>]</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预期性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15</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劳动年龄人口平均受教育年限（年）</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10.01</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11</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0.198</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16</w:t>
            </w:r>
          </w:p>
        </w:tc>
        <w:tc>
          <w:tcPr>
            <w:tcW w:w="946" w:type="dxa"/>
            <w:vMerge w:val="restart"/>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绿色</w:t>
            </w:r>
          </w:p>
          <w:p>
            <w:pPr>
              <w:spacing w:line="240" w:lineRule="auto"/>
              <w:ind w:firstLine="0" w:firstLineChars="0"/>
              <w:jc w:val="center"/>
              <w:rPr>
                <w:rFonts w:eastAsiaTheme="minorEastAsia"/>
                <w:color w:val="auto"/>
                <w:sz w:val="21"/>
              </w:rPr>
            </w:pPr>
            <w:r>
              <w:rPr>
                <w:rFonts w:hint="eastAsia" w:eastAsiaTheme="minorEastAsia"/>
                <w:color w:val="auto"/>
                <w:sz w:val="21"/>
              </w:rPr>
              <w:t>生态</w:t>
            </w:r>
          </w:p>
          <w:p>
            <w:pPr>
              <w:spacing w:line="240" w:lineRule="auto"/>
              <w:ind w:firstLine="0" w:firstLineChars="0"/>
              <w:jc w:val="center"/>
              <w:rPr>
                <w:rFonts w:eastAsiaTheme="minorEastAsia"/>
                <w:color w:val="auto"/>
                <w:sz w:val="21"/>
              </w:rPr>
            </w:pPr>
            <w:r>
              <w:rPr>
                <w:rFonts w:hint="eastAsia" w:eastAsiaTheme="minorEastAsia"/>
                <w:color w:val="auto"/>
                <w:sz w:val="21"/>
              </w:rPr>
              <w:t>（</w:t>
            </w:r>
            <w:r>
              <w:rPr>
                <w:rFonts w:eastAsiaTheme="minorEastAsia"/>
                <w:color w:val="auto"/>
                <w:sz w:val="21"/>
              </w:rPr>
              <w:t>7</w:t>
            </w:r>
            <w:r>
              <w:rPr>
                <w:rFonts w:hint="eastAsia" w:eastAsiaTheme="minorEastAsia"/>
                <w:color w:val="auto"/>
                <w:sz w:val="21"/>
              </w:rPr>
              <w:t>项）</w:t>
            </w: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单位地区生产</w:t>
            </w:r>
            <w:r>
              <w:rPr>
                <w:rFonts w:eastAsiaTheme="minorEastAsia"/>
                <w:color w:val="auto"/>
                <w:sz w:val="21"/>
              </w:rPr>
              <w:t>总值</w:t>
            </w:r>
            <w:r>
              <w:rPr>
                <w:rFonts w:hint="eastAsia" w:eastAsiaTheme="minorEastAsia"/>
                <w:color w:val="auto"/>
                <w:sz w:val="21"/>
              </w:rPr>
              <w:t>能源消耗降低（%）</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达市要求</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17</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单位生产总值二氧化碳排放降低（%）</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达市要求</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18</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空气质量优良天数比率（%）</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70.68</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达市要求</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19</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细颗粒物（PM</w:t>
            </w:r>
            <w:r>
              <w:rPr>
                <w:rFonts w:hint="eastAsia" w:eastAsiaTheme="minorEastAsia"/>
                <w:color w:val="auto"/>
                <w:sz w:val="21"/>
                <w:vertAlign w:val="subscript"/>
              </w:rPr>
              <w:t>2.5</w:t>
            </w:r>
            <w:r>
              <w:rPr>
                <w:rFonts w:hint="eastAsia" w:eastAsiaTheme="minorEastAsia"/>
                <w:color w:val="auto"/>
                <w:sz w:val="21"/>
              </w:rPr>
              <w:t>）浓度降低（%）</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达市要求</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20</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地下水压采量（亿立方米）</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达市要求</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21</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地表水达到或好于Ⅲ类水体比例（%）</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100</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100</w:t>
            </w:r>
          </w:p>
        </w:tc>
        <w:tc>
          <w:tcPr>
            <w:tcW w:w="84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0</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22</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森林覆盖率（%）</w:t>
            </w:r>
          </w:p>
        </w:tc>
        <w:tc>
          <w:tcPr>
            <w:tcW w:w="105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49.18</w:t>
            </w:r>
          </w:p>
        </w:tc>
        <w:tc>
          <w:tcPr>
            <w:tcW w:w="107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5</w:t>
            </w:r>
            <w:r>
              <w:rPr>
                <w:rFonts w:hint="eastAsia" w:eastAsiaTheme="minorEastAsia"/>
                <w:color w:val="auto"/>
                <w:sz w:val="21"/>
              </w:rPr>
              <w:t>5</w:t>
            </w:r>
          </w:p>
        </w:tc>
        <w:tc>
          <w:tcPr>
            <w:tcW w:w="84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1.16</w:t>
            </w: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23</w:t>
            </w:r>
          </w:p>
        </w:tc>
        <w:tc>
          <w:tcPr>
            <w:tcW w:w="946" w:type="dxa"/>
            <w:vMerge w:val="restart"/>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安全</w:t>
            </w:r>
          </w:p>
          <w:p>
            <w:pPr>
              <w:spacing w:line="240" w:lineRule="auto"/>
              <w:ind w:firstLine="0" w:firstLineChars="0"/>
              <w:jc w:val="center"/>
              <w:rPr>
                <w:rFonts w:eastAsiaTheme="minorEastAsia"/>
                <w:color w:val="auto"/>
                <w:sz w:val="21"/>
              </w:rPr>
            </w:pPr>
            <w:r>
              <w:rPr>
                <w:rFonts w:eastAsiaTheme="minorEastAsia"/>
                <w:color w:val="auto"/>
                <w:sz w:val="21"/>
              </w:rPr>
              <w:t>保障</w:t>
            </w:r>
          </w:p>
          <w:p>
            <w:pPr>
              <w:spacing w:line="240" w:lineRule="auto"/>
              <w:ind w:firstLine="0" w:firstLineChars="0"/>
              <w:jc w:val="center"/>
              <w:rPr>
                <w:rFonts w:eastAsiaTheme="minorEastAsia"/>
                <w:color w:val="auto"/>
                <w:sz w:val="21"/>
              </w:rPr>
            </w:pPr>
            <w:r>
              <w:rPr>
                <w:rFonts w:eastAsiaTheme="minorEastAsia"/>
                <w:color w:val="auto"/>
                <w:sz w:val="21"/>
              </w:rPr>
              <w:t>（3</w:t>
            </w:r>
            <w:r>
              <w:rPr>
                <w:rFonts w:hint="eastAsia" w:eastAsiaTheme="minorEastAsia"/>
                <w:color w:val="auto"/>
                <w:sz w:val="21"/>
              </w:rPr>
              <w:t>项</w:t>
            </w:r>
            <w:r>
              <w:rPr>
                <w:rFonts w:eastAsiaTheme="minorEastAsia"/>
                <w:color w:val="auto"/>
                <w:sz w:val="21"/>
              </w:rPr>
              <w:t>）</w:t>
            </w: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耕地保有量（公顷）</w:t>
            </w:r>
          </w:p>
        </w:tc>
        <w:tc>
          <w:tcPr>
            <w:tcW w:w="1056" w:type="dxa"/>
            <w:vAlign w:val="center"/>
          </w:tcPr>
          <w:p>
            <w:pPr>
              <w:spacing w:line="240" w:lineRule="auto"/>
              <w:ind w:firstLine="0" w:firstLineChars="0"/>
              <w:jc w:val="center"/>
              <w:rPr>
                <w:rFonts w:eastAsiaTheme="minorEastAsia"/>
                <w:color w:val="auto"/>
                <w:sz w:val="21"/>
              </w:rPr>
            </w:pPr>
            <w:r>
              <w:rPr>
                <w:rFonts w:eastAsiaTheme="minorEastAsia"/>
                <w:color w:val="auto"/>
                <w:sz w:val="21"/>
              </w:rPr>
              <w:t>16975</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达市要求</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24</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粮食综合</w:t>
            </w:r>
            <w:r>
              <w:rPr>
                <w:rFonts w:eastAsiaTheme="minorEastAsia"/>
                <w:color w:val="auto"/>
                <w:sz w:val="21"/>
              </w:rPr>
              <w:t>生产能力（</w:t>
            </w:r>
            <w:r>
              <w:rPr>
                <w:rFonts w:hint="eastAsia" w:eastAsiaTheme="minorEastAsia"/>
                <w:color w:val="auto"/>
                <w:sz w:val="21"/>
              </w:rPr>
              <w:t>万吨</w:t>
            </w:r>
            <w:r>
              <w:rPr>
                <w:rFonts w:eastAsiaTheme="minorEastAsia"/>
                <w:color w:val="auto"/>
                <w:sz w:val="21"/>
              </w:rPr>
              <w:t>）</w:t>
            </w:r>
          </w:p>
        </w:tc>
        <w:tc>
          <w:tcPr>
            <w:tcW w:w="1056" w:type="dxa"/>
            <w:vAlign w:val="center"/>
          </w:tcPr>
          <w:p>
            <w:pPr>
              <w:spacing w:line="240" w:lineRule="auto"/>
              <w:ind w:firstLine="0" w:firstLineChars="0"/>
              <w:jc w:val="center"/>
              <w:rPr>
                <w:rFonts w:eastAsiaTheme="minorEastAsia"/>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达市要求</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28" w:type="dxa"/>
            <w:noWrap/>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25</w:t>
            </w:r>
          </w:p>
        </w:tc>
        <w:tc>
          <w:tcPr>
            <w:tcW w:w="946" w:type="dxa"/>
            <w:vMerge w:val="continue"/>
            <w:vAlign w:val="center"/>
          </w:tcPr>
          <w:p>
            <w:pPr>
              <w:spacing w:line="240" w:lineRule="auto"/>
              <w:ind w:firstLine="0" w:firstLineChars="0"/>
              <w:jc w:val="center"/>
              <w:rPr>
                <w:rFonts w:eastAsiaTheme="minorEastAsia"/>
                <w:color w:val="auto"/>
                <w:sz w:val="21"/>
              </w:rPr>
            </w:pPr>
          </w:p>
        </w:tc>
        <w:tc>
          <w:tcPr>
            <w:tcW w:w="4055" w:type="dxa"/>
            <w:vAlign w:val="center"/>
          </w:tcPr>
          <w:p>
            <w:pPr>
              <w:spacing w:line="240" w:lineRule="auto"/>
              <w:ind w:firstLine="0" w:firstLineChars="0"/>
              <w:rPr>
                <w:rFonts w:eastAsiaTheme="minorEastAsia"/>
                <w:color w:val="auto"/>
                <w:sz w:val="21"/>
              </w:rPr>
            </w:pPr>
            <w:r>
              <w:rPr>
                <w:rFonts w:hint="eastAsia" w:eastAsiaTheme="minorEastAsia"/>
                <w:color w:val="auto"/>
                <w:sz w:val="21"/>
              </w:rPr>
              <w:t>能源综合</w:t>
            </w:r>
            <w:r>
              <w:rPr>
                <w:rFonts w:eastAsiaTheme="minorEastAsia"/>
                <w:color w:val="auto"/>
                <w:sz w:val="21"/>
              </w:rPr>
              <w:t>生产能力（</w:t>
            </w:r>
            <w:r>
              <w:rPr>
                <w:rFonts w:hint="eastAsia" w:eastAsiaTheme="minorEastAsia"/>
                <w:color w:val="auto"/>
                <w:sz w:val="21"/>
              </w:rPr>
              <w:t>万吨标准煤</w:t>
            </w:r>
            <w:r>
              <w:rPr>
                <w:rFonts w:eastAsiaTheme="minorEastAsia"/>
                <w:color w:val="auto"/>
                <w:sz w:val="21"/>
              </w:rPr>
              <w:t>）</w:t>
            </w:r>
          </w:p>
        </w:tc>
        <w:tc>
          <w:tcPr>
            <w:tcW w:w="1056" w:type="dxa"/>
            <w:vAlign w:val="center"/>
          </w:tcPr>
          <w:p>
            <w:pPr>
              <w:spacing w:line="240" w:lineRule="auto"/>
              <w:ind w:firstLine="0" w:firstLineChars="0"/>
              <w:jc w:val="center"/>
              <w:rPr>
                <w:rFonts w:eastAsiaTheme="minorEastAsia"/>
                <w:bCs/>
                <w:iCs/>
                <w:color w:val="auto"/>
                <w:sz w:val="21"/>
              </w:rPr>
            </w:pPr>
            <w:r>
              <w:rPr>
                <w:rFonts w:hint="eastAsia" w:eastAsiaTheme="minorEastAsia"/>
                <w:bCs/>
                <w:iCs/>
                <w:color w:val="auto"/>
                <w:sz w:val="21"/>
              </w:rPr>
              <w:t>—</w:t>
            </w:r>
          </w:p>
        </w:tc>
        <w:tc>
          <w:tcPr>
            <w:tcW w:w="1076"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达市要求</w:t>
            </w:r>
          </w:p>
        </w:tc>
        <w:tc>
          <w:tcPr>
            <w:tcW w:w="846" w:type="dxa"/>
            <w:vAlign w:val="center"/>
          </w:tcPr>
          <w:p>
            <w:pPr>
              <w:spacing w:line="240" w:lineRule="auto"/>
              <w:ind w:firstLine="0" w:firstLineChars="0"/>
              <w:jc w:val="center"/>
              <w:rPr>
                <w:rFonts w:eastAsiaTheme="minorEastAsia"/>
                <w:color w:val="auto"/>
                <w:sz w:val="21"/>
              </w:rPr>
            </w:pPr>
          </w:p>
        </w:tc>
        <w:tc>
          <w:tcPr>
            <w:tcW w:w="944" w:type="dxa"/>
            <w:vAlign w:val="center"/>
          </w:tcPr>
          <w:p>
            <w:pPr>
              <w:spacing w:line="240" w:lineRule="auto"/>
              <w:ind w:firstLine="0" w:firstLineChars="0"/>
              <w:jc w:val="center"/>
              <w:rPr>
                <w:rFonts w:eastAsiaTheme="minorEastAsia"/>
                <w:color w:val="auto"/>
                <w:sz w:val="21"/>
              </w:rPr>
            </w:pPr>
            <w:r>
              <w:rPr>
                <w:rFonts w:hint="eastAsia" w:eastAsiaTheme="minorEastAsia"/>
                <w:color w:val="auto"/>
                <w:sz w:val="21"/>
              </w:rPr>
              <w:t>约束性</w:t>
            </w:r>
          </w:p>
        </w:tc>
      </w:tr>
    </w:tbl>
    <w:p>
      <w:pPr>
        <w:spacing w:line="240" w:lineRule="auto"/>
        <w:ind w:firstLine="480"/>
        <w:rPr>
          <w:rFonts w:ascii="Times New Roman" w:hAnsi="Times New Roman"/>
          <w:color w:val="auto"/>
          <w:sz w:val="24"/>
        </w:rPr>
      </w:pPr>
      <w:r>
        <w:rPr>
          <w:rFonts w:hint="eastAsia" w:ascii="Times New Roman" w:hAnsi="Times New Roman"/>
          <w:color w:val="auto"/>
          <w:sz w:val="24"/>
        </w:rPr>
        <w:t>注：带</w:t>
      </w:r>
      <w:r>
        <w:rPr>
          <w:rFonts w:ascii="Times New Roman" w:hAnsi="Times New Roman"/>
          <w:color w:val="auto"/>
          <w:sz w:val="24"/>
        </w:rPr>
        <w:t>[]</w:t>
      </w:r>
      <w:r>
        <w:rPr>
          <w:rFonts w:hint="eastAsia" w:ascii="Times New Roman" w:hAnsi="Times New Roman"/>
          <w:color w:val="auto"/>
          <w:sz w:val="24"/>
        </w:rPr>
        <w:t>的为累计值。</w:t>
      </w:r>
    </w:p>
    <w:p>
      <w:pPr>
        <w:ind w:firstLine="562"/>
        <w:rPr>
          <w:b/>
          <w:color w:val="auto"/>
          <w:szCs w:val="32"/>
        </w:rPr>
      </w:pPr>
      <w:r>
        <w:rPr>
          <w:rFonts w:hint="eastAsia"/>
          <w:b/>
          <w:color w:val="auto"/>
          <w:szCs w:val="32"/>
        </w:rPr>
        <w:t>4.</w:t>
      </w:r>
      <w:r>
        <w:rPr>
          <w:rFonts w:hint="eastAsia"/>
          <w:b/>
          <w:color w:val="auto"/>
        </w:rPr>
        <w:t>到2035年全县</w:t>
      </w:r>
      <w:r>
        <w:rPr>
          <w:b/>
          <w:color w:val="auto"/>
        </w:rPr>
        <w:t>经济社会发展的远景目标</w:t>
      </w:r>
    </w:p>
    <w:p>
      <w:pPr>
        <w:ind w:firstLine="560"/>
        <w:rPr>
          <w:color w:val="auto"/>
        </w:rPr>
      </w:pPr>
      <w:r>
        <w:rPr>
          <w:rFonts w:hint="eastAsia"/>
          <w:color w:val="auto"/>
        </w:rPr>
        <w:t>贯彻落实党中央</w:t>
      </w:r>
      <w:r>
        <w:rPr>
          <w:color w:val="auto"/>
        </w:rPr>
        <w:t>和</w:t>
      </w:r>
      <w:r>
        <w:rPr>
          <w:rFonts w:hint="eastAsia"/>
          <w:color w:val="auto"/>
        </w:rPr>
        <w:t>省委、市委经济发展蓝图和重要工作部署，结合阜平县发展实际，展望2035年，阜平县将</w:t>
      </w:r>
      <w:r>
        <w:rPr>
          <w:color w:val="auto"/>
        </w:rPr>
        <w:t>与全国、全</w:t>
      </w:r>
      <w:r>
        <w:rPr>
          <w:rFonts w:hint="eastAsia"/>
          <w:color w:val="auto"/>
        </w:rPr>
        <w:t>省</w:t>
      </w:r>
      <w:r>
        <w:rPr>
          <w:color w:val="auto"/>
        </w:rPr>
        <w:t>、全市同步</w:t>
      </w:r>
      <w:r>
        <w:rPr>
          <w:rFonts w:hint="eastAsia"/>
          <w:color w:val="auto"/>
        </w:rPr>
        <w:t>基本实现社会主义现代化，全面建成保定市西部中心</w:t>
      </w:r>
      <w:r>
        <w:rPr>
          <w:color w:val="auto"/>
        </w:rPr>
        <w:t>城市</w:t>
      </w:r>
      <w:r>
        <w:rPr>
          <w:rFonts w:hint="eastAsia"/>
          <w:color w:val="auto"/>
        </w:rPr>
        <w:t>。创新发展格局全面形成，综合实力、创新实力大幅跃升，全县常住人口达到30万人以上，城镇化率达到70%。经济总量再上新台阶，城乡居民收入水平力争达到全国平均水平；区域协同发展水平和能力大幅提升，京津冀都市圈服务保障基地作用明显提升，燕太片区示范带动效应显著增强，建成具有较强辐射能力的区域综合服务中心；产业结构进一步优化，新旧动能转换明显加快，现代化经济体系基本构建完成；基本实现治理体系和治理能力现代化，法治阜平、平安阜平建设达到更高水平；社会事业共同繁荣，民生福祉大幅增进，健康阜平、智慧阜平建设取得阶段性成果；生态文明建设实现更大突破，广泛形成绿色生产生活方式，基本建成天蓝地绿水秀的美丽阜平；全面深化改革和发展深度融合，乡村振兴形成示范性成果，基本公共服务实现均等化，城乡区域发展差距和居民生活水平差距显著缩小，人民生活更加美好。</w:t>
      </w:r>
    </w:p>
    <w:p>
      <w:pPr>
        <w:ind w:firstLine="560"/>
        <w:rPr>
          <w:color w:val="auto"/>
        </w:rPr>
      </w:pPr>
    </w:p>
    <w:p>
      <w:pPr>
        <w:ind w:firstLine="560"/>
        <w:jc w:val="center"/>
        <w:rPr>
          <w:color w:val="auto"/>
        </w:rPr>
      </w:pPr>
    </w:p>
    <w:p>
      <w:pPr>
        <w:pStyle w:val="2"/>
        <w:spacing w:line="240" w:lineRule="auto"/>
        <w:jc w:val="center"/>
        <w:rPr>
          <w:color w:val="auto"/>
        </w:rPr>
      </w:pPr>
      <w:bookmarkStart w:id="5" w:name="_Toc62244258"/>
      <w:r>
        <w:rPr>
          <w:rFonts w:hint="eastAsia"/>
          <w:color w:val="auto"/>
        </w:rPr>
        <w:t>第二章  守护畿西</w:t>
      </w:r>
      <w:r>
        <w:rPr>
          <w:color w:val="auto"/>
        </w:rPr>
        <w:t>生态屏障</w:t>
      </w:r>
      <w:r>
        <w:rPr>
          <w:rFonts w:hint="eastAsia"/>
          <w:color w:val="auto"/>
        </w:rPr>
        <w:t>功能，</w:t>
      </w:r>
      <w:r>
        <w:rPr>
          <w:color w:val="auto"/>
        </w:rPr>
        <w:t>打造绿色阜平</w:t>
      </w:r>
      <w:bookmarkEnd w:id="5"/>
    </w:p>
    <w:p>
      <w:pPr>
        <w:ind w:firstLine="560"/>
        <w:rPr>
          <w:color w:val="auto"/>
        </w:rPr>
      </w:pPr>
      <w:r>
        <w:rPr>
          <w:rFonts w:hint="eastAsia"/>
          <w:color w:val="auto"/>
        </w:rPr>
        <w:t>聚焦“</w:t>
      </w:r>
      <w:r>
        <w:rPr>
          <w:color w:val="auto"/>
        </w:rPr>
        <w:t>30·60目标”</w:t>
      </w:r>
      <w:r>
        <w:rPr>
          <w:rFonts w:hint="eastAsia"/>
          <w:color w:val="auto"/>
        </w:rPr>
        <w:t>，深入实施可持续发展战略，加快形成绿色生产生活方式，促进经济社会发展全面绿色转型。力争“十四五”期间，成功</w:t>
      </w:r>
      <w:r>
        <w:rPr>
          <w:color w:val="auto"/>
        </w:rPr>
        <w:t>创建国家生态文明建设示范县市和</w:t>
      </w:r>
      <w:r>
        <w:rPr>
          <w:rFonts w:hint="eastAsia"/>
          <w:color w:val="auto"/>
        </w:rPr>
        <w:t>“绿水青山</w:t>
      </w:r>
      <w:r>
        <w:rPr>
          <w:color w:val="auto"/>
        </w:rPr>
        <w:t>就是金山银山</w:t>
      </w:r>
      <w:r>
        <w:rPr>
          <w:rFonts w:hint="eastAsia"/>
          <w:color w:val="auto"/>
        </w:rPr>
        <w:t>”实践</w:t>
      </w:r>
      <w:r>
        <w:rPr>
          <w:color w:val="auto"/>
        </w:rPr>
        <w:t>创新基地</w:t>
      </w:r>
      <w:r>
        <w:rPr>
          <w:rFonts w:hint="eastAsia"/>
          <w:color w:val="auto"/>
        </w:rPr>
        <w:t>，打造“两山”理论创新带动践行区</w:t>
      </w:r>
      <w:r>
        <w:rPr>
          <w:color w:val="auto"/>
        </w:rPr>
        <w:t>。</w:t>
      </w:r>
    </w:p>
    <w:p>
      <w:pPr>
        <w:pStyle w:val="3"/>
        <w:spacing w:before="204"/>
        <w:ind w:firstLine="560" w:firstLineChars="200"/>
        <w:rPr>
          <w:color w:val="auto"/>
          <w:szCs w:val="30"/>
        </w:rPr>
      </w:pPr>
      <w:bookmarkStart w:id="6" w:name="_Toc62244259"/>
      <w:r>
        <w:rPr>
          <w:rFonts w:hint="eastAsia"/>
          <w:color w:val="auto"/>
          <w:szCs w:val="30"/>
        </w:rPr>
        <w:t>第一节  构建国土空间开发保护</w:t>
      </w:r>
      <w:r>
        <w:rPr>
          <w:color w:val="auto"/>
          <w:szCs w:val="30"/>
        </w:rPr>
        <w:t>新</w:t>
      </w:r>
      <w:r>
        <w:rPr>
          <w:rFonts w:hint="eastAsia"/>
          <w:color w:val="auto"/>
          <w:szCs w:val="30"/>
        </w:rPr>
        <w:t>格局</w:t>
      </w:r>
      <w:bookmarkEnd w:id="6"/>
    </w:p>
    <w:p>
      <w:pPr>
        <w:ind w:firstLine="560"/>
        <w:rPr>
          <w:color w:val="auto"/>
        </w:rPr>
      </w:pPr>
      <w:r>
        <w:rPr>
          <w:rFonts w:hint="eastAsia"/>
          <w:color w:val="auto"/>
        </w:rPr>
        <w:t>坚持绿色生态屏障定位，立足资源环境承载能力，创建省级园林城市，巩固</w:t>
      </w:r>
      <w:r>
        <w:rPr>
          <w:color w:val="auto"/>
        </w:rPr>
        <w:t>建设</w:t>
      </w:r>
      <w:r>
        <w:rPr>
          <w:rFonts w:hint="eastAsia"/>
          <w:color w:val="auto"/>
        </w:rPr>
        <w:t>京津冀生态环境支撑区，构建形成主体功能明显、优势互补、高质量发展的国土空间开发保护新格局。</w:t>
      </w:r>
    </w:p>
    <w:p>
      <w:pPr>
        <w:pStyle w:val="4"/>
        <w:numPr>
          <w:ilvl w:val="0"/>
          <w:numId w:val="0"/>
        </w:numPr>
        <w:ind w:left="643"/>
        <w:rPr>
          <w:color w:val="auto"/>
        </w:rPr>
      </w:pPr>
      <w:r>
        <w:rPr>
          <w:rFonts w:hint="eastAsia"/>
          <w:color w:val="auto"/>
        </w:rPr>
        <w:t>一</w:t>
      </w:r>
      <w:r>
        <w:rPr>
          <w:color w:val="auto"/>
        </w:rPr>
        <w:t>、</w:t>
      </w:r>
      <w:r>
        <w:rPr>
          <w:rFonts w:hint="eastAsia"/>
          <w:color w:val="auto"/>
        </w:rPr>
        <w:t>加强国土空间规划</w:t>
      </w:r>
      <w:r>
        <w:rPr>
          <w:color w:val="auto"/>
        </w:rPr>
        <w:t>和利用</w:t>
      </w:r>
    </w:p>
    <w:p>
      <w:pPr>
        <w:ind w:firstLine="562"/>
        <w:rPr>
          <w:color w:val="auto"/>
        </w:rPr>
      </w:pPr>
      <w:r>
        <w:rPr>
          <w:rFonts w:hint="eastAsia"/>
          <w:b/>
          <w:color w:val="auto"/>
        </w:rPr>
        <w:t>加快推进国土空间规划编制，推动“多规合一”</w:t>
      </w:r>
      <w:r>
        <w:rPr>
          <w:rFonts w:hint="eastAsia"/>
          <w:color w:val="auto"/>
        </w:rPr>
        <w:t>。全面贯彻落实主体功能区战略，优化重大基础设施、重大生产力和公共资源布局，科学划定生态保护红线、永久基本农田控制线、城镇开发边界“三条控制线”，逐步形成城镇、农业、生态三大空间格局。维护山水本底，保护生态服务和生态系统功能，筑牢生态安全屏障</w:t>
      </w:r>
      <w:r>
        <w:rPr>
          <w:color w:val="auto"/>
        </w:rPr>
        <w:t>。严守永久基本农田，保障农业发展空间，强调特色功能利用，加快构建</w:t>
      </w:r>
      <w:r>
        <w:rPr>
          <w:rFonts w:hint="eastAsia"/>
          <w:color w:val="auto"/>
        </w:rPr>
        <w:t>农业农村现代化新发展格局</w:t>
      </w:r>
      <w:r>
        <w:rPr>
          <w:color w:val="auto"/>
        </w:rPr>
        <w:t>。推动主体功能区战略精准落地，明确管控要求和配套政策，全面实施国土空间监测预警和绩效考核机制</w:t>
      </w:r>
      <w:r>
        <w:rPr>
          <w:rFonts w:hint="eastAsia"/>
          <w:color w:val="auto"/>
        </w:rPr>
        <w:t>，增强规划刚性</w:t>
      </w:r>
      <w:r>
        <w:rPr>
          <w:color w:val="auto"/>
        </w:rPr>
        <w:t>。</w:t>
      </w:r>
    </w:p>
    <w:p>
      <w:pPr>
        <w:ind w:firstLine="562"/>
        <w:rPr>
          <w:color w:val="auto"/>
        </w:rPr>
      </w:pPr>
      <w:r>
        <w:rPr>
          <w:rFonts w:hint="eastAsia"/>
          <w:b/>
          <w:color w:val="auto"/>
        </w:rPr>
        <w:t>加快</w:t>
      </w:r>
      <w:r>
        <w:rPr>
          <w:b/>
          <w:color w:val="auto"/>
        </w:rPr>
        <w:t>构建</w:t>
      </w:r>
      <w:r>
        <w:rPr>
          <w:rFonts w:hint="eastAsia"/>
          <w:b/>
          <w:color w:val="auto"/>
        </w:rPr>
        <w:t>国土空间开发保护总体格局</w:t>
      </w:r>
      <w:r>
        <w:rPr>
          <w:rFonts w:hint="eastAsia"/>
          <w:color w:val="auto"/>
        </w:rPr>
        <w:t>。统筹“山水林田湖草”等保护类要素和城乡、产业、交通等发展类要素布局，加快构建“一核五区一网络、三心多廊一平台”的国土空间开发保护总体格局。“三心、多廊”主要体现保护，“一核一网络、五区一平台”主要体现开发，实现保护中开发、开发中保护的统一。</w:t>
      </w:r>
      <w:r>
        <w:rPr>
          <w:rFonts w:hint="eastAsia"/>
          <w:b/>
          <w:color w:val="auto"/>
        </w:rPr>
        <w:t>一核</w:t>
      </w:r>
      <w:r>
        <w:rPr>
          <w:rFonts w:hint="eastAsia"/>
          <w:color w:val="auto"/>
        </w:rPr>
        <w:t>，即</w:t>
      </w:r>
      <w:r>
        <w:rPr>
          <w:color w:val="auto"/>
        </w:rPr>
        <w:t>指</w:t>
      </w:r>
      <w:r>
        <w:rPr>
          <w:rFonts w:hint="eastAsia"/>
          <w:color w:val="auto"/>
        </w:rPr>
        <w:t>中心城区；</w:t>
      </w:r>
      <w:r>
        <w:rPr>
          <w:rFonts w:hint="eastAsia"/>
          <w:b/>
          <w:color w:val="auto"/>
        </w:rPr>
        <w:t>一网络</w:t>
      </w:r>
      <w:r>
        <w:rPr>
          <w:rFonts w:hint="eastAsia"/>
          <w:color w:val="auto"/>
        </w:rPr>
        <w:t>，即由中心城区、乡镇和中心村组成的网络化城镇村体系，促进城镇串联式、组团式、卫星城式发展；</w:t>
      </w:r>
      <w:r>
        <w:rPr>
          <w:rFonts w:hint="eastAsia"/>
          <w:b/>
          <w:color w:val="auto"/>
        </w:rPr>
        <w:t>五区</w:t>
      </w:r>
      <w:r>
        <w:rPr>
          <w:rFonts w:hint="eastAsia"/>
          <w:color w:val="auto"/>
        </w:rPr>
        <w:t>，即西北部深山区生态涵养区、东南部王快水库周边水源保护区、中部中心城区和阜东新区周边综合发展区、北部特色农业区、南部特色农业区；</w:t>
      </w:r>
      <w:r>
        <w:rPr>
          <w:rFonts w:hint="eastAsia"/>
          <w:b/>
          <w:color w:val="auto"/>
        </w:rPr>
        <w:t>一平台</w:t>
      </w:r>
      <w:r>
        <w:rPr>
          <w:rFonts w:hint="eastAsia"/>
          <w:color w:val="auto"/>
        </w:rPr>
        <w:t>，即阜东产业发展平台；</w:t>
      </w:r>
      <w:r>
        <w:rPr>
          <w:rFonts w:hint="eastAsia"/>
          <w:b/>
          <w:color w:val="auto"/>
        </w:rPr>
        <w:t>三心</w:t>
      </w:r>
      <w:r>
        <w:rPr>
          <w:rFonts w:hint="eastAsia"/>
          <w:color w:val="auto"/>
        </w:rPr>
        <w:t>，即古北岳“绿心”、银河山“绿心”、王快“蓝心”；</w:t>
      </w:r>
      <w:r>
        <w:rPr>
          <w:rFonts w:hint="eastAsia"/>
          <w:b/>
          <w:color w:val="auto"/>
        </w:rPr>
        <w:t>多廊</w:t>
      </w:r>
      <w:r>
        <w:rPr>
          <w:rFonts w:hint="eastAsia"/>
          <w:color w:val="auto"/>
        </w:rPr>
        <w:t>，即由</w:t>
      </w:r>
      <w:r>
        <w:rPr>
          <w:color w:val="auto"/>
        </w:rPr>
        <w:t>县域</w:t>
      </w:r>
      <w:r>
        <w:rPr>
          <w:rFonts w:hint="eastAsia"/>
          <w:color w:val="auto"/>
        </w:rPr>
        <w:t>水系和沟谷组成的多条生态廊道。</w:t>
      </w:r>
    </w:p>
    <w:p>
      <w:pPr>
        <w:ind w:firstLine="560"/>
        <w:jc w:val="center"/>
        <w:rPr>
          <w:color w:val="auto"/>
        </w:rPr>
      </w:pPr>
      <w:r>
        <w:rPr>
          <w:color w:val="auto"/>
        </w:rPr>
        <w:drawing>
          <wp:inline distT="0" distB="0" distL="0" distR="0">
            <wp:extent cx="4181475" cy="3227070"/>
            <wp:effectExtent l="19050" t="19050" r="0" b="0"/>
            <wp:docPr id="4" name="图片 4" descr="C:\Users\ivey\AppData\Local\Temp\160794067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ivey\AppData\Local\Temp\1607940670(1).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4184857" cy="3230050"/>
                    </a:xfrm>
                    <a:prstGeom prst="rect">
                      <a:avLst/>
                    </a:prstGeom>
                    <a:noFill/>
                    <a:ln w="6350">
                      <a:solidFill>
                        <a:schemeClr val="tx1">
                          <a:lumMod val="50000"/>
                          <a:lumOff val="50000"/>
                        </a:schemeClr>
                      </a:solidFill>
                    </a:ln>
                  </pic:spPr>
                </pic:pic>
              </a:graphicData>
            </a:graphic>
          </wp:inline>
        </w:drawing>
      </w:r>
    </w:p>
    <w:p>
      <w:pPr>
        <w:spacing w:line="240" w:lineRule="auto"/>
        <w:ind w:firstLine="0" w:firstLineChars="0"/>
        <w:jc w:val="center"/>
        <w:rPr>
          <w:rFonts w:ascii="黑体" w:hAnsi="黑体" w:eastAsia="黑体"/>
          <w:color w:val="auto"/>
          <w:sz w:val="22"/>
        </w:rPr>
      </w:pPr>
      <w:r>
        <w:rPr>
          <w:rFonts w:hint="eastAsia" w:ascii="黑体" w:hAnsi="黑体" w:eastAsia="黑体"/>
          <w:color w:val="auto"/>
          <w:sz w:val="22"/>
        </w:rPr>
        <w:t>图2-1</w:t>
      </w:r>
      <w:r>
        <w:rPr>
          <w:rFonts w:ascii="黑体" w:hAnsi="黑体" w:eastAsia="黑体"/>
          <w:color w:val="auto"/>
          <w:sz w:val="22"/>
        </w:rPr>
        <w:t xml:space="preserve"> </w:t>
      </w:r>
      <w:r>
        <w:rPr>
          <w:rFonts w:hint="eastAsia" w:ascii="黑体" w:hAnsi="黑体" w:eastAsia="黑体"/>
          <w:color w:val="auto"/>
          <w:sz w:val="22"/>
        </w:rPr>
        <w:t>“一核五区一网络、三心多廊一平台”国土空间总体格局</w:t>
      </w:r>
    </w:p>
    <w:p>
      <w:pPr>
        <w:pStyle w:val="4"/>
        <w:numPr>
          <w:ilvl w:val="0"/>
          <w:numId w:val="0"/>
        </w:numPr>
        <w:ind w:left="643"/>
        <w:rPr>
          <w:color w:val="auto"/>
        </w:rPr>
      </w:pPr>
      <w:r>
        <w:rPr>
          <w:rFonts w:hint="eastAsia"/>
          <w:color w:val="auto"/>
        </w:rPr>
        <w:t>二</w:t>
      </w:r>
      <w:r>
        <w:rPr>
          <w:color w:val="auto"/>
        </w:rPr>
        <w:t>、</w:t>
      </w:r>
      <w:r>
        <w:rPr>
          <w:rFonts w:hint="eastAsia"/>
          <w:color w:val="auto"/>
        </w:rPr>
        <w:t>强化全域</w:t>
      </w:r>
      <w:r>
        <w:rPr>
          <w:color w:val="auto"/>
        </w:rPr>
        <w:t>生态空间管控</w:t>
      </w:r>
    </w:p>
    <w:p>
      <w:pPr>
        <w:ind w:firstLine="562"/>
        <w:rPr>
          <w:color w:val="auto"/>
        </w:rPr>
      </w:pPr>
      <w:r>
        <w:rPr>
          <w:rFonts w:hint="eastAsia"/>
          <w:b/>
          <w:color w:val="auto"/>
        </w:rPr>
        <w:t>严守</w:t>
      </w:r>
      <w:r>
        <w:rPr>
          <w:b/>
          <w:color w:val="auto"/>
        </w:rPr>
        <w:t>生态</w:t>
      </w:r>
      <w:r>
        <w:rPr>
          <w:rFonts w:hint="eastAsia"/>
          <w:b/>
          <w:color w:val="auto"/>
        </w:rPr>
        <w:t>保护</w:t>
      </w:r>
      <w:r>
        <w:rPr>
          <w:b/>
          <w:color w:val="auto"/>
        </w:rPr>
        <w:t>红线</w:t>
      </w:r>
      <w:r>
        <w:rPr>
          <w:rFonts w:hint="eastAsia"/>
          <w:color w:val="auto"/>
        </w:rPr>
        <w:t>。坚持以资源环境承载能力为刚性约束条件，统筹生产、生活、生态三大空间，严守全县划定的生态保护红线；落实最严格的耕地保护制度，严格</w:t>
      </w:r>
      <w:r>
        <w:rPr>
          <w:color w:val="auto"/>
        </w:rPr>
        <w:t>保护</w:t>
      </w:r>
      <w:r>
        <w:rPr>
          <w:rFonts w:hint="eastAsia"/>
          <w:color w:val="auto"/>
        </w:rPr>
        <w:t>永久基本农田。严控城镇规模和城镇开发边界，建立协同运行的生态保护红线监管工作体系，实施全域分区空间管控，强化对各类开发与保护活动的空间引导和落地管控；加强与县域绿线、蓝线、紫线和黄线等控制线的协同管控。</w:t>
      </w:r>
    </w:p>
    <w:p>
      <w:pPr>
        <w:ind w:firstLine="562"/>
        <w:rPr>
          <w:color w:val="auto"/>
        </w:rPr>
      </w:pPr>
      <w:r>
        <w:rPr>
          <w:rFonts w:hint="eastAsia"/>
          <w:b/>
          <w:color w:val="auto"/>
        </w:rPr>
        <w:t>加强生态空间差别化用途管制</w:t>
      </w:r>
      <w:r>
        <w:rPr>
          <w:rFonts w:hint="eastAsia"/>
          <w:color w:val="auto"/>
        </w:rPr>
        <w:t>。确保生态功能不降低，面积不减少，性质不改变。对于生态保护红线内空间，采用正面清单准入管理，严禁不符合主体功能定位的各类开发建设活动；对于一般生态空间采用准入管理，允许在不降低生态功能、不破坏生态系统的前提下，进行适度开发利用和结构布局调整；严控房地产开发建设，严格执行新增产业的禁止和限制目录，加大拆违控违力度。</w:t>
      </w:r>
    </w:p>
    <w:p>
      <w:pPr>
        <w:spacing w:line="240" w:lineRule="auto"/>
        <w:ind w:firstLine="560"/>
        <w:jc w:val="center"/>
        <w:rPr>
          <w:color w:val="auto"/>
        </w:rPr>
      </w:pPr>
      <w:r>
        <w:rPr>
          <w:color w:val="auto"/>
        </w:rPr>
        <w:drawing>
          <wp:inline distT="0" distB="0" distL="0" distR="0">
            <wp:extent cx="4171950" cy="2781300"/>
            <wp:effectExtent l="19050" t="19050" r="0" b="0"/>
            <wp:docPr id="1" name="图片 1" descr="C:\Users\ivey\AppData\Local\Temp\1603031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ivey\AppData\Local\Temp\1603031873(1).png"/>
                    <pic:cNvPicPr>
                      <a:picLocks noChangeAspect="1" noChangeArrowheads="1"/>
                    </pic:cNvPicPr>
                  </pic:nvPicPr>
                  <pic:blipFill>
                    <a:blip r:embed="rId13" cstate="print">
                      <a:extLst>
                        <a:ext uri="{28A0092B-C50C-407E-A947-70E740481C1C}">
                          <a14:useLocalDpi xmlns:a14="http://schemas.microsoft.com/office/drawing/2010/main" val="0"/>
                        </a:ext>
                      </a:extLst>
                    </a:blip>
                    <a:srcRect l="1534" t="2553" r="1828" b="2107"/>
                    <a:stretch>
                      <a:fillRect/>
                    </a:stretch>
                  </pic:blipFill>
                  <pic:spPr>
                    <a:xfrm>
                      <a:off x="0" y="0"/>
                      <a:ext cx="4172882" cy="2781921"/>
                    </a:xfrm>
                    <a:prstGeom prst="rect">
                      <a:avLst/>
                    </a:prstGeom>
                    <a:noFill/>
                    <a:ln w="6350">
                      <a:solidFill>
                        <a:schemeClr val="tx1"/>
                      </a:solidFill>
                    </a:ln>
                  </pic:spPr>
                </pic:pic>
              </a:graphicData>
            </a:graphic>
          </wp:inline>
        </w:drawing>
      </w:r>
    </w:p>
    <w:p>
      <w:pPr>
        <w:spacing w:line="240" w:lineRule="auto"/>
        <w:ind w:firstLine="182" w:firstLineChars="83"/>
        <w:jc w:val="center"/>
        <w:rPr>
          <w:rFonts w:ascii="黑体" w:hAnsi="黑体" w:eastAsia="黑体"/>
          <w:color w:val="auto"/>
          <w:sz w:val="22"/>
        </w:rPr>
      </w:pPr>
      <w:r>
        <w:rPr>
          <w:rFonts w:hint="eastAsia" w:ascii="黑体" w:hAnsi="黑体" w:eastAsia="黑体"/>
          <w:color w:val="auto"/>
          <w:sz w:val="22"/>
        </w:rPr>
        <w:t>图2-</w:t>
      </w:r>
      <w:r>
        <w:rPr>
          <w:rFonts w:ascii="黑体" w:hAnsi="黑体" w:eastAsia="黑体"/>
          <w:color w:val="auto"/>
          <w:sz w:val="22"/>
        </w:rPr>
        <w:t xml:space="preserve">2 </w:t>
      </w:r>
      <w:r>
        <w:rPr>
          <w:rFonts w:hint="eastAsia" w:ascii="黑体" w:hAnsi="黑体" w:eastAsia="黑体"/>
          <w:color w:val="auto"/>
          <w:sz w:val="22"/>
        </w:rPr>
        <w:t>生态</w:t>
      </w:r>
      <w:r>
        <w:rPr>
          <w:rFonts w:ascii="黑体" w:hAnsi="黑体" w:eastAsia="黑体"/>
          <w:color w:val="auto"/>
          <w:sz w:val="22"/>
        </w:rPr>
        <w:t>空间布局规划图</w:t>
      </w:r>
    </w:p>
    <w:p>
      <w:pPr>
        <w:pStyle w:val="4"/>
        <w:numPr>
          <w:ilvl w:val="0"/>
          <w:numId w:val="0"/>
        </w:numPr>
        <w:ind w:left="643"/>
        <w:rPr>
          <w:color w:val="auto"/>
        </w:rPr>
      </w:pPr>
      <w:r>
        <w:rPr>
          <w:rFonts w:hint="eastAsia"/>
          <w:color w:val="auto"/>
        </w:rPr>
        <w:t>三</w:t>
      </w:r>
      <w:r>
        <w:rPr>
          <w:color w:val="auto"/>
        </w:rPr>
        <w:t>、</w:t>
      </w:r>
      <w:r>
        <w:rPr>
          <w:rFonts w:hint="eastAsia"/>
          <w:color w:val="auto"/>
        </w:rPr>
        <w:t>推进自然</w:t>
      </w:r>
      <w:r>
        <w:rPr>
          <w:color w:val="auto"/>
        </w:rPr>
        <w:t>保护地体系</w:t>
      </w:r>
      <w:r>
        <w:rPr>
          <w:rFonts w:hint="eastAsia"/>
          <w:color w:val="auto"/>
        </w:rPr>
        <w:t>建设</w:t>
      </w:r>
    </w:p>
    <w:p>
      <w:pPr>
        <w:ind w:firstLine="560"/>
        <w:rPr>
          <w:color w:val="auto"/>
        </w:rPr>
      </w:pPr>
      <w:r>
        <w:rPr>
          <w:rFonts w:hint="eastAsia"/>
          <w:color w:val="auto"/>
        </w:rPr>
        <w:t>整合优化河北银河山省级自然保护区、天生桥国家地质公园、天生桥国家森林公园，以及和河北银河山省级自然保护区重叠部分的中华鳖国家级水产种质资源保护区纳入河北银河山省级自然保护区，形成2级2类自然保护地体系，包括</w:t>
      </w:r>
      <w:r>
        <w:rPr>
          <w:color w:val="auto"/>
        </w:rPr>
        <w:t>2</w:t>
      </w:r>
      <w:r>
        <w:rPr>
          <w:rFonts w:hint="eastAsia"/>
          <w:color w:val="auto"/>
        </w:rPr>
        <w:t>个保护区、1个</w:t>
      </w:r>
      <w:r>
        <w:rPr>
          <w:color w:val="auto"/>
        </w:rPr>
        <w:t>风景名胜区</w:t>
      </w:r>
      <w:r>
        <w:rPr>
          <w:rFonts w:hint="eastAsia"/>
          <w:color w:val="auto"/>
        </w:rPr>
        <w:t>。</w:t>
      </w:r>
      <w:r>
        <w:rPr>
          <w:color w:val="auto"/>
        </w:rPr>
        <w:t>2</w:t>
      </w:r>
      <w:r>
        <w:rPr>
          <w:rFonts w:hint="eastAsia"/>
          <w:color w:val="auto"/>
        </w:rPr>
        <w:t>个保护区，即河北银河山省级自然保护区、中华鳖国家级水产种质资源保护区；1个</w:t>
      </w:r>
      <w:r>
        <w:rPr>
          <w:color w:val="auto"/>
        </w:rPr>
        <w:t>风景名胜区</w:t>
      </w:r>
      <w:r>
        <w:rPr>
          <w:rFonts w:hint="eastAsia"/>
          <w:color w:val="auto"/>
        </w:rPr>
        <w:t>，即古北岳风景名胜区。完成自然保护地勘界立标并与生态保护红线衔接，构建完善分类分级管理体制；建设“天空地一体化”监测监管网络体系，强化环境监测，提高管理效能。</w:t>
      </w:r>
    </w:p>
    <w:p>
      <w:pPr>
        <w:pStyle w:val="4"/>
        <w:numPr>
          <w:ilvl w:val="0"/>
          <w:numId w:val="0"/>
        </w:numPr>
        <w:ind w:left="643"/>
        <w:rPr>
          <w:color w:val="auto"/>
        </w:rPr>
      </w:pPr>
      <w:r>
        <w:rPr>
          <w:rFonts w:hint="eastAsia"/>
          <w:color w:val="auto"/>
        </w:rPr>
        <w:t>四</w:t>
      </w:r>
      <w:r>
        <w:rPr>
          <w:color w:val="auto"/>
        </w:rPr>
        <w:t>、</w:t>
      </w:r>
      <w:r>
        <w:rPr>
          <w:rFonts w:hint="eastAsia"/>
          <w:color w:val="auto"/>
        </w:rPr>
        <w:t>构筑绿色发展生态格局</w:t>
      </w:r>
    </w:p>
    <w:p>
      <w:pPr>
        <w:ind w:firstLine="562"/>
        <w:rPr>
          <w:color w:val="auto"/>
        </w:rPr>
      </w:pPr>
      <w:r>
        <w:rPr>
          <w:rFonts w:hint="eastAsia"/>
          <w:b/>
          <w:color w:val="auto"/>
        </w:rPr>
        <w:t>构建“一库两区多廊道”生态保护格局</w:t>
      </w:r>
      <w:r>
        <w:rPr>
          <w:rFonts w:hint="eastAsia"/>
          <w:color w:val="auto"/>
        </w:rPr>
        <w:t>。强化保障生态要素连续性</w:t>
      </w:r>
      <w:r>
        <w:rPr>
          <w:color w:val="auto"/>
        </w:rPr>
        <w:t>和</w:t>
      </w:r>
      <w:r>
        <w:rPr>
          <w:rFonts w:hint="eastAsia"/>
          <w:color w:val="auto"/>
        </w:rPr>
        <w:t>完整性，打造高品质空间体系。</w:t>
      </w:r>
      <w:r>
        <w:rPr>
          <w:color w:val="auto"/>
        </w:rPr>
        <w:t>加强</w:t>
      </w:r>
      <w:r>
        <w:rPr>
          <w:rFonts w:hint="eastAsia"/>
          <w:color w:val="auto"/>
        </w:rPr>
        <w:t>王快水库水源地保护，结合河道</w:t>
      </w:r>
      <w:r>
        <w:rPr>
          <w:color w:val="auto"/>
        </w:rPr>
        <w:t>综合治理，保持山区水土</w:t>
      </w:r>
      <w:r>
        <w:rPr>
          <w:rFonts w:hint="eastAsia"/>
          <w:color w:val="auto"/>
        </w:rPr>
        <w:t>，</w:t>
      </w:r>
      <w:r>
        <w:rPr>
          <w:color w:val="auto"/>
        </w:rPr>
        <w:t>控制</w:t>
      </w:r>
      <w:r>
        <w:rPr>
          <w:rFonts w:hint="eastAsia"/>
          <w:color w:val="auto"/>
        </w:rPr>
        <w:t>入河污染，加大县域西部和北部生态涵养区支持力度</w:t>
      </w:r>
      <w:r>
        <w:rPr>
          <w:color w:val="auto"/>
        </w:rPr>
        <w:t>，</w:t>
      </w:r>
      <w:r>
        <w:rPr>
          <w:rFonts w:hint="eastAsia"/>
          <w:color w:val="auto"/>
        </w:rPr>
        <w:t>依托主要河流水系、沟谷和交通路线构建</w:t>
      </w:r>
      <w:r>
        <w:rPr>
          <w:color w:val="auto"/>
        </w:rPr>
        <w:t>县域</w:t>
      </w:r>
      <w:r>
        <w:rPr>
          <w:rFonts w:hint="eastAsia"/>
          <w:color w:val="auto"/>
        </w:rPr>
        <w:t>生态廊道。利用自然山水格局塑造特色景观形象，形成显山露水透绿、山水城互融通的城市空间网络和特色景观形象。</w:t>
      </w:r>
    </w:p>
    <w:p>
      <w:pPr>
        <w:ind w:firstLine="562"/>
        <w:rPr>
          <w:color w:val="auto"/>
        </w:rPr>
      </w:pPr>
      <w:r>
        <w:rPr>
          <w:rFonts w:hint="eastAsia"/>
          <w:b/>
          <w:color w:val="auto"/>
        </w:rPr>
        <w:t>构建全域山水林田湖矿综合整治格局</w:t>
      </w:r>
      <w:r>
        <w:rPr>
          <w:rFonts w:hint="eastAsia"/>
          <w:color w:val="auto"/>
        </w:rPr>
        <w:t>。落实</w:t>
      </w:r>
      <w:r>
        <w:rPr>
          <w:color w:val="auto"/>
        </w:rPr>
        <w:t>县国土空间规划对各类</w:t>
      </w:r>
      <w:r>
        <w:rPr>
          <w:rFonts w:hint="eastAsia"/>
          <w:color w:val="auto"/>
        </w:rPr>
        <w:t>资源</w:t>
      </w:r>
      <w:r>
        <w:rPr>
          <w:color w:val="auto"/>
        </w:rPr>
        <w:t>保护、修复、利用要求，</w:t>
      </w:r>
      <w:r>
        <w:rPr>
          <w:rFonts w:hint="eastAsia"/>
          <w:color w:val="auto"/>
        </w:rPr>
        <w:t>将山水林田湖草作为生命共同体统一保护、统一修复，确定6类重点整治和修复区域，分别为水体治理与生态修复区、高标准农田集中建设区、矿山恢复治理与生态修复区、山区生态环境综合治理区、城乡综合整治区以及山水林田综合修复区。加大荒山绿化、通道绿化、城市绿化</w:t>
      </w:r>
      <w:r>
        <w:rPr>
          <w:color w:val="auto"/>
        </w:rPr>
        <w:t>力度</w:t>
      </w:r>
      <w:r>
        <w:rPr>
          <w:rFonts w:hint="eastAsia"/>
          <w:color w:val="auto"/>
        </w:rPr>
        <w:t>，实施经济林基地建设、矿山及裸露山体生态修复、水系疏浚、城市绿化及村庄绿化等工程，强化生态空间保护；</w:t>
      </w:r>
      <w:r>
        <w:rPr>
          <w:color w:val="auto"/>
        </w:rPr>
        <w:t>继续争取上级生态保护修复试点工作，</w:t>
      </w:r>
      <w:r>
        <w:rPr>
          <w:rFonts w:hint="eastAsia"/>
          <w:color w:val="auto"/>
        </w:rPr>
        <w:t>更多</w:t>
      </w:r>
      <w:r>
        <w:rPr>
          <w:color w:val="auto"/>
        </w:rPr>
        <w:t>纳入省、市重大工程规划与布局，推动县域生态系统的整体保护</w:t>
      </w:r>
      <w:r>
        <w:rPr>
          <w:rFonts w:hint="eastAsia"/>
          <w:color w:val="auto"/>
        </w:rPr>
        <w:t>和</w:t>
      </w:r>
      <w:r>
        <w:rPr>
          <w:color w:val="auto"/>
        </w:rPr>
        <w:t>系统修复</w:t>
      </w:r>
      <w:r>
        <w:rPr>
          <w:rFonts w:hint="eastAsia"/>
          <w:color w:val="auto"/>
        </w:rPr>
        <w:t>。</w:t>
      </w:r>
    </w:p>
    <w:p>
      <w:pPr>
        <w:ind w:firstLine="560"/>
        <w:jc w:val="center"/>
        <w:rPr>
          <w:color w:val="auto"/>
        </w:rPr>
      </w:pPr>
      <w:r>
        <w:rPr>
          <w:color w:val="auto"/>
        </w:rPr>
        <w:drawing>
          <wp:inline distT="0" distB="0" distL="0" distR="0">
            <wp:extent cx="3581400" cy="2817495"/>
            <wp:effectExtent l="19050" t="19050" r="0" b="1905"/>
            <wp:docPr id="3" name="图片 3" descr="C:\Users\ivey\AppData\Local\Temp\160698745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ivey\AppData\Local\Temp\1606987452(1).png"/>
                    <pic:cNvPicPr>
                      <a:picLocks noChangeAspect="1" noChangeArrowheads="1"/>
                    </pic:cNvPicPr>
                  </pic:nvPicPr>
                  <pic:blipFill>
                    <a:blip r:embed="rId14" cstate="print">
                      <a:extLst>
                        <a:ext uri="{28A0092B-C50C-407E-A947-70E740481C1C}">
                          <a14:useLocalDpi xmlns:a14="http://schemas.microsoft.com/office/drawing/2010/main" val="0"/>
                        </a:ext>
                      </a:extLst>
                    </a:blip>
                    <a:srcRect l="1018" t="523" r="719"/>
                    <a:stretch>
                      <a:fillRect/>
                    </a:stretch>
                  </pic:blipFill>
                  <pic:spPr>
                    <a:xfrm>
                      <a:off x="0" y="0"/>
                      <a:ext cx="3684454" cy="2898927"/>
                    </a:xfrm>
                    <a:prstGeom prst="rect">
                      <a:avLst/>
                    </a:prstGeom>
                    <a:noFill/>
                    <a:ln w="6350">
                      <a:solidFill>
                        <a:schemeClr val="tx1">
                          <a:lumMod val="50000"/>
                          <a:lumOff val="50000"/>
                        </a:schemeClr>
                      </a:solidFill>
                    </a:ln>
                  </pic:spPr>
                </pic:pic>
              </a:graphicData>
            </a:graphic>
          </wp:inline>
        </w:drawing>
      </w:r>
    </w:p>
    <w:p>
      <w:pPr>
        <w:spacing w:line="240" w:lineRule="auto"/>
        <w:ind w:firstLine="182" w:firstLineChars="83"/>
        <w:jc w:val="center"/>
        <w:rPr>
          <w:rFonts w:ascii="黑体" w:hAnsi="黑体" w:eastAsia="黑体"/>
          <w:color w:val="auto"/>
          <w:sz w:val="22"/>
        </w:rPr>
      </w:pPr>
      <w:r>
        <w:rPr>
          <w:rFonts w:hint="eastAsia" w:ascii="黑体" w:hAnsi="黑体" w:eastAsia="黑体"/>
          <w:color w:val="auto"/>
          <w:sz w:val="22"/>
        </w:rPr>
        <w:t>图2-</w:t>
      </w:r>
      <w:r>
        <w:rPr>
          <w:rFonts w:ascii="黑体" w:hAnsi="黑体" w:eastAsia="黑体"/>
          <w:color w:val="auto"/>
          <w:sz w:val="22"/>
        </w:rPr>
        <w:t xml:space="preserve">3 </w:t>
      </w:r>
      <w:r>
        <w:rPr>
          <w:rFonts w:hint="eastAsia" w:ascii="黑体" w:hAnsi="黑体" w:eastAsia="黑体"/>
          <w:color w:val="auto"/>
          <w:sz w:val="22"/>
        </w:rPr>
        <w:t>“一库两区多廊道”生态</w:t>
      </w:r>
      <w:r>
        <w:rPr>
          <w:rFonts w:ascii="黑体" w:hAnsi="黑体" w:eastAsia="黑体"/>
          <w:color w:val="auto"/>
          <w:sz w:val="22"/>
        </w:rPr>
        <w:t>保护格局</w:t>
      </w:r>
    </w:p>
    <w:p>
      <w:pPr>
        <w:pStyle w:val="3"/>
        <w:spacing w:before="204"/>
        <w:ind w:firstLine="560" w:firstLineChars="200"/>
        <w:rPr>
          <w:color w:val="auto"/>
          <w:szCs w:val="30"/>
        </w:rPr>
      </w:pPr>
      <w:bookmarkStart w:id="7" w:name="_Toc62244260"/>
      <w:r>
        <w:rPr>
          <w:rFonts w:hint="eastAsia"/>
          <w:color w:val="auto"/>
          <w:szCs w:val="30"/>
        </w:rPr>
        <w:t>第二节  打好污染防治</w:t>
      </w:r>
      <w:r>
        <w:rPr>
          <w:color w:val="auto"/>
          <w:szCs w:val="30"/>
        </w:rPr>
        <w:t>攻坚</w:t>
      </w:r>
      <w:r>
        <w:rPr>
          <w:rFonts w:hint="eastAsia"/>
          <w:color w:val="auto"/>
          <w:szCs w:val="30"/>
        </w:rPr>
        <w:t>升级</w:t>
      </w:r>
      <w:r>
        <w:rPr>
          <w:color w:val="auto"/>
          <w:szCs w:val="30"/>
        </w:rPr>
        <w:t>战</w:t>
      </w:r>
      <w:bookmarkEnd w:id="7"/>
    </w:p>
    <w:p>
      <w:pPr>
        <w:ind w:firstLine="560"/>
        <w:rPr>
          <w:color w:val="auto"/>
        </w:rPr>
      </w:pPr>
      <w:r>
        <w:rPr>
          <w:rFonts w:hint="eastAsia"/>
          <w:color w:val="auto"/>
        </w:rPr>
        <w:t>持续深入开展污染防治升级行动，强化多污染物</w:t>
      </w:r>
      <w:r>
        <w:rPr>
          <w:color w:val="auto"/>
        </w:rPr>
        <w:t>协同控制和区域协同治理，</w:t>
      </w:r>
      <w:r>
        <w:rPr>
          <w:rFonts w:hint="eastAsia"/>
          <w:color w:val="auto"/>
        </w:rPr>
        <w:t>建立地上地下、水陆统筹的生态环境治理制度。</w:t>
      </w:r>
    </w:p>
    <w:p>
      <w:pPr>
        <w:pStyle w:val="4"/>
        <w:numPr>
          <w:ilvl w:val="0"/>
          <w:numId w:val="0"/>
        </w:numPr>
        <w:ind w:left="643"/>
        <w:rPr>
          <w:color w:val="auto"/>
        </w:rPr>
      </w:pPr>
      <w:r>
        <w:rPr>
          <w:rFonts w:hint="eastAsia"/>
          <w:color w:val="auto"/>
        </w:rPr>
        <w:t>一</w:t>
      </w:r>
      <w:r>
        <w:rPr>
          <w:color w:val="auto"/>
        </w:rPr>
        <w:t>、</w:t>
      </w:r>
      <w:r>
        <w:rPr>
          <w:rFonts w:hint="eastAsia"/>
          <w:color w:val="auto"/>
        </w:rPr>
        <w:t>打好“青山”</w:t>
      </w:r>
      <w:r>
        <w:rPr>
          <w:color w:val="auto"/>
        </w:rPr>
        <w:t>保卫战</w:t>
      </w:r>
    </w:p>
    <w:p>
      <w:pPr>
        <w:ind w:firstLine="560"/>
        <w:rPr>
          <w:color w:val="auto"/>
        </w:rPr>
      </w:pPr>
      <w:r>
        <w:rPr>
          <w:rFonts w:hint="eastAsia"/>
          <w:color w:val="auto"/>
        </w:rPr>
        <w:t>认真落实林地分级管理，有效补充林地数量，引导节约使用林地，确保林地资源稳定增长</w:t>
      </w:r>
      <w:r>
        <w:rPr>
          <w:color w:val="auto"/>
        </w:rPr>
        <w:t>。</w:t>
      </w:r>
      <w:r>
        <w:rPr>
          <w:rFonts w:hint="eastAsia"/>
          <w:color w:val="auto"/>
        </w:rPr>
        <w:t>深入推进国土绿化，继续开展大规模植树造林，</w:t>
      </w:r>
      <w:r>
        <w:rPr>
          <w:color w:val="auto"/>
        </w:rPr>
        <w:t>科学</w:t>
      </w:r>
      <w:r>
        <w:rPr>
          <w:rFonts w:hint="eastAsia"/>
          <w:color w:val="auto"/>
        </w:rPr>
        <w:t>实施</w:t>
      </w:r>
      <w:r>
        <w:rPr>
          <w:color w:val="auto"/>
        </w:rPr>
        <w:t>封山育林，</w:t>
      </w:r>
      <w:r>
        <w:rPr>
          <w:rFonts w:hint="eastAsia"/>
          <w:color w:val="auto"/>
        </w:rPr>
        <w:t>塑造高品质城区生态环境，保障区域生态安全。严格实施林地用途管制，全力实施违法违规圈占土地、违规违建项目、资源能源项目、房地产开发项目、矿山综合治理、地下水超采综合治理等6项重点领域清理规范。到2025年</w:t>
      </w:r>
      <w:r>
        <w:rPr>
          <w:color w:val="auto"/>
        </w:rPr>
        <w:t>，</w:t>
      </w:r>
      <w:r>
        <w:rPr>
          <w:rFonts w:hint="eastAsia"/>
          <w:color w:val="auto"/>
        </w:rPr>
        <w:t>完成造林绿化37.5万亩，实现林地保有量不低于19万公顷，森林</w:t>
      </w:r>
      <w:r>
        <w:rPr>
          <w:color w:val="auto"/>
        </w:rPr>
        <w:t>覆盖率</w:t>
      </w:r>
      <w:r>
        <w:rPr>
          <w:rFonts w:hint="eastAsia"/>
          <w:color w:val="auto"/>
        </w:rPr>
        <w:t>达</w:t>
      </w:r>
      <w:r>
        <w:rPr>
          <w:color w:val="auto"/>
        </w:rPr>
        <w:t>55%</w:t>
      </w:r>
      <w:r>
        <w:rPr>
          <w:rFonts w:hint="eastAsia"/>
          <w:color w:val="auto"/>
        </w:rPr>
        <w:t>以上。</w:t>
      </w:r>
    </w:p>
    <w:p>
      <w:pPr>
        <w:pStyle w:val="4"/>
        <w:numPr>
          <w:ilvl w:val="0"/>
          <w:numId w:val="0"/>
        </w:numPr>
        <w:ind w:left="643"/>
        <w:rPr>
          <w:color w:val="auto"/>
        </w:rPr>
      </w:pPr>
      <w:r>
        <w:rPr>
          <w:rFonts w:hint="eastAsia"/>
          <w:color w:val="auto"/>
        </w:rPr>
        <w:t>二</w:t>
      </w:r>
      <w:r>
        <w:rPr>
          <w:color w:val="auto"/>
        </w:rPr>
        <w:t>、</w:t>
      </w:r>
      <w:r>
        <w:rPr>
          <w:rFonts w:hint="eastAsia"/>
          <w:color w:val="auto"/>
        </w:rPr>
        <w:t>打好“蓝天”保卫战</w:t>
      </w:r>
    </w:p>
    <w:p>
      <w:pPr>
        <w:ind w:firstLine="560"/>
        <w:rPr>
          <w:color w:val="auto"/>
        </w:rPr>
      </w:pPr>
      <w:r>
        <w:rPr>
          <w:rFonts w:hint="eastAsia"/>
          <w:color w:val="auto"/>
        </w:rPr>
        <w:t>深入推进大气污染防治工作，坚决落实重点行业绩效分级、差异化管控措施，完善应急预案；紧盯重点污染物、重点时段和重点领域，持续开展秋冬季大气污染综合治理攻坚行动。继续推进清洁能源替代和散煤治理，保持县域清洁取暖全覆盖；加快推进液化气管道入户，确保完成试点任务；全面抓好“散乱污”企业，“油、路、车”等污染综合防治，完善动态管理机制；开展乡镇空气质量排名，严格落实奖惩机制。建立健全大气复合型污染监测和防治体系，实施PM2.5、PM10等大气污染协同控制政策，空气质量优良天数比达到80</w:t>
      </w:r>
      <w:r>
        <w:rPr>
          <w:color w:val="auto"/>
        </w:rPr>
        <w:t>%</w:t>
      </w:r>
      <w:r>
        <w:rPr>
          <w:rFonts w:hint="eastAsia"/>
          <w:color w:val="auto"/>
        </w:rPr>
        <w:t>以上</w:t>
      </w:r>
      <w:r>
        <w:rPr>
          <w:color w:val="auto"/>
        </w:rPr>
        <w:t>。</w:t>
      </w:r>
    </w:p>
    <w:p>
      <w:pPr>
        <w:pStyle w:val="4"/>
        <w:numPr>
          <w:ilvl w:val="0"/>
          <w:numId w:val="0"/>
        </w:numPr>
        <w:ind w:left="643"/>
        <w:rPr>
          <w:color w:val="auto"/>
        </w:rPr>
      </w:pPr>
      <w:r>
        <w:rPr>
          <w:rFonts w:hint="eastAsia"/>
          <w:color w:val="auto"/>
        </w:rPr>
        <w:t>三</w:t>
      </w:r>
      <w:r>
        <w:rPr>
          <w:color w:val="auto"/>
        </w:rPr>
        <w:t>、</w:t>
      </w:r>
      <w:r>
        <w:rPr>
          <w:rFonts w:hint="eastAsia"/>
          <w:color w:val="auto"/>
        </w:rPr>
        <w:t>打好“碧水”保卫战</w:t>
      </w:r>
    </w:p>
    <w:p>
      <w:pPr>
        <w:ind w:firstLine="560"/>
        <w:rPr>
          <w:color w:val="auto"/>
        </w:rPr>
      </w:pPr>
      <w:r>
        <w:rPr>
          <w:rFonts w:hint="eastAsia"/>
          <w:color w:val="auto"/>
        </w:rPr>
        <w:t>持续深入打好“碧水”保卫战。切实加强水环境治理，减轻水环境污染负荷，控源、截污与河段清淤相结合，实施河流水质目标管理，稳步提升水环境质量。深化推进河湖长制，扎实落实白洋淀上游流域综合治理措施，加大对</w:t>
      </w:r>
      <w:r>
        <w:rPr>
          <w:color w:val="auto"/>
        </w:rPr>
        <w:t>县域重点区域的治理和修复力度</w:t>
      </w:r>
      <w:r>
        <w:rPr>
          <w:rFonts w:hint="eastAsia"/>
          <w:color w:val="auto"/>
        </w:rPr>
        <w:t>；加强王快水库及周边区域饮用水水源地环境保护，禁止一切破坏水环境平衡的活动以。强化污水处理监管，确保城区、乡镇污水处理厂及搬迁安置区污水处理站规范运营、达标排放，加快阜东园区污水处理厂提标改造工程</w:t>
      </w:r>
      <w:r>
        <w:rPr>
          <w:color w:val="auto"/>
        </w:rPr>
        <w:t>，</w:t>
      </w:r>
      <w:r>
        <w:rPr>
          <w:rFonts w:hint="eastAsia"/>
          <w:color w:val="auto"/>
        </w:rPr>
        <w:t>加快实施中水回用工程，</w:t>
      </w:r>
      <w:r>
        <w:rPr>
          <w:color w:val="auto"/>
        </w:rPr>
        <w:t>逐步试点铺开</w:t>
      </w:r>
      <w:r>
        <w:rPr>
          <w:rFonts w:hint="eastAsia"/>
          <w:color w:val="auto"/>
        </w:rPr>
        <w:t>。严格国控、省控断面及主要河流水质监测，确保县域水质持续保持地表Ⅱ类水以上标准。</w:t>
      </w:r>
    </w:p>
    <w:p>
      <w:pPr>
        <w:pStyle w:val="4"/>
        <w:numPr>
          <w:ilvl w:val="0"/>
          <w:numId w:val="0"/>
        </w:numPr>
        <w:ind w:left="643"/>
        <w:rPr>
          <w:color w:val="auto"/>
        </w:rPr>
      </w:pPr>
      <w:r>
        <w:rPr>
          <w:rFonts w:hint="eastAsia"/>
          <w:color w:val="auto"/>
        </w:rPr>
        <w:t>四</w:t>
      </w:r>
      <w:r>
        <w:rPr>
          <w:color w:val="auto"/>
        </w:rPr>
        <w:t>、</w:t>
      </w:r>
      <w:r>
        <w:rPr>
          <w:rFonts w:hint="eastAsia"/>
          <w:color w:val="auto"/>
        </w:rPr>
        <w:t>打好“净土”保卫战</w:t>
      </w:r>
    </w:p>
    <w:p>
      <w:pPr>
        <w:ind w:firstLine="560"/>
        <w:rPr>
          <w:color w:val="auto"/>
        </w:rPr>
      </w:pPr>
      <w:r>
        <w:rPr>
          <w:rFonts w:hint="eastAsia"/>
          <w:color w:val="auto"/>
        </w:rPr>
        <w:t>加强土壤污染综合治理，实施土壤环境状况定期调查制度，强化农业面源、畜禽养殖、重金属排放等污染监测，严厉打击非法转移、处置和倾倒危险废弃物行为。建立健全土壤污染监管体制，加快调整农用地利用方式和农作物种植结构，推广绿色清洁生产方式，推进</w:t>
      </w:r>
      <w:r>
        <w:rPr>
          <w:color w:val="auto"/>
        </w:rPr>
        <w:t>化肥农药减量化，</w:t>
      </w:r>
      <w:r>
        <w:rPr>
          <w:rFonts w:hint="eastAsia"/>
          <w:color w:val="auto"/>
        </w:rPr>
        <w:t>优化土壤环境质量监测网络，实现县、</w:t>
      </w:r>
      <w:r>
        <w:rPr>
          <w:color w:val="auto"/>
        </w:rPr>
        <w:t>镇、村</w:t>
      </w:r>
      <w:r>
        <w:rPr>
          <w:rFonts w:hint="eastAsia"/>
          <w:color w:val="auto"/>
        </w:rPr>
        <w:t>全覆盖。完善污染风险防控机制，因地制宜采取源头防控、治理修复等措施，轻度污染耕地通过秸秆还田、生态修复等措施推动土地安全利用；工矿用地按开发程度制定相应修复计划，控制污染扩散风险；建设用地，重点关注学校、养老机构等公共服务用地，通过状况调查、风险评估等途径实现有效防控。全面推进生活垃圾减量化，资源化和无害化。</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0" w:firstLineChars="0"/>
              <w:jc w:val="center"/>
              <w:rPr>
                <w:rFonts w:ascii="黑体" w:hAnsi="黑体" w:eastAsia="黑体"/>
                <w:color w:val="auto"/>
                <w:sz w:val="24"/>
                <w:szCs w:val="28"/>
              </w:rPr>
            </w:pPr>
            <w:r>
              <w:rPr>
                <w:rFonts w:hint="eastAsia" w:ascii="黑体" w:hAnsi="黑体" w:eastAsia="黑体"/>
                <w:color w:val="auto"/>
                <w:sz w:val="24"/>
                <w:szCs w:val="28"/>
              </w:rPr>
              <w:t>专栏2-</w:t>
            </w:r>
            <w:r>
              <w:rPr>
                <w:rFonts w:ascii="黑体" w:hAnsi="黑体" w:eastAsia="黑体"/>
                <w:color w:val="auto"/>
                <w:sz w:val="24"/>
                <w:szCs w:val="28"/>
              </w:rPr>
              <w:t xml:space="preserve">1 </w:t>
            </w:r>
            <w:r>
              <w:rPr>
                <w:rFonts w:hint="eastAsia" w:ascii="黑体" w:hAnsi="黑体" w:eastAsia="黑体"/>
                <w:color w:val="auto"/>
                <w:sz w:val="24"/>
                <w:szCs w:val="28"/>
              </w:rPr>
              <w:t>污染</w:t>
            </w:r>
            <w:r>
              <w:rPr>
                <w:rFonts w:ascii="黑体" w:hAnsi="黑体" w:eastAsia="黑体"/>
                <w:color w:val="auto"/>
                <w:sz w:val="24"/>
                <w:szCs w:val="28"/>
              </w:rPr>
              <w:t>防治重点攻坚</w:t>
            </w:r>
            <w:r>
              <w:rPr>
                <w:rFonts w:hint="eastAsia" w:ascii="黑体" w:hAnsi="黑体" w:eastAsia="黑体"/>
                <w:color w:val="auto"/>
                <w:sz w:val="24"/>
                <w:szCs w:val="28"/>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1.水体治理</w:t>
            </w:r>
            <w:r>
              <w:rPr>
                <w:rFonts w:ascii="仿宋_GB2312" w:eastAsia="仿宋_GB2312"/>
                <w:b/>
                <w:bCs/>
                <w:color w:val="auto"/>
                <w:sz w:val="24"/>
                <w:szCs w:val="28"/>
              </w:rPr>
              <w:t>与生态修复工程</w:t>
            </w:r>
            <w:r>
              <w:rPr>
                <w:rFonts w:hint="eastAsia" w:ascii="仿宋_GB2312" w:eastAsia="仿宋_GB2312"/>
                <w:bCs/>
                <w:color w:val="auto"/>
                <w:sz w:val="24"/>
                <w:szCs w:val="28"/>
              </w:rPr>
              <w:t>。主要涉及板峪河、北流河、平阳河、大沙河、胭脂河、鹞子河和县北河等7条主要河流，包括河道疏浚、原位处理、资源化利用及生态修复等，确保重要水功能区水质稳定达标，改善河流水体整体质量。</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2.矿山环境恢复治理工程</w:t>
            </w:r>
            <w:r>
              <w:rPr>
                <w:rFonts w:hint="eastAsia" w:ascii="仿宋_GB2312" w:eastAsia="仿宋_GB2312"/>
                <w:bCs/>
                <w:color w:val="auto"/>
                <w:sz w:val="24"/>
                <w:szCs w:val="28"/>
              </w:rPr>
              <w:t>。涉及阜平镇、砂窝镇、大台乡等乡镇范围内的采矿用地，主要任务是修复山体、消除安全隐患、恢复生态功能等。</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3.山水林田综合修复工程</w:t>
            </w:r>
            <w:r>
              <w:rPr>
                <w:rFonts w:hint="eastAsia" w:ascii="仿宋_GB2312" w:eastAsia="仿宋_GB2312"/>
                <w:bCs/>
                <w:color w:val="auto"/>
                <w:sz w:val="24"/>
                <w:szCs w:val="28"/>
              </w:rPr>
              <w:t>。主要涉及重要林区和王快水库水源保护区周边区域，以提升林地和水体的生态功能为主。广泛利用本地特色物种提升植被盖度、丰度，增强水源涵养、气候调节等生态功能。建成高标准农田林网，村庄修建环村复层林带；在河道两岸建设河滨带，实施“林草相间”的绿色生态廊道重建。同步推进山体、水体、农田、道路、森林和工矿用地等多种类型要素融合治理。</w:t>
            </w:r>
          </w:p>
        </w:tc>
      </w:tr>
    </w:tbl>
    <w:p>
      <w:pPr>
        <w:pStyle w:val="3"/>
        <w:spacing w:before="204"/>
        <w:ind w:firstLine="560" w:firstLineChars="200"/>
        <w:rPr>
          <w:color w:val="auto"/>
          <w:szCs w:val="30"/>
        </w:rPr>
      </w:pPr>
      <w:bookmarkStart w:id="8" w:name="_Toc62244261"/>
      <w:r>
        <w:rPr>
          <w:rFonts w:hint="eastAsia"/>
          <w:color w:val="auto"/>
          <w:szCs w:val="30"/>
        </w:rPr>
        <w:t>第三节  发挥资源优势加快绿色发展</w:t>
      </w:r>
      <w:bookmarkEnd w:id="8"/>
    </w:p>
    <w:p>
      <w:pPr>
        <w:ind w:firstLine="560"/>
        <w:rPr>
          <w:color w:val="auto"/>
        </w:rPr>
      </w:pPr>
      <w:r>
        <w:rPr>
          <w:rFonts w:hint="eastAsia"/>
          <w:color w:val="auto"/>
        </w:rPr>
        <w:t>聚焦“</w:t>
      </w:r>
      <w:r>
        <w:rPr>
          <w:color w:val="auto"/>
        </w:rPr>
        <w:t>3060”目标任务，</w:t>
      </w:r>
      <w:r>
        <w:rPr>
          <w:rFonts w:hint="eastAsia"/>
          <w:color w:val="auto"/>
        </w:rPr>
        <w:t>坚持“生态富县”发展思路，推动低碳循环发展，</w:t>
      </w:r>
      <w:r>
        <w:rPr>
          <w:color w:val="auto"/>
        </w:rPr>
        <w:t>做到</w:t>
      </w:r>
      <w:r>
        <w:rPr>
          <w:rFonts w:hint="eastAsia"/>
          <w:color w:val="auto"/>
        </w:rPr>
        <w:t>“干生态活、打生态牌、吃生态饭”，有效打通“两山”转化通道，打造太行山绿色产业发展区。</w:t>
      </w:r>
    </w:p>
    <w:p>
      <w:pPr>
        <w:pStyle w:val="4"/>
        <w:numPr>
          <w:ilvl w:val="0"/>
          <w:numId w:val="0"/>
        </w:numPr>
        <w:ind w:left="643"/>
        <w:rPr>
          <w:color w:val="auto"/>
        </w:rPr>
      </w:pPr>
      <w:r>
        <w:rPr>
          <w:rFonts w:hint="eastAsia"/>
          <w:color w:val="auto"/>
        </w:rPr>
        <w:t>一</w:t>
      </w:r>
      <w:r>
        <w:rPr>
          <w:color w:val="auto"/>
        </w:rPr>
        <w:t>、</w:t>
      </w:r>
      <w:r>
        <w:rPr>
          <w:rFonts w:hint="eastAsia"/>
          <w:color w:val="auto"/>
        </w:rPr>
        <w:t>构建</w:t>
      </w:r>
      <w:r>
        <w:rPr>
          <w:color w:val="auto"/>
        </w:rPr>
        <w:t>生态</w:t>
      </w:r>
      <w:r>
        <w:rPr>
          <w:rFonts w:hint="eastAsia"/>
          <w:color w:val="auto"/>
        </w:rPr>
        <w:t>产业</w:t>
      </w:r>
      <w:r>
        <w:rPr>
          <w:color w:val="auto"/>
        </w:rPr>
        <w:t>体系</w:t>
      </w:r>
    </w:p>
    <w:p>
      <w:pPr>
        <w:ind w:firstLine="560"/>
        <w:rPr>
          <w:color w:val="auto"/>
        </w:rPr>
      </w:pPr>
      <w:r>
        <w:rPr>
          <w:rFonts w:hint="eastAsia"/>
          <w:color w:val="auto"/>
        </w:rPr>
        <w:t>推进全县产业生态化和生态产业化。强化</w:t>
      </w:r>
      <w:r>
        <w:rPr>
          <w:color w:val="auto"/>
        </w:rPr>
        <w:t>农业基础，推广种养结合、秸秆还田、畜禽粪污资源化利用等生态种养方式，</w:t>
      </w:r>
      <w:r>
        <w:rPr>
          <w:rFonts w:hint="eastAsia"/>
          <w:color w:val="auto"/>
        </w:rPr>
        <w:t>大力发展生态农业、循环农业、林下经济等特色生态产业，</w:t>
      </w:r>
      <w:r>
        <w:rPr>
          <w:color w:val="auto"/>
        </w:rPr>
        <w:t>推动完善</w:t>
      </w:r>
      <w:r>
        <w:rPr>
          <w:rFonts w:hint="eastAsia"/>
          <w:color w:val="auto"/>
        </w:rPr>
        <w:t>生态循环产业链</w:t>
      </w:r>
      <w:r>
        <w:rPr>
          <w:color w:val="auto"/>
        </w:rPr>
        <w:t>。</w:t>
      </w:r>
      <w:r>
        <w:rPr>
          <w:rFonts w:hint="eastAsia"/>
          <w:color w:val="auto"/>
        </w:rPr>
        <w:t>支持绿色技术创新，全面推进工业、建筑、交通等重要行业传统企业绿色</w:t>
      </w:r>
      <w:r>
        <w:rPr>
          <w:color w:val="auto"/>
        </w:rPr>
        <w:t>化</w:t>
      </w:r>
      <w:r>
        <w:rPr>
          <w:rFonts w:hint="eastAsia"/>
          <w:color w:val="auto"/>
        </w:rPr>
        <w:t>改造，重点</w:t>
      </w:r>
      <w:r>
        <w:rPr>
          <w:color w:val="auto"/>
        </w:rPr>
        <w:t>推动装备制造、食品加工业产业及重点企业实施改造</w:t>
      </w:r>
      <w:r>
        <w:rPr>
          <w:rFonts w:hint="eastAsia"/>
          <w:color w:val="auto"/>
        </w:rPr>
        <w:t>；大力培育节能环保，清洁能源，互联网，新材料等新兴产业；加快发展健康养老、生态旅游、文化创意、现代物流、绿色金融等现代服务业，加强绿色产品和服务供给。以阜平经济开发区为</w:t>
      </w:r>
      <w:r>
        <w:rPr>
          <w:color w:val="auto"/>
        </w:rPr>
        <w:t>主要载体，完善循环经济产业链条</w:t>
      </w:r>
      <w:r>
        <w:rPr>
          <w:rFonts w:hint="eastAsia"/>
          <w:color w:val="auto"/>
        </w:rPr>
        <w:t>，促进</w:t>
      </w:r>
      <w:r>
        <w:rPr>
          <w:color w:val="auto"/>
        </w:rPr>
        <w:t>企业内部</w:t>
      </w:r>
      <w:r>
        <w:rPr>
          <w:rFonts w:hint="eastAsia"/>
          <w:color w:val="auto"/>
        </w:rPr>
        <w:t>“小循环”、</w:t>
      </w:r>
      <w:r>
        <w:rPr>
          <w:color w:val="auto"/>
        </w:rPr>
        <w:t>园区</w:t>
      </w:r>
      <w:r>
        <w:rPr>
          <w:rFonts w:hint="eastAsia"/>
          <w:color w:val="auto"/>
        </w:rPr>
        <w:t>“中循环”与</w:t>
      </w:r>
      <w:r>
        <w:rPr>
          <w:color w:val="auto"/>
        </w:rPr>
        <w:t>社会</w:t>
      </w:r>
      <w:r>
        <w:rPr>
          <w:rFonts w:hint="eastAsia"/>
          <w:color w:val="auto"/>
        </w:rPr>
        <w:t>“大循环”有机衔接</w:t>
      </w:r>
      <w:r>
        <w:rPr>
          <w:color w:val="auto"/>
        </w:rPr>
        <w:t>，加快打造生态循环性产业园区。</w:t>
      </w:r>
    </w:p>
    <w:p>
      <w:pPr>
        <w:pStyle w:val="4"/>
        <w:numPr>
          <w:ilvl w:val="0"/>
          <w:numId w:val="0"/>
        </w:numPr>
        <w:ind w:left="643"/>
        <w:rPr>
          <w:color w:val="auto"/>
        </w:rPr>
      </w:pPr>
      <w:r>
        <w:rPr>
          <w:rFonts w:hint="eastAsia"/>
          <w:color w:val="auto"/>
        </w:rPr>
        <w:t>二</w:t>
      </w:r>
      <w:r>
        <w:rPr>
          <w:color w:val="auto"/>
        </w:rPr>
        <w:t>、</w:t>
      </w:r>
      <w:r>
        <w:rPr>
          <w:rFonts w:hint="eastAsia"/>
          <w:color w:val="auto"/>
        </w:rPr>
        <w:t>持续</w:t>
      </w:r>
      <w:r>
        <w:rPr>
          <w:color w:val="auto"/>
        </w:rPr>
        <w:t>推进</w:t>
      </w:r>
      <w:r>
        <w:rPr>
          <w:rFonts w:hint="eastAsia"/>
          <w:color w:val="auto"/>
        </w:rPr>
        <w:t>节能降耗</w:t>
      </w:r>
    </w:p>
    <w:p>
      <w:pPr>
        <w:ind w:firstLine="560"/>
        <w:rPr>
          <w:color w:val="auto"/>
        </w:rPr>
      </w:pPr>
      <w:r>
        <w:rPr>
          <w:rFonts w:hint="eastAsia"/>
          <w:color w:val="auto"/>
        </w:rPr>
        <w:t>聚焦</w:t>
      </w:r>
      <w:r>
        <w:rPr>
          <w:color w:val="auto"/>
        </w:rPr>
        <w:t>“30·60目标”</w:t>
      </w:r>
      <w:r>
        <w:rPr>
          <w:rFonts w:hint="eastAsia"/>
          <w:color w:val="auto"/>
        </w:rPr>
        <w:t>，实施循环发展引领计划，主动控制碳排放，加强高能耗行业能耗管控，全面推动县域低碳循环发展。节约</w:t>
      </w:r>
      <w:r>
        <w:rPr>
          <w:color w:val="auto"/>
        </w:rPr>
        <w:t>集约利用水、土资源，大幅降低资源消耗强度</w:t>
      </w:r>
      <w:r>
        <w:rPr>
          <w:rFonts w:hint="eastAsia"/>
          <w:color w:val="auto"/>
        </w:rPr>
        <w:t>，建立</w:t>
      </w:r>
      <w:r>
        <w:rPr>
          <w:color w:val="auto"/>
        </w:rPr>
        <w:t>区域用水许可总量控制指标体系，控制工业和农业用水总量，提高农业灌溉水利用效率，加强城市节水，推进企业节水改造，建设节水型社会</w:t>
      </w:r>
      <w:r>
        <w:rPr>
          <w:rFonts w:hint="eastAsia"/>
          <w:color w:val="auto"/>
        </w:rPr>
        <w:t>；</w:t>
      </w:r>
      <w:r>
        <w:rPr>
          <w:color w:val="auto"/>
        </w:rPr>
        <w:t>落实最严格的节约集约用地制度，</w:t>
      </w:r>
      <w:r>
        <w:rPr>
          <w:rFonts w:hint="eastAsia"/>
          <w:color w:val="auto"/>
        </w:rPr>
        <w:t>推广</w:t>
      </w:r>
      <w:r>
        <w:rPr>
          <w:color w:val="auto"/>
        </w:rPr>
        <w:t>应用节地技术和模式，坚决淘汰落后产能、低端产业，</w:t>
      </w:r>
      <w:r>
        <w:rPr>
          <w:rFonts w:hint="eastAsia"/>
          <w:color w:val="auto"/>
        </w:rPr>
        <w:t>积极</w:t>
      </w:r>
      <w:r>
        <w:rPr>
          <w:color w:val="auto"/>
        </w:rPr>
        <w:t>盘活闲置土地。加快</w:t>
      </w:r>
      <w:r>
        <w:rPr>
          <w:rFonts w:hint="eastAsia"/>
          <w:color w:val="auto"/>
        </w:rPr>
        <w:t>现有</w:t>
      </w:r>
      <w:r>
        <w:rPr>
          <w:color w:val="auto"/>
        </w:rPr>
        <w:t>企业技术改造，鼓励推动企业节能、降耗、增效，力促单位GDP能耗、用水量</w:t>
      </w:r>
      <w:r>
        <w:rPr>
          <w:rFonts w:hint="eastAsia"/>
          <w:color w:val="auto"/>
        </w:rPr>
        <w:t>“双降”。</w:t>
      </w:r>
    </w:p>
    <w:p>
      <w:pPr>
        <w:pStyle w:val="4"/>
        <w:numPr>
          <w:ilvl w:val="0"/>
          <w:numId w:val="0"/>
        </w:numPr>
        <w:ind w:left="643"/>
        <w:rPr>
          <w:color w:val="auto"/>
        </w:rPr>
      </w:pPr>
      <w:r>
        <w:rPr>
          <w:rFonts w:hint="eastAsia"/>
          <w:color w:val="auto"/>
        </w:rPr>
        <w:t>三</w:t>
      </w:r>
      <w:r>
        <w:rPr>
          <w:color w:val="auto"/>
        </w:rPr>
        <w:t>、</w:t>
      </w:r>
      <w:r>
        <w:rPr>
          <w:rFonts w:hint="eastAsia"/>
          <w:color w:val="auto"/>
        </w:rPr>
        <w:t>加强</w:t>
      </w:r>
      <w:r>
        <w:rPr>
          <w:color w:val="auto"/>
        </w:rPr>
        <w:t>资源综合利用</w:t>
      </w:r>
    </w:p>
    <w:p>
      <w:pPr>
        <w:ind w:firstLine="560"/>
        <w:rPr>
          <w:color w:val="auto"/>
        </w:rPr>
      </w:pPr>
      <w:r>
        <w:rPr>
          <w:rFonts w:hint="eastAsia"/>
          <w:color w:val="auto"/>
        </w:rPr>
        <w:t>聚焦重点行业和关键环节，加强垃圾资源化利用，</w:t>
      </w:r>
      <w:r>
        <w:rPr>
          <w:color w:val="auto"/>
        </w:rPr>
        <w:t>建成从源头分类到末端</w:t>
      </w:r>
      <w:r>
        <w:rPr>
          <w:rFonts w:hint="eastAsia"/>
          <w:color w:val="auto"/>
        </w:rPr>
        <w:t>处置</w:t>
      </w:r>
      <w:r>
        <w:rPr>
          <w:color w:val="auto"/>
        </w:rPr>
        <w:t>一体化的再生资源处理体系</w:t>
      </w:r>
      <w:r>
        <w:rPr>
          <w:rFonts w:hint="eastAsia"/>
          <w:color w:val="auto"/>
        </w:rPr>
        <w:t>。</w:t>
      </w:r>
      <w:r>
        <w:rPr>
          <w:color w:val="auto"/>
        </w:rPr>
        <w:t>实施工业固体废弃物收集、运输、贮存、处理等全过程监管</w:t>
      </w:r>
      <w:r>
        <w:rPr>
          <w:rFonts w:hint="eastAsia"/>
          <w:color w:val="auto"/>
        </w:rPr>
        <w:t>，提高</w:t>
      </w:r>
      <w:r>
        <w:rPr>
          <w:color w:val="auto"/>
        </w:rPr>
        <w:t>资源化和再利用水平。</w:t>
      </w:r>
      <w:r>
        <w:rPr>
          <w:rFonts w:hint="eastAsia"/>
          <w:color w:val="auto"/>
        </w:rPr>
        <w:t>加强</w:t>
      </w:r>
      <w:r>
        <w:rPr>
          <w:color w:val="auto"/>
        </w:rPr>
        <w:t>农业废弃物综合利用，</w:t>
      </w:r>
      <w:r>
        <w:rPr>
          <w:rFonts w:hint="eastAsia"/>
          <w:color w:val="auto"/>
        </w:rPr>
        <w:t>促进</w:t>
      </w:r>
      <w:r>
        <w:rPr>
          <w:color w:val="auto"/>
        </w:rPr>
        <w:t>秸秆饲料化、能源化、基料化利用</w:t>
      </w:r>
      <w:r>
        <w:rPr>
          <w:rFonts w:hint="eastAsia"/>
          <w:color w:val="auto"/>
        </w:rPr>
        <w:t>，</w:t>
      </w:r>
      <w:r>
        <w:rPr>
          <w:color w:val="auto"/>
        </w:rPr>
        <w:t>推进</w:t>
      </w:r>
      <w:r>
        <w:rPr>
          <w:rFonts w:hint="eastAsia"/>
          <w:color w:val="auto"/>
        </w:rPr>
        <w:t>县域</w:t>
      </w:r>
      <w:r>
        <w:rPr>
          <w:color w:val="auto"/>
        </w:rPr>
        <w:t>畜禽粪污综合利用，</w:t>
      </w:r>
      <w:r>
        <w:rPr>
          <w:rFonts w:hint="eastAsia"/>
          <w:color w:val="auto"/>
        </w:rPr>
        <w:t>鼓励支持食用菌企业加快菌渣资源化利用。完善</w:t>
      </w:r>
      <w:r>
        <w:rPr>
          <w:color w:val="auto"/>
        </w:rPr>
        <w:t>再生资源回收体系，搭建互联网应用服务平台，鼓励</w:t>
      </w:r>
      <w:r>
        <w:rPr>
          <w:rFonts w:hint="eastAsia"/>
          <w:color w:val="auto"/>
        </w:rPr>
        <w:t>回收</w:t>
      </w:r>
      <w:r>
        <w:rPr>
          <w:color w:val="auto"/>
        </w:rPr>
        <w:t>废旧家电、废旧轮胎、废塑料、废纸、包装物等</w:t>
      </w:r>
      <w:r>
        <w:rPr>
          <w:rFonts w:hint="eastAsia"/>
          <w:color w:val="auto"/>
        </w:rPr>
        <w:t>“城市</w:t>
      </w:r>
      <w:r>
        <w:rPr>
          <w:color w:val="auto"/>
        </w:rPr>
        <w:t>矿产</w:t>
      </w:r>
      <w:r>
        <w:rPr>
          <w:rFonts w:hint="eastAsia"/>
          <w:color w:val="auto"/>
        </w:rPr>
        <w:t>”资源</w:t>
      </w:r>
      <w:r>
        <w:rPr>
          <w:color w:val="auto"/>
        </w:rPr>
        <w:t>，发展再制造和再生利用产品。</w:t>
      </w:r>
      <w:r>
        <w:rPr>
          <w:rFonts w:hint="eastAsia"/>
          <w:color w:val="auto"/>
        </w:rPr>
        <w:t>完善垃圾分类收集设施网络和运输体系，</w:t>
      </w:r>
      <w:r>
        <w:rPr>
          <w:color w:val="auto"/>
        </w:rPr>
        <w:t>加快</w:t>
      </w:r>
      <w:r>
        <w:rPr>
          <w:rFonts w:hint="eastAsia"/>
          <w:color w:val="auto"/>
        </w:rPr>
        <w:t>推行</w:t>
      </w:r>
      <w:r>
        <w:rPr>
          <w:color w:val="auto"/>
        </w:rPr>
        <w:t>城乡居民生活垃圾分类，</w:t>
      </w:r>
      <w:r>
        <w:rPr>
          <w:rFonts w:hint="eastAsia"/>
          <w:color w:val="auto"/>
        </w:rPr>
        <w:t>提升垃圾焚烧、生化、填埋等设施建设水平。</w:t>
      </w:r>
    </w:p>
    <w:p>
      <w:pPr>
        <w:pStyle w:val="3"/>
        <w:spacing w:before="204"/>
        <w:ind w:firstLine="560" w:firstLineChars="200"/>
        <w:rPr>
          <w:color w:val="auto"/>
          <w:szCs w:val="30"/>
        </w:rPr>
      </w:pPr>
      <w:bookmarkStart w:id="9" w:name="_Toc62244262"/>
      <w:r>
        <w:rPr>
          <w:color w:val="auto"/>
          <w:szCs w:val="30"/>
        </w:rPr>
        <w:t>第四</w:t>
      </w:r>
      <w:r>
        <w:rPr>
          <w:rFonts w:hint="eastAsia"/>
          <w:color w:val="auto"/>
          <w:szCs w:val="30"/>
        </w:rPr>
        <w:t>节  建设完善生态文明制度体系</w:t>
      </w:r>
      <w:bookmarkEnd w:id="9"/>
    </w:p>
    <w:p>
      <w:pPr>
        <w:ind w:firstLine="560"/>
        <w:rPr>
          <w:color w:val="auto"/>
        </w:rPr>
      </w:pPr>
      <w:r>
        <w:rPr>
          <w:rFonts w:hint="eastAsia"/>
          <w:color w:val="auto"/>
        </w:rPr>
        <w:t>坚持</w:t>
      </w:r>
      <w:r>
        <w:rPr>
          <w:color w:val="auto"/>
        </w:rPr>
        <w:t>推进</w:t>
      </w:r>
      <w:r>
        <w:rPr>
          <w:rFonts w:hint="eastAsia"/>
          <w:color w:val="auto"/>
        </w:rPr>
        <w:t>生态</w:t>
      </w:r>
      <w:r>
        <w:rPr>
          <w:color w:val="auto"/>
        </w:rPr>
        <w:t>文明现代化</w:t>
      </w:r>
      <w:r>
        <w:rPr>
          <w:rFonts w:hint="eastAsia"/>
          <w:color w:val="auto"/>
        </w:rPr>
        <w:t>，加快生态文明体制机制创新，积极打造“两山”理论创新带动践行区，探索创建生态价值创新试验区。</w:t>
      </w:r>
    </w:p>
    <w:p>
      <w:pPr>
        <w:pStyle w:val="4"/>
        <w:numPr>
          <w:ilvl w:val="0"/>
          <w:numId w:val="0"/>
        </w:numPr>
        <w:ind w:left="643"/>
        <w:rPr>
          <w:color w:val="auto"/>
        </w:rPr>
      </w:pPr>
      <w:r>
        <w:rPr>
          <w:rFonts w:hint="eastAsia"/>
          <w:color w:val="auto"/>
        </w:rPr>
        <w:t>一</w:t>
      </w:r>
      <w:r>
        <w:rPr>
          <w:color w:val="auto"/>
        </w:rPr>
        <w:t>、</w:t>
      </w:r>
      <w:r>
        <w:rPr>
          <w:rFonts w:hint="eastAsia"/>
          <w:color w:val="auto"/>
        </w:rPr>
        <w:t>构建生态</w:t>
      </w:r>
      <w:r>
        <w:rPr>
          <w:color w:val="auto"/>
        </w:rPr>
        <w:t>环境现代治理体系</w:t>
      </w:r>
    </w:p>
    <w:p>
      <w:pPr>
        <w:ind w:firstLine="562"/>
        <w:rPr>
          <w:color w:val="auto"/>
        </w:rPr>
      </w:pPr>
      <w:r>
        <w:rPr>
          <w:rFonts w:hint="eastAsia"/>
          <w:b/>
          <w:color w:val="auto"/>
        </w:rPr>
        <w:t>构建完善生态环境制度体系</w:t>
      </w:r>
      <w:r>
        <w:rPr>
          <w:rFonts w:hint="eastAsia"/>
          <w:color w:val="auto"/>
        </w:rPr>
        <w:t>。贯彻落实《中共中央、国务院印发〈生态文明体制改革总体方案〉的通知》，完善自然资源管理制度体系，加强调查评价监测和确权登记。建立生态文明考核评价制度，强化领导干部任期责任制，构建县镇村“三位一体”环境监管体系。</w:t>
      </w:r>
    </w:p>
    <w:p>
      <w:pPr>
        <w:ind w:firstLine="562"/>
        <w:rPr>
          <w:color w:val="auto"/>
        </w:rPr>
      </w:pPr>
      <w:r>
        <w:rPr>
          <w:rFonts w:hint="eastAsia"/>
          <w:b/>
          <w:color w:val="auto"/>
        </w:rPr>
        <w:t>加强多元主体共建共治共享</w:t>
      </w:r>
      <w:r>
        <w:rPr>
          <w:rFonts w:hint="eastAsia"/>
          <w:color w:val="auto"/>
        </w:rPr>
        <w:t>。加快创建国家生态文明建设示范县和“绿水青山就是金山银山”实践创新基地。继续加大资金投入，通过设立绿色发展基金、发行绿色债券等方式吸引社会参与。深入开展节约型机关、绿色学校、绿色社区、绿色建筑等创建行动，探索建设生态文明示范基地，健全环境</w:t>
      </w:r>
      <w:r>
        <w:rPr>
          <w:color w:val="auto"/>
        </w:rPr>
        <w:t>治理企业责任体系，依法</w:t>
      </w:r>
      <w:r>
        <w:rPr>
          <w:rFonts w:hint="eastAsia"/>
          <w:color w:val="auto"/>
        </w:rPr>
        <w:t>实行</w:t>
      </w:r>
      <w:r>
        <w:rPr>
          <w:color w:val="auto"/>
        </w:rPr>
        <w:t>排污权许可管理制度；健全环境治理全民行动体系，畅通环保监督渠道；健全环境治理市场体系，形成公开透明、规范有序的环境治理市场环境。</w:t>
      </w:r>
    </w:p>
    <w:p>
      <w:pPr>
        <w:pStyle w:val="4"/>
        <w:numPr>
          <w:ilvl w:val="0"/>
          <w:numId w:val="0"/>
        </w:numPr>
        <w:ind w:left="643"/>
        <w:rPr>
          <w:color w:val="auto"/>
        </w:rPr>
      </w:pPr>
      <w:r>
        <w:rPr>
          <w:rFonts w:hint="eastAsia"/>
          <w:color w:val="auto"/>
        </w:rPr>
        <w:t>二</w:t>
      </w:r>
      <w:r>
        <w:rPr>
          <w:color w:val="auto"/>
        </w:rPr>
        <w:t>、</w:t>
      </w:r>
      <w:r>
        <w:rPr>
          <w:rFonts w:hint="eastAsia"/>
          <w:color w:val="auto"/>
        </w:rPr>
        <w:t>积极融入环首都生态圈建设</w:t>
      </w:r>
    </w:p>
    <w:p>
      <w:pPr>
        <w:ind w:firstLine="560"/>
        <w:rPr>
          <w:color w:val="auto"/>
        </w:rPr>
      </w:pPr>
      <w:r>
        <w:rPr>
          <w:rFonts w:hint="eastAsia"/>
          <w:color w:val="auto"/>
        </w:rPr>
        <w:t>积极融入京津冀生态资源共享平台，重点</w:t>
      </w:r>
      <w:r>
        <w:rPr>
          <w:color w:val="auto"/>
        </w:rPr>
        <w:t>推动</w:t>
      </w:r>
      <w:r>
        <w:rPr>
          <w:rFonts w:hint="eastAsia"/>
          <w:color w:val="auto"/>
        </w:rPr>
        <w:t>淡水、耕地、林业资源等方面的区域共建共享、统一保护</w:t>
      </w:r>
      <w:r>
        <w:rPr>
          <w:color w:val="auto"/>
        </w:rPr>
        <w:t>及</w:t>
      </w:r>
      <w:r>
        <w:rPr>
          <w:rFonts w:hint="eastAsia"/>
          <w:color w:val="auto"/>
        </w:rPr>
        <w:t>利用。充分利用京津冀生态协同机制，加强与周边县市协同，推动区域间优势互补、利益均衡，探索参与</w:t>
      </w:r>
      <w:r>
        <w:rPr>
          <w:color w:val="auto"/>
        </w:rPr>
        <w:t>碳排放权、排污权、用能权等</w:t>
      </w:r>
      <w:r>
        <w:rPr>
          <w:rFonts w:hint="eastAsia"/>
          <w:color w:val="auto"/>
        </w:rPr>
        <w:t>环境</w:t>
      </w:r>
      <w:r>
        <w:rPr>
          <w:color w:val="auto"/>
        </w:rPr>
        <w:t>资源有偿使用制度，健全环境信用评价体系</w:t>
      </w:r>
      <w:r>
        <w:rPr>
          <w:rFonts w:hint="eastAsia"/>
          <w:color w:val="auto"/>
        </w:rPr>
        <w:t>；推动</w:t>
      </w:r>
      <w:r>
        <w:rPr>
          <w:color w:val="auto"/>
        </w:rPr>
        <w:t>共建</w:t>
      </w:r>
      <w:r>
        <w:rPr>
          <w:rFonts w:hint="eastAsia"/>
          <w:color w:val="auto"/>
        </w:rPr>
        <w:t>“生态</w:t>
      </w:r>
      <w:r>
        <w:rPr>
          <w:color w:val="auto"/>
        </w:rPr>
        <w:t>银行</w:t>
      </w:r>
      <w:r>
        <w:rPr>
          <w:rFonts w:hint="eastAsia"/>
          <w:color w:val="auto"/>
        </w:rPr>
        <w:t>”，探索</w:t>
      </w:r>
      <w:r>
        <w:rPr>
          <w:color w:val="auto"/>
        </w:rPr>
        <w:t>生态资源资本转化机制</w:t>
      </w:r>
      <w:r>
        <w:rPr>
          <w:rFonts w:hint="eastAsia"/>
          <w:color w:val="auto"/>
        </w:rPr>
        <w:t>，在产品交易、有偿使用、投资运营、生态金融等方面推动试点，争取国家生态产品价值实现机制试点政策。</w:t>
      </w:r>
    </w:p>
    <w:p>
      <w:pPr>
        <w:pStyle w:val="4"/>
        <w:numPr>
          <w:ilvl w:val="0"/>
          <w:numId w:val="0"/>
        </w:numPr>
        <w:ind w:left="643"/>
        <w:rPr>
          <w:color w:val="auto"/>
        </w:rPr>
      </w:pPr>
      <w:r>
        <w:rPr>
          <w:rFonts w:hint="eastAsia"/>
          <w:color w:val="auto"/>
        </w:rPr>
        <w:t>三</w:t>
      </w:r>
      <w:r>
        <w:rPr>
          <w:color w:val="auto"/>
        </w:rPr>
        <w:t>、</w:t>
      </w:r>
      <w:r>
        <w:rPr>
          <w:rFonts w:hint="eastAsia"/>
          <w:color w:val="auto"/>
        </w:rPr>
        <w:t>探索建立生态补偿常态化机制</w:t>
      </w:r>
    </w:p>
    <w:p>
      <w:pPr>
        <w:ind w:firstLine="560"/>
        <w:rPr>
          <w:color w:val="auto"/>
        </w:rPr>
      </w:pPr>
      <w:r>
        <w:rPr>
          <w:color w:val="auto"/>
        </w:rPr>
        <w:t>健全</w:t>
      </w:r>
      <w:r>
        <w:rPr>
          <w:rFonts w:hint="eastAsia"/>
          <w:color w:val="auto"/>
        </w:rPr>
        <w:t>水生态</w:t>
      </w:r>
      <w:r>
        <w:rPr>
          <w:color w:val="auto"/>
        </w:rPr>
        <w:t>、森林生态效益补偿机制，推进重点区域生态保护补偿全覆盖</w:t>
      </w:r>
      <w:r>
        <w:rPr>
          <w:rFonts w:hint="eastAsia"/>
          <w:color w:val="auto"/>
        </w:rPr>
        <w:t>，深化跨界河流交接断面水质达标考核，推进流域生态保护补偿工作。积极争取国家生态综合补偿试点，探索深化区域生态合作新机制</w:t>
      </w:r>
      <w:r>
        <w:rPr>
          <w:color w:val="auto"/>
        </w:rPr>
        <w:t>和新模式</w:t>
      </w:r>
      <w:r>
        <w:rPr>
          <w:rFonts w:hint="eastAsia"/>
          <w:color w:val="auto"/>
        </w:rPr>
        <w:t>，建立财政补助、异地开发、协议保护等多渠道保护与补偿方式，</w:t>
      </w:r>
      <w:r>
        <w:rPr>
          <w:color w:val="auto"/>
        </w:rPr>
        <w:t>拓宽政策补偿、</w:t>
      </w:r>
      <w:r>
        <w:rPr>
          <w:rFonts w:hint="eastAsia"/>
          <w:color w:val="auto"/>
        </w:rPr>
        <w:t>服务</w:t>
      </w:r>
      <w:r>
        <w:rPr>
          <w:color w:val="auto"/>
        </w:rPr>
        <w:t>补偿、对口支援方式等生态补偿路径，积极探索</w:t>
      </w:r>
      <w:r>
        <w:rPr>
          <w:rFonts w:hint="eastAsia"/>
          <w:color w:val="auto"/>
        </w:rPr>
        <w:t>推动</w:t>
      </w:r>
      <w:r>
        <w:rPr>
          <w:color w:val="auto"/>
        </w:rPr>
        <w:t>市场化</w:t>
      </w:r>
      <w:r>
        <w:rPr>
          <w:rFonts w:hint="eastAsia"/>
          <w:color w:val="auto"/>
        </w:rPr>
        <w:t>、</w:t>
      </w:r>
      <w:r>
        <w:rPr>
          <w:color w:val="auto"/>
        </w:rPr>
        <w:t>多元化生态补偿</w:t>
      </w:r>
      <w:r>
        <w:rPr>
          <w:rFonts w:hint="eastAsia"/>
          <w:color w:val="auto"/>
        </w:rPr>
        <w:t>机制</w:t>
      </w:r>
      <w:r>
        <w:rPr>
          <w:color w:val="auto"/>
        </w:rPr>
        <w:t>，</w:t>
      </w:r>
      <w:r>
        <w:rPr>
          <w:rFonts w:hint="eastAsia"/>
          <w:color w:val="auto"/>
        </w:rPr>
        <w:t>强化激励约束效应</w:t>
      </w:r>
      <w:r>
        <w:rPr>
          <w:color w:val="auto"/>
        </w:rPr>
        <w:t>。</w:t>
      </w:r>
    </w:p>
    <w:p>
      <w:pPr>
        <w:ind w:firstLine="560"/>
        <w:rPr>
          <w:color w:val="auto"/>
        </w:rPr>
      </w:pPr>
    </w:p>
    <w:p>
      <w:pPr>
        <w:ind w:firstLine="560"/>
        <w:rPr>
          <w:color w:val="auto"/>
        </w:rPr>
      </w:pPr>
    </w:p>
    <w:p>
      <w:pPr>
        <w:pStyle w:val="2"/>
        <w:spacing w:line="240" w:lineRule="auto"/>
        <w:jc w:val="center"/>
        <w:rPr>
          <w:color w:val="auto"/>
        </w:rPr>
      </w:pPr>
      <w:bookmarkStart w:id="10" w:name="_Toc62244263"/>
      <w:r>
        <w:rPr>
          <w:rFonts w:hint="eastAsia"/>
          <w:color w:val="auto"/>
        </w:rPr>
        <w:t>第三章  绿色赋能现代产业体系，建设繁荣阜平</w:t>
      </w:r>
      <w:bookmarkEnd w:id="10"/>
    </w:p>
    <w:p>
      <w:pPr>
        <w:ind w:firstLine="560"/>
        <w:rPr>
          <w:color w:val="auto"/>
        </w:rPr>
      </w:pPr>
      <w:r>
        <w:rPr>
          <w:rFonts w:hint="eastAsia"/>
          <w:color w:val="auto"/>
        </w:rPr>
        <w:t>深入贯彻</w:t>
      </w:r>
      <w:r>
        <w:rPr>
          <w:color w:val="auto"/>
        </w:rPr>
        <w:t>实施</w:t>
      </w:r>
      <w:r>
        <w:rPr>
          <w:rFonts w:hint="eastAsia"/>
          <w:color w:val="auto"/>
        </w:rPr>
        <w:t>“产业强县”战略，</w:t>
      </w:r>
      <w:r>
        <w:rPr>
          <w:color w:val="auto"/>
        </w:rPr>
        <w:t>着力</w:t>
      </w:r>
      <w:r>
        <w:rPr>
          <w:rFonts w:hint="eastAsia"/>
          <w:color w:val="auto"/>
        </w:rPr>
        <w:t>强链补链延链</w:t>
      </w:r>
      <w:r>
        <w:rPr>
          <w:color w:val="auto"/>
        </w:rPr>
        <w:t>，</w:t>
      </w:r>
      <w:r>
        <w:rPr>
          <w:rFonts w:hint="eastAsia"/>
          <w:color w:val="auto"/>
        </w:rPr>
        <w:t>加快</w:t>
      </w:r>
      <w:r>
        <w:rPr>
          <w:color w:val="auto"/>
        </w:rPr>
        <w:t>新旧动能转换，大幅提升产业规模和能级，</w:t>
      </w:r>
      <w:r>
        <w:rPr>
          <w:rFonts w:hint="eastAsia"/>
          <w:color w:val="auto"/>
        </w:rPr>
        <w:t>打造完善绿色现代产业体系。</w:t>
      </w:r>
    </w:p>
    <w:p>
      <w:pPr>
        <w:pStyle w:val="3"/>
        <w:spacing w:before="204"/>
        <w:ind w:firstLine="560" w:firstLineChars="200"/>
        <w:rPr>
          <w:color w:val="auto"/>
          <w:szCs w:val="30"/>
        </w:rPr>
      </w:pPr>
      <w:bookmarkStart w:id="11" w:name="_Toc62244264"/>
      <w:r>
        <w:rPr>
          <w:rFonts w:hint="eastAsia"/>
          <w:color w:val="auto"/>
          <w:szCs w:val="30"/>
        </w:rPr>
        <w:t>第一节  持续提升特色农业发展质量</w:t>
      </w:r>
      <w:bookmarkEnd w:id="11"/>
    </w:p>
    <w:p>
      <w:pPr>
        <w:ind w:firstLine="560"/>
        <w:rPr>
          <w:color w:val="auto"/>
        </w:rPr>
      </w:pPr>
      <w:r>
        <w:rPr>
          <w:rFonts w:hint="eastAsia"/>
          <w:color w:val="auto"/>
        </w:rPr>
        <w:t>紧扣“绿色化</w:t>
      </w:r>
      <w:r>
        <w:rPr>
          <w:color w:val="auto"/>
        </w:rPr>
        <w:t>、品牌化、休闲化</w:t>
      </w:r>
      <w:r>
        <w:rPr>
          <w:rFonts w:hint="eastAsia"/>
          <w:color w:val="auto"/>
        </w:rPr>
        <w:t>”发展</w:t>
      </w:r>
      <w:r>
        <w:rPr>
          <w:color w:val="auto"/>
        </w:rPr>
        <w:t>方向，</w:t>
      </w:r>
      <w:r>
        <w:rPr>
          <w:rFonts w:hint="eastAsia"/>
          <w:color w:val="auto"/>
        </w:rPr>
        <w:t>建设优质农产品输出</w:t>
      </w:r>
      <w:r>
        <w:rPr>
          <w:color w:val="auto"/>
        </w:rPr>
        <w:t>基地，</w:t>
      </w:r>
      <w:r>
        <w:rPr>
          <w:rFonts w:hint="eastAsia"/>
          <w:color w:val="auto"/>
        </w:rPr>
        <w:t>构建现代农业综合体系，打造集研发、生产、加工、集散、交易、金融服务、物流配送于一体的京津冀农业</w:t>
      </w:r>
      <w:r>
        <w:rPr>
          <w:color w:val="auto"/>
        </w:rPr>
        <w:t>现代化</w:t>
      </w:r>
      <w:r>
        <w:rPr>
          <w:rFonts w:hint="eastAsia"/>
          <w:color w:val="auto"/>
        </w:rPr>
        <w:t>综合</w:t>
      </w:r>
      <w:r>
        <w:rPr>
          <w:color w:val="auto"/>
        </w:rPr>
        <w:t>示范区</w:t>
      </w:r>
      <w:r>
        <w:rPr>
          <w:rFonts w:hint="eastAsia"/>
          <w:color w:val="auto"/>
        </w:rPr>
        <w:t>。</w:t>
      </w:r>
    </w:p>
    <w:p>
      <w:pPr>
        <w:pStyle w:val="4"/>
        <w:numPr>
          <w:ilvl w:val="0"/>
          <w:numId w:val="0"/>
        </w:numPr>
        <w:ind w:left="643"/>
        <w:rPr>
          <w:color w:val="auto"/>
        </w:rPr>
      </w:pPr>
      <w:r>
        <w:rPr>
          <w:rFonts w:hint="eastAsia"/>
          <w:color w:val="auto"/>
        </w:rPr>
        <w:t>一</w:t>
      </w:r>
      <w:r>
        <w:rPr>
          <w:color w:val="auto"/>
        </w:rPr>
        <w:t>、</w:t>
      </w:r>
      <w:r>
        <w:rPr>
          <w:rFonts w:hint="eastAsia"/>
          <w:color w:val="auto"/>
        </w:rPr>
        <w:t>做精做优四大现代</w:t>
      </w:r>
      <w:r>
        <w:rPr>
          <w:color w:val="auto"/>
        </w:rPr>
        <w:t>特色农业</w:t>
      </w:r>
    </w:p>
    <w:p>
      <w:pPr>
        <w:ind w:firstLine="562"/>
        <w:rPr>
          <w:color w:val="auto"/>
        </w:rPr>
      </w:pPr>
      <w:r>
        <w:rPr>
          <w:rFonts w:hint="eastAsia"/>
          <w:b/>
          <w:color w:val="auto"/>
        </w:rPr>
        <w:t>现代食用菌</w:t>
      </w:r>
      <w:r>
        <w:rPr>
          <w:rFonts w:hint="eastAsia"/>
          <w:color w:val="auto"/>
        </w:rPr>
        <w:t>。围绕国家级现代农业园区创建要求，进一步发挥食用菌核心园区引领带动作用，形成“菌棒生产、食用菌培植、产品精深加工、休闲农业体验”等一体化的食用菌全产业链发展格局。重点加快菌棒加工厂建设，优化产业布局，提升菌棒供应能力；进一步延长链条，完善基础设施建设，提高食用菌产业抗风险能力，打造一批集菌菇研发、试验示范、规模种植、菌种繁育、休闲农业、乡村体验等功能于一体的农旅融合发展示范点、休闲农业与乡村旅游示范点。</w:t>
      </w:r>
    </w:p>
    <w:p>
      <w:pPr>
        <w:ind w:firstLine="562"/>
        <w:rPr>
          <w:color w:val="auto"/>
        </w:rPr>
      </w:pPr>
      <w:r>
        <w:rPr>
          <w:rFonts w:hint="eastAsia"/>
          <w:b/>
          <w:color w:val="auto"/>
        </w:rPr>
        <w:t>高效林果业</w:t>
      </w:r>
      <w:r>
        <w:rPr>
          <w:rFonts w:hint="eastAsia"/>
          <w:color w:val="auto"/>
        </w:rPr>
        <w:t>。加快发展优质、高效、特色林果业，以皮核桃、晚熟桃、苹果、大枣等具有一定基础和比较优势的高附加值产品为重点，</w:t>
      </w:r>
      <w:r>
        <w:rPr>
          <w:color w:val="auto"/>
        </w:rPr>
        <w:t>壮大</w:t>
      </w:r>
      <w:r>
        <w:rPr>
          <w:rFonts w:hint="eastAsia"/>
          <w:color w:val="auto"/>
        </w:rPr>
        <w:t>板栗、黄桃、杏扁等低山林果种植，推进特色林果种植基地建设，打造高端水果销售储备基地；合理规划各村闲置土地或非高效用地，联户成片、联村成片发展集群化蜜薯、花椒种植；积极引进扶持龙头企业，促进规模化、规范化种植。加强对接河北省农林科学院、河北农大等科研机构，选取优质品种育苗，提高栽植成活率。建设林果休闲采摘园，适度发展都市近郊农业、休闲观光、采摘体验式农业业态。</w:t>
      </w:r>
    </w:p>
    <w:p>
      <w:pPr>
        <w:ind w:firstLine="562"/>
        <w:rPr>
          <w:color w:val="auto"/>
        </w:rPr>
      </w:pPr>
      <w:r>
        <w:rPr>
          <w:rFonts w:hint="eastAsia"/>
          <w:b/>
          <w:color w:val="auto"/>
        </w:rPr>
        <w:t>生态中药材</w:t>
      </w:r>
      <w:r>
        <w:rPr>
          <w:rFonts w:hint="eastAsia"/>
          <w:color w:val="auto"/>
        </w:rPr>
        <w:t>。继续做好中药材产业基地建设，深入挖掘太行山区特色中药材资源，建设一批规模化黄芪、柴胡、荆芥、瓜篓、板蓝根等中药材种植基地，推动药材育种、种植模式变革。鼓励引导大中型企业建设原料药材基地和</w:t>
      </w:r>
      <w:r>
        <w:rPr>
          <w:color w:val="auto"/>
        </w:rPr>
        <w:t>生产加工线</w:t>
      </w:r>
      <w:r>
        <w:rPr>
          <w:rFonts w:hint="eastAsia"/>
          <w:color w:val="auto"/>
        </w:rPr>
        <w:t>，完善产业链条，提高产业化组织化水平。探索“中药材+”旅游、观光、养生、科普、购物等多种经营模式，加快培育一批以中医养生为特色的养生基地和休闲度假旅游区，推出一批各具特色、营养健康的中药材药膳，推广一批有观赏和保健价值的中药材产品，将中药材种植园建设成中医药旅游生态园。</w:t>
      </w:r>
    </w:p>
    <w:p>
      <w:pPr>
        <w:ind w:firstLine="562"/>
        <w:rPr>
          <w:rFonts w:ascii="仿宋_GB2312" w:eastAsia="仿宋_GB2312"/>
          <w:color w:val="auto"/>
          <w:szCs w:val="32"/>
        </w:rPr>
      </w:pPr>
      <w:r>
        <w:rPr>
          <w:rFonts w:hint="eastAsia"/>
          <w:b/>
          <w:color w:val="auto"/>
        </w:rPr>
        <w:t>特色养殖业。</w:t>
      </w:r>
      <w:r>
        <w:rPr>
          <w:rFonts w:hint="eastAsia"/>
          <w:color w:val="auto"/>
        </w:rPr>
        <w:t>实施“畜牧富民工程”，深化养殖业结构调整，持续稳定生猪、肉禽生产，扶持壮大富民硒鸽养殖，科学引导百川种驴、中华黄金鳖等特种经济动物养殖，鼓励种驴创建国家和省级核心良种繁育场，做到合理布局、平衡发展、优化资源配置。支持企业做成业界或区域一流，提高阜平产业发展核心竞争力，稳步推进产业提档升级。</w:t>
      </w:r>
      <w:r>
        <w:rPr>
          <w:rFonts w:hint="eastAsia" w:ascii="仿宋_GB2312" w:eastAsia="仿宋_GB2312"/>
          <w:color w:val="auto"/>
          <w:szCs w:val="32"/>
        </w:rPr>
        <w:t>加强动物疫病防治，促进畜产品绿色安全生产。</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3-1 </w:t>
            </w:r>
            <w:r>
              <w:rPr>
                <w:rFonts w:hint="eastAsia" w:ascii="黑体" w:hAnsi="黑体" w:eastAsia="黑体"/>
                <w:color w:val="auto"/>
                <w:sz w:val="24"/>
                <w:szCs w:val="28"/>
              </w:rPr>
              <w:t>四大特色</w:t>
            </w:r>
            <w:r>
              <w:rPr>
                <w:rFonts w:ascii="黑体" w:hAnsi="黑体" w:eastAsia="黑体"/>
                <w:color w:val="auto"/>
                <w:sz w:val="24"/>
                <w:szCs w:val="28"/>
              </w:rPr>
              <w:t>农业</w:t>
            </w:r>
            <w:r>
              <w:rPr>
                <w:rFonts w:hint="eastAsia" w:ascii="黑体" w:hAnsi="黑体" w:eastAsia="黑体"/>
                <w:color w:val="auto"/>
                <w:sz w:val="24"/>
                <w:szCs w:val="28"/>
              </w:rPr>
              <w:t>质量提升行动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1.食用菌产业</w:t>
            </w:r>
            <w:r>
              <w:rPr>
                <w:rFonts w:hint="eastAsia" w:ascii="仿宋_GB2312" w:eastAsia="仿宋_GB2312"/>
                <w:bCs/>
                <w:color w:val="auto"/>
                <w:sz w:val="24"/>
                <w:szCs w:val="28"/>
              </w:rPr>
              <w:t>。以香菇、黑木耳为主栽品种，重点做好棚室建设修缮，增加二代棚园区建设，提高种植效益；继续拓展食用菌深加工产品，促进产品多样化、</w:t>
            </w:r>
            <w:r>
              <w:rPr>
                <w:rFonts w:ascii="仿宋_GB2312" w:eastAsia="仿宋_GB2312"/>
                <w:bCs/>
                <w:color w:val="auto"/>
                <w:sz w:val="24"/>
                <w:szCs w:val="28"/>
              </w:rPr>
              <w:t>品质化</w:t>
            </w:r>
            <w:r>
              <w:rPr>
                <w:rFonts w:hint="eastAsia" w:ascii="仿宋_GB2312" w:eastAsia="仿宋_GB2312"/>
                <w:bCs/>
                <w:color w:val="auto"/>
                <w:sz w:val="24"/>
                <w:szCs w:val="28"/>
              </w:rPr>
              <w:t>，提高产品附加值。到2025年，全县实现食用菌种植总面积</w:t>
            </w:r>
            <w:r>
              <w:rPr>
                <w:rFonts w:ascii="仿宋_GB2312" w:eastAsia="仿宋_GB2312"/>
                <w:bCs/>
                <w:color w:val="auto"/>
                <w:sz w:val="24"/>
                <w:szCs w:val="28"/>
              </w:rPr>
              <w:t>2.5</w:t>
            </w:r>
            <w:r>
              <w:rPr>
                <w:rFonts w:hint="eastAsia" w:ascii="仿宋_GB2312" w:eastAsia="仿宋_GB2312"/>
                <w:bCs/>
                <w:color w:val="auto"/>
                <w:sz w:val="24"/>
                <w:szCs w:val="28"/>
              </w:rPr>
              <w:t>万亩，产值实现15亿元。</w:t>
            </w:r>
          </w:p>
          <w:p>
            <w:pPr>
              <w:adjustRightInd w:val="0"/>
              <w:snapToGrid w:val="0"/>
              <w:ind w:firstLine="482"/>
              <w:rPr>
                <w:rFonts w:ascii="仿宋_GB2312" w:eastAsia="仿宋_GB2312"/>
                <w:bCs/>
                <w:color w:val="auto"/>
                <w:sz w:val="24"/>
                <w:szCs w:val="28"/>
              </w:rPr>
            </w:pPr>
            <w:r>
              <w:rPr>
                <w:rFonts w:ascii="仿宋_GB2312" w:eastAsia="仿宋_GB2312"/>
                <w:b/>
                <w:bCs/>
                <w:color w:val="auto"/>
                <w:sz w:val="24"/>
                <w:szCs w:val="28"/>
              </w:rPr>
              <w:t>2</w:t>
            </w:r>
            <w:r>
              <w:rPr>
                <w:rFonts w:hint="eastAsia" w:ascii="仿宋_GB2312" w:eastAsia="仿宋_GB2312"/>
                <w:b/>
                <w:bCs/>
                <w:color w:val="auto"/>
                <w:sz w:val="24"/>
                <w:szCs w:val="28"/>
              </w:rPr>
              <w:t>.高效林果业</w:t>
            </w:r>
            <w:r>
              <w:rPr>
                <w:rFonts w:hint="eastAsia" w:ascii="仿宋_GB2312" w:eastAsia="仿宋_GB2312"/>
                <w:bCs/>
                <w:color w:val="auto"/>
                <w:sz w:val="24"/>
                <w:szCs w:val="28"/>
              </w:rPr>
              <w:t>。进一步优化林果产业结构和品种结构，充分发挥“太行驿站”等</w:t>
            </w:r>
            <w:r>
              <w:rPr>
                <w:rFonts w:ascii="仿宋_GB2312" w:eastAsia="仿宋_GB2312"/>
                <w:bCs/>
                <w:color w:val="auto"/>
                <w:sz w:val="24"/>
                <w:szCs w:val="28"/>
              </w:rPr>
              <w:t>科技资源优势，</w:t>
            </w:r>
            <w:r>
              <w:rPr>
                <w:rFonts w:hint="eastAsia" w:ascii="仿宋_GB2312" w:eastAsia="仿宋_GB2312"/>
                <w:bCs/>
                <w:color w:val="auto"/>
                <w:sz w:val="24"/>
                <w:szCs w:val="28"/>
              </w:rPr>
              <w:t>做好试验示范种植基地，加快推广优质良种果木的培育应用的新品种（系）、新产品、新技术，加快</w:t>
            </w:r>
            <w:r>
              <w:rPr>
                <w:rFonts w:ascii="仿宋_GB2312" w:eastAsia="仿宋_GB2312"/>
                <w:bCs/>
                <w:color w:val="auto"/>
                <w:sz w:val="24"/>
                <w:szCs w:val="28"/>
              </w:rPr>
              <w:t>推进同盛农业</w:t>
            </w:r>
            <w:r>
              <w:rPr>
                <w:rFonts w:hint="eastAsia" w:ascii="仿宋_GB2312" w:eastAsia="仿宋_GB2312"/>
                <w:bCs/>
                <w:color w:val="auto"/>
                <w:sz w:val="24"/>
                <w:szCs w:val="28"/>
              </w:rPr>
              <w:t>苹果园</w:t>
            </w:r>
            <w:r>
              <w:rPr>
                <w:rFonts w:ascii="仿宋_GB2312" w:eastAsia="仿宋_GB2312"/>
                <w:bCs/>
                <w:color w:val="auto"/>
                <w:sz w:val="24"/>
                <w:szCs w:val="28"/>
              </w:rPr>
              <w:t>、林发有机果品基地等重点项目，</w:t>
            </w:r>
            <w:r>
              <w:rPr>
                <w:rFonts w:hint="eastAsia" w:ascii="仿宋_GB2312" w:eastAsia="仿宋_GB2312"/>
                <w:bCs/>
                <w:color w:val="auto"/>
                <w:sz w:val="24"/>
                <w:szCs w:val="28"/>
              </w:rPr>
              <w:t>不断提高产业效益，打造现代高效林果标准化生产片区。到2025年，全县高效林果种植面积达到</w:t>
            </w:r>
            <w:r>
              <w:rPr>
                <w:rFonts w:ascii="仿宋_GB2312" w:eastAsia="仿宋_GB2312"/>
                <w:bCs/>
                <w:color w:val="auto"/>
                <w:sz w:val="24"/>
                <w:szCs w:val="28"/>
              </w:rPr>
              <w:t>10</w:t>
            </w:r>
            <w:r>
              <w:rPr>
                <w:rFonts w:hint="eastAsia" w:ascii="仿宋_GB2312" w:eastAsia="仿宋_GB2312"/>
                <w:bCs/>
                <w:color w:val="auto"/>
                <w:sz w:val="24"/>
                <w:szCs w:val="28"/>
              </w:rPr>
              <w:t>万亩，总产值实现</w:t>
            </w:r>
            <w:r>
              <w:rPr>
                <w:rFonts w:ascii="仿宋_GB2312" w:eastAsia="仿宋_GB2312"/>
                <w:bCs/>
                <w:color w:val="auto"/>
                <w:sz w:val="24"/>
                <w:szCs w:val="28"/>
              </w:rPr>
              <w:t>15</w:t>
            </w:r>
            <w:r>
              <w:rPr>
                <w:rFonts w:hint="eastAsia" w:ascii="仿宋_GB2312" w:eastAsia="仿宋_GB2312"/>
                <w:bCs/>
                <w:color w:val="auto"/>
                <w:sz w:val="24"/>
                <w:szCs w:val="28"/>
              </w:rPr>
              <w:t>亿元。</w:t>
            </w:r>
          </w:p>
          <w:p>
            <w:pPr>
              <w:adjustRightInd w:val="0"/>
              <w:snapToGrid w:val="0"/>
              <w:ind w:firstLine="482"/>
              <w:rPr>
                <w:rFonts w:ascii="仿宋_GB2312" w:eastAsia="仿宋_GB2312"/>
                <w:bCs/>
                <w:color w:val="auto"/>
                <w:sz w:val="24"/>
                <w:szCs w:val="28"/>
              </w:rPr>
            </w:pPr>
            <w:r>
              <w:rPr>
                <w:rFonts w:ascii="仿宋_GB2312" w:eastAsia="仿宋_GB2312"/>
                <w:b/>
                <w:bCs/>
                <w:color w:val="auto"/>
                <w:sz w:val="24"/>
                <w:szCs w:val="28"/>
              </w:rPr>
              <w:t>3</w:t>
            </w:r>
            <w:r>
              <w:rPr>
                <w:rFonts w:hint="eastAsia" w:ascii="仿宋_GB2312" w:eastAsia="仿宋_GB2312"/>
                <w:b/>
                <w:bCs/>
                <w:color w:val="auto"/>
                <w:sz w:val="24"/>
                <w:szCs w:val="28"/>
              </w:rPr>
              <w:t>.生态中药材</w:t>
            </w:r>
            <w:r>
              <w:rPr>
                <w:rFonts w:hint="eastAsia" w:ascii="仿宋_GB2312" w:eastAsia="仿宋_GB2312"/>
                <w:bCs/>
                <w:color w:val="auto"/>
                <w:sz w:val="24"/>
                <w:szCs w:val="28"/>
              </w:rPr>
              <w:t>。加快推进阜平中尚创新农业开发有限公司高阜口园区化验室、中药饮片厂、中药材物流园区项目建设，培育中药材协会、中药材合作社、专业大户、家庭农场等发展，探索“中药材+”多种经营模式，带动</w:t>
            </w:r>
            <w:r>
              <w:rPr>
                <w:rFonts w:ascii="仿宋_GB2312" w:eastAsia="仿宋_GB2312"/>
                <w:bCs/>
                <w:color w:val="auto"/>
                <w:sz w:val="24"/>
                <w:szCs w:val="28"/>
              </w:rPr>
              <w:t>农民持续增收</w:t>
            </w:r>
            <w:r>
              <w:rPr>
                <w:rFonts w:hint="eastAsia" w:ascii="仿宋_GB2312" w:eastAsia="仿宋_GB2312"/>
                <w:bCs/>
                <w:color w:val="auto"/>
                <w:sz w:val="24"/>
                <w:szCs w:val="28"/>
              </w:rPr>
              <w:t>。到2025年，全县生态中药材种植总面积达到</w:t>
            </w:r>
            <w:r>
              <w:rPr>
                <w:rFonts w:ascii="仿宋_GB2312" w:eastAsia="仿宋_GB2312"/>
                <w:bCs/>
                <w:color w:val="auto"/>
                <w:sz w:val="24"/>
                <w:szCs w:val="28"/>
              </w:rPr>
              <w:t>10</w:t>
            </w:r>
            <w:r>
              <w:rPr>
                <w:rFonts w:hint="eastAsia" w:ascii="仿宋_GB2312" w:eastAsia="仿宋_GB2312"/>
                <w:bCs/>
                <w:color w:val="auto"/>
                <w:sz w:val="24"/>
                <w:szCs w:val="28"/>
              </w:rPr>
              <w:t>万亩，总产值实现</w:t>
            </w:r>
            <w:r>
              <w:rPr>
                <w:rFonts w:ascii="仿宋_GB2312" w:eastAsia="仿宋_GB2312"/>
                <w:bCs/>
                <w:color w:val="auto"/>
                <w:sz w:val="24"/>
                <w:szCs w:val="28"/>
              </w:rPr>
              <w:t>2</w:t>
            </w:r>
            <w:r>
              <w:rPr>
                <w:rFonts w:hint="eastAsia" w:ascii="仿宋_GB2312" w:eastAsia="仿宋_GB2312"/>
                <w:bCs/>
                <w:color w:val="auto"/>
                <w:sz w:val="24"/>
                <w:szCs w:val="28"/>
              </w:rPr>
              <w:t>亿元。</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4.特色养殖业</w:t>
            </w:r>
            <w:r>
              <w:rPr>
                <w:rFonts w:hint="eastAsia" w:ascii="仿宋_GB2312" w:eastAsia="仿宋_GB2312"/>
                <w:bCs/>
                <w:color w:val="auto"/>
                <w:sz w:val="24"/>
                <w:szCs w:val="28"/>
              </w:rPr>
              <w:t>。继续抓好玖兴康达肉鸡养殖、新希望生猪养殖、史家寨硒鸽养殖等重点项目建设，带动全县特色养殖产业快速发展。</w:t>
            </w:r>
            <w:r>
              <w:rPr>
                <w:rFonts w:hint="eastAsia" w:ascii="仿宋_GB2312" w:eastAsia="仿宋_GB2312"/>
                <w:color w:val="auto"/>
                <w:sz w:val="24"/>
                <w:szCs w:val="32"/>
              </w:rPr>
              <w:t>到2025年，全县新建、扩建标准化养殖小区达到</w:t>
            </w:r>
            <w:r>
              <w:rPr>
                <w:rFonts w:ascii="仿宋_GB2312" w:eastAsia="仿宋_GB2312"/>
                <w:color w:val="auto"/>
                <w:sz w:val="24"/>
                <w:szCs w:val="32"/>
              </w:rPr>
              <w:t>390</w:t>
            </w:r>
            <w:r>
              <w:rPr>
                <w:rFonts w:hint="eastAsia" w:ascii="仿宋_GB2312" w:eastAsia="仿宋_GB2312"/>
                <w:color w:val="auto"/>
                <w:sz w:val="24"/>
                <w:szCs w:val="32"/>
              </w:rPr>
              <w:t>个，养殖业总产值实现16亿元。</w:t>
            </w:r>
          </w:p>
        </w:tc>
      </w:tr>
    </w:tbl>
    <w:p>
      <w:pPr>
        <w:pStyle w:val="4"/>
        <w:numPr>
          <w:ilvl w:val="0"/>
          <w:numId w:val="0"/>
        </w:numPr>
        <w:ind w:left="643"/>
        <w:rPr>
          <w:color w:val="auto"/>
        </w:rPr>
      </w:pPr>
      <w:r>
        <w:rPr>
          <w:rFonts w:hint="eastAsia"/>
          <w:color w:val="auto"/>
        </w:rPr>
        <w:t>二</w:t>
      </w:r>
      <w:r>
        <w:rPr>
          <w:color w:val="auto"/>
        </w:rPr>
        <w:t>、</w:t>
      </w:r>
      <w:r>
        <w:rPr>
          <w:rFonts w:hint="eastAsia"/>
          <w:color w:val="auto"/>
        </w:rPr>
        <w:t>提升高效</w:t>
      </w:r>
      <w:r>
        <w:rPr>
          <w:color w:val="auto"/>
        </w:rPr>
        <w:t>农业</w:t>
      </w:r>
      <w:r>
        <w:rPr>
          <w:rFonts w:hint="eastAsia"/>
          <w:color w:val="auto"/>
        </w:rPr>
        <w:t>综合</w:t>
      </w:r>
      <w:r>
        <w:rPr>
          <w:color w:val="auto"/>
        </w:rPr>
        <w:t>生产能力</w:t>
      </w:r>
    </w:p>
    <w:p>
      <w:pPr>
        <w:ind w:firstLine="562"/>
        <w:rPr>
          <w:color w:val="auto"/>
        </w:rPr>
      </w:pPr>
      <w:r>
        <w:rPr>
          <w:rFonts w:hint="eastAsia"/>
          <w:b/>
          <w:color w:val="auto"/>
        </w:rPr>
        <w:t>严守保护</w:t>
      </w:r>
      <w:r>
        <w:rPr>
          <w:b/>
          <w:color w:val="auto"/>
        </w:rPr>
        <w:t>红线</w:t>
      </w:r>
      <w:r>
        <w:rPr>
          <w:rFonts w:hint="eastAsia"/>
          <w:b/>
          <w:color w:val="auto"/>
        </w:rPr>
        <w:t>提升</w:t>
      </w:r>
      <w:r>
        <w:rPr>
          <w:b/>
          <w:color w:val="auto"/>
        </w:rPr>
        <w:t>耕地质量。</w:t>
      </w:r>
      <w:r>
        <w:rPr>
          <w:rFonts w:hint="eastAsia"/>
          <w:color w:val="auto"/>
        </w:rPr>
        <w:t>坚持</w:t>
      </w:r>
      <w:r>
        <w:rPr>
          <w:color w:val="auto"/>
        </w:rPr>
        <w:t>最严格的保护制度，</w:t>
      </w:r>
      <w:r>
        <w:rPr>
          <w:rFonts w:hint="eastAsia"/>
          <w:color w:val="auto"/>
        </w:rPr>
        <w:t>按照“总体稳定、局部微调、应保尽保、量质并重”原则，将集中连片、设施稳定的优质耕地和已建成的高标准农田划入永久基本农田，将不稳定耕地、劣地和生地调出。继续实施高标准农田建设，加大农业水利设施建设力度，大力推动</w:t>
      </w:r>
      <w:r>
        <w:rPr>
          <w:color w:val="auto"/>
        </w:rPr>
        <w:t>农用地提质改造，</w:t>
      </w:r>
      <w:r>
        <w:rPr>
          <w:rFonts w:hint="eastAsia"/>
          <w:color w:val="auto"/>
        </w:rPr>
        <w:t>适度</w:t>
      </w:r>
      <w:r>
        <w:rPr>
          <w:color w:val="auto"/>
        </w:rPr>
        <w:t>补充耕地面积</w:t>
      </w:r>
      <w:r>
        <w:rPr>
          <w:rFonts w:hint="eastAsia"/>
          <w:color w:val="auto"/>
        </w:rPr>
        <w:t>，</w:t>
      </w:r>
      <w:r>
        <w:rPr>
          <w:color w:val="auto"/>
        </w:rPr>
        <w:t>增加耕地质量</w:t>
      </w:r>
      <w:r>
        <w:rPr>
          <w:rFonts w:hint="eastAsia"/>
          <w:color w:val="auto"/>
        </w:rPr>
        <w:t>。</w:t>
      </w:r>
      <w:r>
        <w:rPr>
          <w:color w:val="auto"/>
        </w:rPr>
        <w:t>重点推进平阳镇、</w:t>
      </w:r>
      <w:r>
        <w:rPr>
          <w:rFonts w:hint="eastAsia"/>
          <w:color w:val="auto"/>
        </w:rPr>
        <w:t>城南庄镇</w:t>
      </w:r>
      <w:r>
        <w:rPr>
          <w:color w:val="auto"/>
        </w:rPr>
        <w:t>、北果园</w:t>
      </w:r>
      <w:r>
        <w:rPr>
          <w:rFonts w:hint="eastAsia"/>
          <w:color w:val="auto"/>
        </w:rPr>
        <w:t>镇</w:t>
      </w:r>
      <w:r>
        <w:rPr>
          <w:color w:val="auto"/>
        </w:rPr>
        <w:t>、台峪乡等地势较为平缓、耕地相对连片地区的高标准农田建设</w:t>
      </w:r>
      <w:r>
        <w:rPr>
          <w:rFonts w:hint="eastAsia"/>
          <w:color w:val="auto"/>
        </w:rPr>
        <w:t>；推进土地经营权有序规范流转，重点推进高标准、</w:t>
      </w:r>
      <w:r>
        <w:rPr>
          <w:color w:val="auto"/>
        </w:rPr>
        <w:t>规模化</w:t>
      </w:r>
      <w:r>
        <w:rPr>
          <w:rFonts w:hint="eastAsia"/>
          <w:color w:val="auto"/>
        </w:rPr>
        <w:t>种植基地建设，实行适度规模经营和相对集中连片开发</w:t>
      </w:r>
      <w:r>
        <w:rPr>
          <w:color w:val="auto"/>
        </w:rPr>
        <w:t>，</w:t>
      </w:r>
      <w:r>
        <w:rPr>
          <w:rFonts w:hint="eastAsia"/>
          <w:color w:val="auto"/>
        </w:rPr>
        <w:t>稳步提升全县粮食综合生产能力，保障</w:t>
      </w:r>
      <w:r>
        <w:rPr>
          <w:color w:val="auto"/>
        </w:rPr>
        <w:t>县域粮食安全</w:t>
      </w:r>
      <w:r>
        <w:rPr>
          <w:rFonts w:hint="eastAsia"/>
          <w:color w:val="auto"/>
        </w:rPr>
        <w:t>。到2025年</w:t>
      </w:r>
      <w:r>
        <w:rPr>
          <w:color w:val="auto"/>
        </w:rPr>
        <w:t>，全县</w:t>
      </w:r>
      <w:r>
        <w:rPr>
          <w:rFonts w:hint="eastAsia"/>
          <w:color w:val="auto"/>
        </w:rPr>
        <w:t>建成</w:t>
      </w:r>
      <w:r>
        <w:rPr>
          <w:color w:val="auto"/>
        </w:rPr>
        <w:t>高标准农田9万亩</w:t>
      </w:r>
      <w:r>
        <w:rPr>
          <w:rFonts w:hint="eastAsia"/>
          <w:color w:val="auto"/>
        </w:rPr>
        <w:t>。</w:t>
      </w:r>
    </w:p>
    <w:p>
      <w:pPr>
        <w:ind w:firstLine="562"/>
        <w:rPr>
          <w:color w:val="auto"/>
        </w:rPr>
      </w:pPr>
      <w:r>
        <w:rPr>
          <w:rFonts w:hint="eastAsia"/>
          <w:b/>
          <w:color w:val="auto"/>
        </w:rPr>
        <w:t>打造高质量</w:t>
      </w:r>
      <w:r>
        <w:rPr>
          <w:b/>
          <w:color w:val="auto"/>
        </w:rPr>
        <w:t>现代农业</w:t>
      </w:r>
      <w:r>
        <w:rPr>
          <w:rFonts w:hint="eastAsia"/>
          <w:b/>
          <w:color w:val="auto"/>
        </w:rPr>
        <w:t>产业园</w:t>
      </w:r>
      <w:r>
        <w:rPr>
          <w:color w:val="auto"/>
        </w:rPr>
        <w:t>。</w:t>
      </w:r>
      <w:r>
        <w:rPr>
          <w:rFonts w:hint="eastAsia"/>
          <w:color w:val="auto"/>
        </w:rPr>
        <w:t>推进农产品加工向产地下沉，引导在特色农产品优势区和主产区建设原料基地，布局加工产能，在</w:t>
      </w:r>
      <w:r>
        <w:rPr>
          <w:color w:val="auto"/>
        </w:rPr>
        <w:t>重点</w:t>
      </w:r>
      <w:r>
        <w:rPr>
          <w:rFonts w:hint="eastAsia"/>
          <w:color w:val="auto"/>
        </w:rPr>
        <w:t>镇（乡）和物流节点布局劳动密集型加工业，促进农产品就地增值、农民就近就业，促进产镇融合。重点打造产加销贯通、贸工农一体、一二三产业融合发展的农产品加工园区，建设农业</w:t>
      </w:r>
      <w:r>
        <w:rPr>
          <w:color w:val="auto"/>
        </w:rPr>
        <w:t>发展的</w:t>
      </w:r>
      <w:r>
        <w:rPr>
          <w:rFonts w:hint="eastAsia"/>
          <w:color w:val="auto"/>
        </w:rPr>
        <w:t>新载体新模式，统筹布局生产、加工、物流、研发、交易、示范、服务等功能，实现科技集成、主体集合、产业集群。积极对接区域市场，</w:t>
      </w:r>
      <w:r>
        <w:rPr>
          <w:color w:val="auto"/>
        </w:rPr>
        <w:t>提升服务覆盖能力</w:t>
      </w:r>
      <w:r>
        <w:rPr>
          <w:rFonts w:hint="eastAsia"/>
          <w:color w:val="auto"/>
        </w:rPr>
        <w:t>，打造京津冀农业现代化综合发展示范区区。</w:t>
      </w:r>
    </w:p>
    <w:p>
      <w:pPr>
        <w:ind w:firstLine="562"/>
        <w:rPr>
          <w:color w:val="auto"/>
          <w:shd w:val="clear" w:color="auto" w:fill="FFFFFF"/>
        </w:rPr>
      </w:pPr>
      <w:r>
        <w:rPr>
          <w:b/>
          <w:color w:val="auto"/>
        </w:rPr>
        <w:t>培育</w:t>
      </w:r>
      <w:r>
        <w:rPr>
          <w:rFonts w:hint="eastAsia"/>
          <w:b/>
          <w:color w:val="auto"/>
        </w:rPr>
        <w:t>发展“新六产”新业态</w:t>
      </w:r>
      <w:r>
        <w:rPr>
          <w:rFonts w:hint="eastAsia"/>
          <w:color w:val="auto"/>
        </w:rPr>
        <w:t>。面向</w:t>
      </w:r>
      <w:r>
        <w:rPr>
          <w:color w:val="auto"/>
        </w:rPr>
        <w:t>京津市场，</w:t>
      </w:r>
      <w:r>
        <w:rPr>
          <w:rFonts w:hint="eastAsia"/>
          <w:color w:val="auto"/>
        </w:rPr>
        <w:t>大力</w:t>
      </w:r>
      <w:r>
        <w:rPr>
          <w:color w:val="auto"/>
        </w:rPr>
        <w:t>发展都市型</w:t>
      </w:r>
      <w:r>
        <w:rPr>
          <w:rFonts w:hint="eastAsia"/>
          <w:color w:val="auto"/>
        </w:rPr>
        <w:t>现代农业</w:t>
      </w:r>
      <w:r>
        <w:rPr>
          <w:color w:val="auto"/>
        </w:rPr>
        <w:t>，</w:t>
      </w:r>
      <w:r>
        <w:rPr>
          <w:rFonts w:hint="eastAsia"/>
          <w:color w:val="auto"/>
        </w:rPr>
        <w:t>以载体创新推进业态融合。</w:t>
      </w:r>
      <w:r>
        <w:rPr>
          <w:rFonts w:hint="eastAsia"/>
          <w:color w:val="auto"/>
          <w:shd w:val="clear" w:color="auto" w:fill="FFFFFF"/>
        </w:rPr>
        <w:t>培植体验型业态，</w:t>
      </w:r>
      <w:r>
        <w:rPr>
          <w:rFonts w:hint="eastAsia"/>
          <w:color w:val="auto"/>
        </w:rPr>
        <w:t>结合特色村落、特色民居、乡村风貌保护和</w:t>
      </w:r>
      <w:r>
        <w:rPr>
          <w:rFonts w:hint="eastAsia"/>
          <w:color w:val="auto"/>
          <w:shd w:val="clear" w:color="auto" w:fill="FFFFFF"/>
        </w:rPr>
        <w:t>农田景观打造，</w:t>
      </w:r>
      <w:r>
        <w:rPr>
          <w:rFonts w:hint="eastAsia"/>
          <w:color w:val="auto"/>
        </w:rPr>
        <w:t>加强农业生产各环节的人文</w:t>
      </w:r>
      <w:r>
        <w:rPr>
          <w:color w:val="auto"/>
        </w:rPr>
        <w:t>、科技</w:t>
      </w:r>
      <w:r>
        <w:rPr>
          <w:rFonts w:hint="eastAsia"/>
          <w:color w:val="auto"/>
        </w:rPr>
        <w:t>元素注入，着力建设一批主题鲜明、特色突出的市民农园、农业公园、民宿农庄、休闲农场、农业科普实践教育基地，引导乡镇积极发展创意农业、亲子科普、认养农业、可视农业、共享经济、会员农业等新产业、新产品。</w:t>
      </w:r>
      <w:r>
        <w:rPr>
          <w:rFonts w:hint="eastAsia"/>
          <w:color w:val="auto"/>
          <w:shd w:val="clear" w:color="auto" w:fill="FFFFFF"/>
        </w:rPr>
        <w:t>培植智慧型业态，立足科技进步和模式创新，发展智慧农业、农村电商等新产业新业态</w:t>
      </w:r>
      <w:r>
        <w:rPr>
          <w:rFonts w:hint="eastAsia"/>
          <w:color w:val="auto"/>
        </w:rPr>
        <w:t>，重点加强农业物联网建设，改进监测统计、分析预警、信息发布等手段，全面提升现代农业智能化水平；拓展物联网数据采集渠道，实时采集农业资源环境、生产过程、加工流通等数据，支撑农业精准化生产和销售。</w:t>
      </w:r>
      <w:r>
        <w:rPr>
          <w:rFonts w:hint="eastAsia"/>
          <w:color w:val="auto"/>
          <w:shd w:val="clear" w:color="auto" w:fill="FFFFFF"/>
        </w:rPr>
        <w:t>培植终端型业态，在产销一体化基础上，形成全链条发展模式，构建从田头到餐桌、从初级农产品到终端消费无缝衔接的产业体系，形成企业主体、农民参与、科研助力、金融支撑的产业发展新格局，健全绿色智能供应链，培育农商直供、直播直销、会员制、个人定制等模式，引导鼓励发展区域</w:t>
      </w:r>
      <w:r>
        <w:rPr>
          <w:color w:val="auto"/>
          <w:shd w:val="clear" w:color="auto" w:fill="FFFFFF"/>
        </w:rPr>
        <w:t>性</w:t>
      </w:r>
      <w:r>
        <w:rPr>
          <w:rFonts w:hint="eastAsia"/>
          <w:color w:val="auto"/>
          <w:shd w:val="clear" w:color="auto" w:fill="FFFFFF"/>
        </w:rPr>
        <w:t>中央厨房、</w:t>
      </w:r>
      <w:r>
        <w:rPr>
          <w:color w:val="auto"/>
          <w:shd w:val="clear" w:color="auto" w:fill="FFFFFF"/>
        </w:rPr>
        <w:t>社区农业</w:t>
      </w:r>
      <w:r>
        <w:rPr>
          <w:rFonts w:hint="eastAsia"/>
          <w:color w:val="auto"/>
          <w:shd w:val="clear" w:color="auto" w:fill="FFFFFF"/>
        </w:rPr>
        <w:t>等新业态新模式，促进农户生产、企业加工、客户营销和终端消费连成一体、协同运作。</w:t>
      </w:r>
    </w:p>
    <w:p>
      <w:pPr>
        <w:pStyle w:val="4"/>
        <w:numPr>
          <w:ilvl w:val="0"/>
          <w:numId w:val="0"/>
        </w:numPr>
        <w:ind w:left="643"/>
        <w:rPr>
          <w:color w:val="auto"/>
        </w:rPr>
      </w:pPr>
      <w:r>
        <w:rPr>
          <w:rFonts w:hint="eastAsia"/>
          <w:color w:val="auto"/>
        </w:rPr>
        <w:t>三</w:t>
      </w:r>
      <w:r>
        <w:rPr>
          <w:color w:val="auto"/>
        </w:rPr>
        <w:t>、</w:t>
      </w:r>
      <w:r>
        <w:rPr>
          <w:rFonts w:hint="eastAsia"/>
          <w:color w:val="auto"/>
        </w:rPr>
        <w:t>加快构建现代</w:t>
      </w:r>
      <w:r>
        <w:rPr>
          <w:color w:val="auto"/>
        </w:rPr>
        <w:t>农业经营体系</w:t>
      </w:r>
    </w:p>
    <w:p>
      <w:pPr>
        <w:ind w:firstLine="560"/>
        <w:rPr>
          <w:color w:val="auto"/>
        </w:rPr>
      </w:pPr>
      <w:r>
        <w:rPr>
          <w:rFonts w:hint="eastAsia"/>
          <w:color w:val="auto"/>
        </w:rPr>
        <w:t>实施新型农业经营主体培育工程，加强农村经营组织建设，着力构建集约化、专业化、组织化、社会化的新型农业经营体系。</w:t>
      </w:r>
    </w:p>
    <w:p>
      <w:pPr>
        <w:ind w:firstLine="562"/>
        <w:rPr>
          <w:color w:val="auto"/>
        </w:rPr>
      </w:pPr>
      <w:r>
        <w:rPr>
          <w:rFonts w:hint="eastAsia"/>
          <w:b/>
          <w:color w:val="auto"/>
        </w:rPr>
        <w:t>壮大农业产业化龙头企业队伍</w:t>
      </w:r>
      <w:r>
        <w:rPr>
          <w:rFonts w:hint="eastAsia"/>
          <w:color w:val="auto"/>
        </w:rPr>
        <w:t>。加快引进培植一批辐射面广、带动力强的农业龙头企业，加大对企业产品研发、技术改造、品牌创建、延伸链条等</w:t>
      </w:r>
      <w:r>
        <w:rPr>
          <w:color w:val="auto"/>
        </w:rPr>
        <w:t>方面的支持力度</w:t>
      </w:r>
      <w:r>
        <w:rPr>
          <w:rFonts w:hint="eastAsia"/>
          <w:color w:val="auto"/>
        </w:rPr>
        <w:t>。引导龙头企业采取兼并重组、股份合作、资产转让等形式，建立大型农业企业集团，打造企业品牌，提升带动能力。建立完善市场监测预测系统，逐步规范龙头企业与农户的产销合同，完善双方的主体地位和相应的权利义务，提高订单履约率。</w:t>
      </w:r>
    </w:p>
    <w:p>
      <w:pPr>
        <w:ind w:firstLine="562"/>
        <w:rPr>
          <w:color w:val="auto"/>
        </w:rPr>
      </w:pPr>
      <w:r>
        <w:rPr>
          <w:rFonts w:hint="eastAsia"/>
          <w:b/>
          <w:color w:val="auto"/>
        </w:rPr>
        <w:t>培育各级农业产业化联合体</w:t>
      </w:r>
      <w:r>
        <w:rPr>
          <w:rFonts w:hint="eastAsia"/>
          <w:color w:val="auto"/>
        </w:rPr>
        <w:t>。围绕四大特色产业，积极发展以园区为单元，龙头企业与基地农民合作社及农户分工明确、风险共担、利益共享的中型产业化联合体；积极引导以家庭成员为主要劳动力、以农业为主要收入来源的种植大户、专业合作社骨干、新型职业农民，从事农业规模化、集约化、商品化生产经营，鼓励发展广大小农户参与采取订单生产、股份合作的多元化小型产业化联合体。创新完善利益联结机制，推广“订单收购</w:t>
      </w:r>
      <w:r>
        <w:rPr>
          <w:color w:val="auto"/>
        </w:rPr>
        <w:t>+分红”“土地流转+优先雇用+社会保障”“农民入股+保底收益+按股分红”等方式，</w:t>
      </w:r>
      <w:r>
        <w:rPr>
          <w:rFonts w:hint="eastAsia"/>
          <w:color w:val="auto"/>
        </w:rPr>
        <w:t>引导各类主体与农户建立契约型、股权型等利益联结机制</w:t>
      </w:r>
      <w:r>
        <w:rPr>
          <w:color w:val="auto"/>
        </w:rPr>
        <w:t>。</w:t>
      </w:r>
      <w:r>
        <w:rPr>
          <w:rFonts w:hint="eastAsia"/>
          <w:color w:val="auto"/>
        </w:rPr>
        <w:t>探索重点项目“1+X+N”经营模式，即视项目</w:t>
      </w:r>
      <w:r>
        <w:rPr>
          <w:color w:val="auto"/>
        </w:rPr>
        <w:t>层级，</w:t>
      </w:r>
      <w:r>
        <w:rPr>
          <w:rFonts w:hint="eastAsia"/>
          <w:color w:val="auto"/>
        </w:rPr>
        <w:t>以政府工作领导小组或村集体为中心统筹项目运转，以入驻项目的X个龙头企业为主导，结合N个中</w:t>
      </w:r>
      <w:r>
        <w:rPr>
          <w:color w:val="auto"/>
        </w:rPr>
        <w:t>、</w:t>
      </w:r>
      <w:r>
        <w:rPr>
          <w:rFonts w:hint="eastAsia"/>
          <w:color w:val="auto"/>
        </w:rPr>
        <w:t>小型产业联合体和农民，实现农民、村集体、企业、政府“四赢”目标。到202</w:t>
      </w:r>
      <w:r>
        <w:rPr>
          <w:color w:val="auto"/>
        </w:rPr>
        <w:t>5</w:t>
      </w:r>
      <w:r>
        <w:rPr>
          <w:rFonts w:hint="eastAsia"/>
          <w:color w:val="auto"/>
        </w:rPr>
        <w:t>年，扶持形成一批主导产业突出、联农带农紧密的农业产业化联合体。</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专栏3</w:t>
            </w:r>
            <w:r>
              <w:rPr>
                <w:rFonts w:ascii="黑体" w:hAnsi="黑体" w:eastAsia="黑体"/>
                <w:color w:val="auto"/>
                <w:sz w:val="24"/>
                <w:szCs w:val="28"/>
              </w:rPr>
              <w:t xml:space="preserve">-2 </w:t>
            </w:r>
            <w:r>
              <w:rPr>
                <w:rFonts w:hint="eastAsia" w:ascii="黑体" w:hAnsi="黑体" w:eastAsia="黑体"/>
                <w:color w:val="auto"/>
                <w:sz w:val="24"/>
                <w:szCs w:val="28"/>
              </w:rPr>
              <w:t>现代</w:t>
            </w:r>
            <w:r>
              <w:rPr>
                <w:rFonts w:ascii="黑体" w:hAnsi="黑体" w:eastAsia="黑体"/>
                <w:color w:val="auto"/>
                <w:sz w:val="24"/>
                <w:szCs w:val="28"/>
              </w:rPr>
              <w:t>特色农业提质增效</w:t>
            </w:r>
            <w:r>
              <w:rPr>
                <w:rFonts w:hint="eastAsia" w:ascii="黑体" w:hAnsi="黑体" w:eastAsia="黑体"/>
                <w:color w:val="auto"/>
                <w:sz w:val="24"/>
                <w:szCs w:val="28"/>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eastAsia="仿宋_GB2312"/>
                <w:b/>
                <w:bCs/>
                <w:color w:val="auto"/>
                <w:sz w:val="24"/>
                <w:szCs w:val="28"/>
              </w:rPr>
            </w:pPr>
            <w:r>
              <w:rPr>
                <w:rFonts w:hint="eastAsia" w:ascii="仿宋_GB2312" w:eastAsia="仿宋_GB2312"/>
                <w:b/>
                <w:bCs/>
                <w:color w:val="auto"/>
                <w:sz w:val="24"/>
                <w:szCs w:val="28"/>
              </w:rPr>
              <w:t>1．优质高效基地</w:t>
            </w:r>
            <w:r>
              <w:rPr>
                <w:rFonts w:ascii="仿宋_GB2312" w:eastAsia="仿宋_GB2312"/>
                <w:b/>
                <w:bCs/>
                <w:color w:val="auto"/>
                <w:sz w:val="24"/>
                <w:szCs w:val="28"/>
              </w:rPr>
              <w:t>建设工程</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现代菌棒（包）生产基地</w:t>
            </w:r>
            <w:r>
              <w:rPr>
                <w:rFonts w:hint="eastAsia" w:ascii="仿宋_GB2312" w:eastAsia="仿宋_GB2312"/>
                <w:bCs/>
                <w:color w:val="auto"/>
                <w:sz w:val="24"/>
                <w:szCs w:val="28"/>
              </w:rPr>
              <w:t>。包括食峰香菇、木耳现代集约化菌包生产基地，年产3600万香菇棒和1200万木耳棒，销售收入为12960万元，</w:t>
            </w:r>
            <w:r>
              <w:rPr>
                <w:rFonts w:ascii="仿宋_GB2312" w:eastAsia="仿宋_GB2312"/>
                <w:bCs/>
                <w:color w:val="auto"/>
                <w:sz w:val="24"/>
                <w:szCs w:val="28"/>
              </w:rPr>
              <w:t>以及</w:t>
            </w:r>
            <w:r>
              <w:rPr>
                <w:rFonts w:hint="eastAsia" w:ascii="仿宋_GB2312" w:eastAsia="仿宋_GB2312"/>
                <w:bCs/>
                <w:color w:val="auto"/>
                <w:sz w:val="24"/>
                <w:szCs w:val="28"/>
              </w:rPr>
              <w:t>久丰现代菌棒（包）生产基地升级改造项目。项目总投资</w:t>
            </w:r>
            <w:r>
              <w:rPr>
                <w:rFonts w:ascii="仿宋_GB2312" w:eastAsia="仿宋_GB2312"/>
                <w:bCs/>
                <w:color w:val="auto"/>
                <w:sz w:val="24"/>
                <w:szCs w:val="28"/>
              </w:rPr>
              <w:t>估算</w:t>
            </w:r>
            <w:r>
              <w:rPr>
                <w:rFonts w:hint="eastAsia" w:ascii="仿宋_GB2312" w:eastAsia="仿宋_GB2312"/>
                <w:bCs/>
                <w:color w:val="auto"/>
                <w:sz w:val="24"/>
                <w:szCs w:val="28"/>
              </w:rPr>
              <w:t>1.5亿元。</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年出栏4500万只肉鸡产业化经营项目</w:t>
            </w:r>
            <w:r>
              <w:rPr>
                <w:rFonts w:hint="eastAsia" w:ascii="仿宋_GB2312" w:eastAsia="仿宋_GB2312"/>
                <w:bCs/>
                <w:color w:val="auto"/>
                <w:sz w:val="24"/>
                <w:szCs w:val="28"/>
              </w:rPr>
              <w:t>。规划总占地面积273333平方米，包括饲料加工厂、肉鸡屠宰加工厂、肉鸡孵化厂、父母代种鸡场四个组成部分。全部达产后可实现年产饲料20万吨、年入孵种蛋3600万枚、存栏种鸡30万套、年屠宰加工肉鸡4500万只，年可向社会新增供应各类鸡肉产品10万吨。项目</w:t>
            </w:r>
            <w:r>
              <w:rPr>
                <w:rFonts w:ascii="仿宋_GB2312" w:eastAsia="仿宋_GB2312"/>
                <w:bCs/>
                <w:color w:val="auto"/>
                <w:sz w:val="24"/>
                <w:szCs w:val="28"/>
              </w:rPr>
              <w:t>总投资估算5.25</w:t>
            </w:r>
            <w:r>
              <w:rPr>
                <w:rFonts w:hint="eastAsia" w:ascii="仿宋_GB2312" w:eastAsia="仿宋_GB2312"/>
                <w:bCs/>
                <w:color w:val="auto"/>
                <w:sz w:val="24"/>
                <w:szCs w:val="28"/>
              </w:rPr>
              <w:t>亿元。</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新六农牧科技有限公司母猪基地</w:t>
            </w:r>
            <w:r>
              <w:rPr>
                <w:rFonts w:hint="eastAsia" w:ascii="仿宋_GB2312" w:eastAsia="仿宋_GB2312"/>
                <w:bCs/>
                <w:color w:val="auto"/>
                <w:sz w:val="24"/>
                <w:szCs w:val="28"/>
              </w:rPr>
              <w:t>。繁殖母猪1.35万头，项目总建筑面积3.8万平方米，</w:t>
            </w:r>
            <w:r>
              <w:rPr>
                <w:rFonts w:ascii="仿宋_GB2312" w:eastAsia="仿宋_GB2312"/>
                <w:bCs/>
                <w:color w:val="auto"/>
                <w:sz w:val="24"/>
                <w:szCs w:val="28"/>
              </w:rPr>
              <w:t>总投资估算</w:t>
            </w:r>
            <w:r>
              <w:rPr>
                <w:rFonts w:hint="eastAsia" w:ascii="仿宋_GB2312" w:eastAsia="仿宋_GB2312"/>
                <w:bCs/>
                <w:color w:val="auto"/>
                <w:sz w:val="24"/>
                <w:szCs w:val="28"/>
              </w:rPr>
              <w:t>2.7亿元。</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玖兴农牧肉鸡生态循环产业项目</w:t>
            </w:r>
            <w:r>
              <w:rPr>
                <w:rFonts w:hint="eastAsia" w:ascii="仿宋_GB2312" w:eastAsia="仿宋_GB2312"/>
                <w:bCs/>
                <w:color w:val="auto"/>
                <w:sz w:val="24"/>
                <w:szCs w:val="28"/>
              </w:rPr>
              <w:t>。占地180亩，安装3条肉鸡屠宰生产线、4条饲料生产线，</w:t>
            </w:r>
            <w:r>
              <w:rPr>
                <w:rFonts w:ascii="仿宋_GB2312" w:eastAsia="仿宋_GB2312"/>
                <w:bCs/>
                <w:color w:val="auto"/>
                <w:sz w:val="24"/>
                <w:szCs w:val="28"/>
              </w:rPr>
              <w:t>总投资估算</w:t>
            </w:r>
            <w:r>
              <w:rPr>
                <w:rFonts w:hint="eastAsia" w:ascii="仿宋_GB2312" w:eastAsia="仿宋_GB2312"/>
                <w:bCs/>
                <w:color w:val="auto"/>
                <w:sz w:val="24"/>
                <w:szCs w:val="28"/>
              </w:rPr>
              <w:t>11亿元。</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阜平县时雨屠宰场技改扩建项目</w:t>
            </w:r>
            <w:r>
              <w:rPr>
                <w:rFonts w:hint="eastAsia" w:ascii="仿宋_GB2312" w:eastAsia="仿宋_GB2312"/>
                <w:bCs/>
                <w:color w:val="auto"/>
                <w:sz w:val="24"/>
                <w:szCs w:val="28"/>
              </w:rPr>
              <w:t>。占地面积50亩，总建筑面积17000平方米，其中屠宰加工车间面积7000平方米、冷库建筑面积3000平方米，</w:t>
            </w:r>
            <w:r>
              <w:rPr>
                <w:rFonts w:ascii="仿宋_GB2312" w:eastAsia="仿宋_GB2312"/>
                <w:bCs/>
                <w:color w:val="auto"/>
                <w:sz w:val="24"/>
                <w:szCs w:val="28"/>
              </w:rPr>
              <w:t>总投资估算</w:t>
            </w:r>
            <w:r>
              <w:rPr>
                <w:rFonts w:hint="eastAsia" w:ascii="仿宋_GB2312" w:eastAsia="仿宋_GB2312"/>
                <w:bCs/>
                <w:color w:val="auto"/>
                <w:sz w:val="24"/>
                <w:szCs w:val="28"/>
              </w:rPr>
              <w:t>1.3亿元</w:t>
            </w:r>
            <w:r>
              <w:rPr>
                <w:rFonts w:ascii="仿宋_GB2312" w:eastAsia="仿宋_GB2312"/>
                <w:bCs/>
                <w:color w:val="auto"/>
                <w:sz w:val="24"/>
                <w:szCs w:val="28"/>
              </w:rPr>
              <w:t>。</w:t>
            </w:r>
          </w:p>
          <w:p>
            <w:pPr>
              <w:adjustRightInd w:val="0"/>
              <w:snapToGrid w:val="0"/>
              <w:ind w:firstLine="482"/>
              <w:rPr>
                <w:rFonts w:ascii="仿宋_GB2312" w:eastAsia="仿宋_GB2312"/>
                <w:b/>
                <w:bCs/>
                <w:color w:val="auto"/>
                <w:sz w:val="24"/>
                <w:szCs w:val="28"/>
              </w:rPr>
            </w:pPr>
            <w:r>
              <w:rPr>
                <w:rFonts w:ascii="仿宋_GB2312" w:eastAsia="仿宋_GB2312"/>
                <w:b/>
                <w:bCs/>
                <w:color w:val="auto"/>
                <w:sz w:val="24"/>
                <w:szCs w:val="28"/>
              </w:rPr>
              <w:t>2</w:t>
            </w:r>
            <w:r>
              <w:rPr>
                <w:rFonts w:hint="eastAsia" w:ascii="仿宋_GB2312" w:eastAsia="仿宋_GB2312"/>
                <w:b/>
                <w:bCs/>
                <w:color w:val="auto"/>
                <w:sz w:val="24"/>
                <w:szCs w:val="28"/>
              </w:rPr>
              <w:t>．农产品特色品牌</w:t>
            </w:r>
            <w:r>
              <w:rPr>
                <w:rFonts w:ascii="仿宋_GB2312" w:eastAsia="仿宋_GB2312"/>
                <w:b/>
                <w:bCs/>
                <w:color w:val="auto"/>
                <w:sz w:val="24"/>
                <w:szCs w:val="28"/>
              </w:rPr>
              <w:t>建设</w:t>
            </w:r>
            <w:r>
              <w:rPr>
                <w:rFonts w:hint="eastAsia" w:ascii="仿宋_GB2312" w:eastAsia="仿宋_GB2312"/>
                <w:b/>
                <w:bCs/>
                <w:color w:val="auto"/>
                <w:sz w:val="24"/>
                <w:szCs w:val="28"/>
              </w:rPr>
              <w:t>工程</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围绕</w:t>
            </w:r>
            <w:r>
              <w:rPr>
                <w:rFonts w:ascii="仿宋_GB2312" w:eastAsia="仿宋_GB2312"/>
                <w:bCs/>
                <w:color w:val="auto"/>
                <w:sz w:val="24"/>
                <w:szCs w:val="28"/>
              </w:rPr>
              <w:t>优势特色产业和新兴特色产业，</w:t>
            </w:r>
            <w:r>
              <w:rPr>
                <w:rFonts w:hint="eastAsia" w:ascii="仿宋_GB2312" w:eastAsia="仿宋_GB2312"/>
                <w:bCs/>
                <w:color w:val="auto"/>
                <w:sz w:val="24"/>
                <w:szCs w:val="28"/>
              </w:rPr>
              <w:t>完善</w:t>
            </w:r>
            <w:r>
              <w:rPr>
                <w:rFonts w:ascii="仿宋_GB2312" w:eastAsia="仿宋_GB2312"/>
                <w:bCs/>
                <w:color w:val="auto"/>
                <w:sz w:val="24"/>
                <w:szCs w:val="28"/>
              </w:rPr>
              <w:t>品牌管理和服务体系，</w:t>
            </w:r>
            <w:r>
              <w:rPr>
                <w:rFonts w:hint="eastAsia" w:ascii="仿宋_GB2312" w:eastAsia="仿宋_GB2312"/>
                <w:bCs/>
                <w:color w:val="auto"/>
                <w:sz w:val="24"/>
                <w:szCs w:val="28"/>
              </w:rPr>
              <w:t>推进特色品种和技术创新，发掘人文价值，赋予文化标识</w:t>
            </w:r>
            <w:r>
              <w:rPr>
                <w:rFonts w:ascii="仿宋_GB2312" w:eastAsia="仿宋_GB2312"/>
                <w:bCs/>
                <w:color w:val="auto"/>
                <w:sz w:val="24"/>
                <w:szCs w:val="28"/>
              </w:rPr>
              <w:t>，</w:t>
            </w:r>
            <w:r>
              <w:rPr>
                <w:rFonts w:hint="eastAsia" w:ascii="仿宋_GB2312" w:eastAsia="仿宋_GB2312"/>
                <w:bCs/>
                <w:color w:val="auto"/>
                <w:sz w:val="24"/>
                <w:szCs w:val="28"/>
              </w:rPr>
              <w:t>继续做大做强“老乡菇”等绿色有机农产品品牌、“阜平大枣”等原产地保护产品认证农产品特色品牌；继续</w:t>
            </w:r>
            <w:r>
              <w:rPr>
                <w:rFonts w:ascii="仿宋_GB2312" w:eastAsia="仿宋_GB2312"/>
                <w:bCs/>
                <w:color w:val="auto"/>
                <w:sz w:val="24"/>
                <w:szCs w:val="28"/>
              </w:rPr>
              <w:t>打造</w:t>
            </w:r>
            <w:r>
              <w:rPr>
                <w:rFonts w:hint="eastAsia" w:ascii="仿宋_GB2312" w:eastAsia="仿宋_GB2312"/>
                <w:bCs/>
                <w:color w:val="auto"/>
                <w:sz w:val="24"/>
                <w:szCs w:val="28"/>
              </w:rPr>
              <w:t>一批“乡字号”“土字号”特色</w:t>
            </w:r>
            <w:r>
              <w:rPr>
                <w:rFonts w:ascii="仿宋_GB2312" w:eastAsia="仿宋_GB2312"/>
                <w:bCs/>
                <w:color w:val="auto"/>
                <w:sz w:val="24"/>
                <w:szCs w:val="28"/>
              </w:rPr>
              <w:t>知名品牌</w:t>
            </w:r>
            <w:r>
              <w:rPr>
                <w:rFonts w:hint="eastAsia" w:ascii="仿宋_GB2312" w:eastAsia="仿宋_GB2312"/>
                <w:bCs/>
                <w:color w:val="auto"/>
                <w:sz w:val="24"/>
                <w:szCs w:val="28"/>
              </w:rPr>
              <w:t>，形成特色品牌集群效应。</w:t>
            </w:r>
          </w:p>
        </w:tc>
      </w:tr>
    </w:tbl>
    <w:p>
      <w:pPr>
        <w:pStyle w:val="3"/>
        <w:spacing w:before="204"/>
        <w:ind w:firstLine="560" w:firstLineChars="200"/>
        <w:rPr>
          <w:color w:val="auto"/>
          <w:szCs w:val="30"/>
        </w:rPr>
      </w:pPr>
      <w:bookmarkStart w:id="12" w:name="_Toc62244265"/>
      <w:r>
        <w:rPr>
          <w:rFonts w:hint="eastAsia"/>
          <w:color w:val="auto"/>
          <w:szCs w:val="30"/>
        </w:rPr>
        <w:t>第二节  全面提高优势工业发展效益</w:t>
      </w:r>
      <w:bookmarkEnd w:id="12"/>
    </w:p>
    <w:p>
      <w:pPr>
        <w:ind w:firstLine="560"/>
        <w:rPr>
          <w:color w:val="auto"/>
        </w:rPr>
      </w:pPr>
      <w:r>
        <w:rPr>
          <w:rFonts w:hint="eastAsia"/>
          <w:color w:val="auto"/>
        </w:rPr>
        <w:t>聚焦京雄保一体化发展</w:t>
      </w:r>
      <w:r>
        <w:rPr>
          <w:color w:val="auto"/>
        </w:rPr>
        <w:t>新格局</w:t>
      </w:r>
      <w:r>
        <w:rPr>
          <w:rFonts w:hint="eastAsia"/>
          <w:color w:val="auto"/>
        </w:rPr>
        <w:t>，以产业强县和产业富民为根本目标，深入实施创新驱动发展战略，推动产业转型升级发展，加快完善创新体系，提升区域创新能力，构建</w:t>
      </w:r>
      <w:r>
        <w:rPr>
          <w:color w:val="auto"/>
        </w:rPr>
        <w:t>形成</w:t>
      </w:r>
      <w:r>
        <w:rPr>
          <w:rFonts w:hint="eastAsia"/>
          <w:color w:val="auto"/>
        </w:rPr>
        <w:t>“3</w:t>
      </w:r>
      <w:r>
        <w:rPr>
          <w:color w:val="auto"/>
        </w:rPr>
        <w:t>+3</w:t>
      </w:r>
      <w:r>
        <w:rPr>
          <w:rFonts w:hint="eastAsia"/>
          <w:color w:val="auto"/>
        </w:rPr>
        <w:t>”产业体系</w:t>
      </w:r>
      <w:r>
        <w:rPr>
          <w:color w:val="auto"/>
        </w:rPr>
        <w:t>。</w:t>
      </w:r>
    </w:p>
    <w:p>
      <w:pPr>
        <w:pStyle w:val="4"/>
        <w:numPr>
          <w:ilvl w:val="0"/>
          <w:numId w:val="0"/>
        </w:numPr>
        <w:ind w:left="643"/>
        <w:rPr>
          <w:color w:val="auto"/>
        </w:rPr>
      </w:pPr>
      <w:r>
        <w:rPr>
          <w:rFonts w:hint="eastAsia"/>
          <w:color w:val="auto"/>
        </w:rPr>
        <w:t>一</w:t>
      </w:r>
      <w:r>
        <w:rPr>
          <w:color w:val="auto"/>
        </w:rPr>
        <w:t>、</w:t>
      </w:r>
      <w:r>
        <w:rPr>
          <w:rFonts w:hint="eastAsia"/>
          <w:color w:val="auto"/>
        </w:rPr>
        <w:t>大力</w:t>
      </w:r>
      <w:r>
        <w:rPr>
          <w:color w:val="auto"/>
        </w:rPr>
        <w:t>发展</w:t>
      </w:r>
      <w:r>
        <w:rPr>
          <w:rFonts w:hint="eastAsia"/>
          <w:color w:val="auto"/>
        </w:rPr>
        <w:t>三</w:t>
      </w:r>
      <w:r>
        <w:rPr>
          <w:color w:val="auto"/>
        </w:rPr>
        <w:t>大主导产业</w:t>
      </w:r>
    </w:p>
    <w:p>
      <w:pPr>
        <w:ind w:firstLine="562"/>
        <w:rPr>
          <w:color w:val="auto"/>
        </w:rPr>
      </w:pPr>
      <w:r>
        <w:rPr>
          <w:rFonts w:hint="eastAsia"/>
          <w:b/>
          <w:color w:val="auto"/>
        </w:rPr>
        <w:t>食品加工</w:t>
      </w:r>
      <w:r>
        <w:rPr>
          <w:b/>
          <w:color w:val="auto"/>
        </w:rPr>
        <w:t>产业</w:t>
      </w:r>
      <w:r>
        <w:rPr>
          <w:rFonts w:hint="eastAsia"/>
          <w:b/>
          <w:color w:val="auto"/>
        </w:rPr>
        <w:t>。</w:t>
      </w:r>
      <w:r>
        <w:rPr>
          <w:rFonts w:hint="eastAsia"/>
          <w:color w:val="auto"/>
        </w:rPr>
        <w:t>按照“结构多元化、档次高端化、生产技术高新化、规模大型化”发展定位，加快推进绿色安全农副产品深加工，依托食用菌</w:t>
      </w:r>
      <w:r>
        <w:rPr>
          <w:color w:val="auto"/>
        </w:rPr>
        <w:t>、</w:t>
      </w:r>
      <w:r>
        <w:rPr>
          <w:rFonts w:hint="eastAsia"/>
          <w:color w:val="auto"/>
        </w:rPr>
        <w:t>核桃、林果、硒鸽等特色产品优势，做好上下游产业链延伸，发展壮大一批以农副产品深加工为主体的食品企业，重点发展绿色食品、有机食品和特色食品，形成集约型、内涵型、质量型和创新驱动型的食品工业发展格局，逐步形成产业集聚区。到2025年</w:t>
      </w:r>
      <w:r>
        <w:rPr>
          <w:color w:val="auto"/>
        </w:rPr>
        <w:t>，建成</w:t>
      </w:r>
      <w:r>
        <w:rPr>
          <w:rFonts w:hint="eastAsia"/>
          <w:color w:val="auto"/>
        </w:rPr>
        <w:t>绿色安全的农副产品生产加工供应基地，总产值达到</w:t>
      </w:r>
      <w:r>
        <w:rPr>
          <w:color w:val="auto"/>
        </w:rPr>
        <w:t>50</w:t>
      </w:r>
      <w:r>
        <w:rPr>
          <w:rFonts w:hint="eastAsia"/>
          <w:color w:val="auto"/>
        </w:rPr>
        <w:t>亿元。</w:t>
      </w:r>
    </w:p>
    <w:p>
      <w:pPr>
        <w:ind w:firstLine="562"/>
        <w:rPr>
          <w:color w:val="auto"/>
        </w:rPr>
      </w:pPr>
      <w:r>
        <w:rPr>
          <w:rFonts w:hint="eastAsia"/>
          <w:b/>
          <w:color w:val="auto"/>
        </w:rPr>
        <w:t>装配式建筑产业</w:t>
      </w:r>
      <w:r>
        <w:rPr>
          <w:rFonts w:hint="eastAsia"/>
          <w:color w:val="auto"/>
        </w:rPr>
        <w:t>。重点输出装配式混凝土预制产品、被动式低能耗部品部件、绿色新型建材、装配化装修部品部件等先进技术产品生产服务。以北京燕通建筑龙头企业带动其他建筑企业入驻园区，建成装配式基础建材基地。建设装配式建筑技术人才培训基地、装配式建筑职业学院、装配式建材技术研发、产品检测中心，加强全产业链招商，成为雄安新区装配式建材最大供应基地。到2025年</w:t>
      </w:r>
      <w:r>
        <w:rPr>
          <w:color w:val="auto"/>
        </w:rPr>
        <w:t>，</w:t>
      </w:r>
      <w:r>
        <w:rPr>
          <w:rFonts w:hint="eastAsia"/>
          <w:color w:val="auto"/>
        </w:rPr>
        <w:t>实现总产值</w:t>
      </w:r>
      <w:r>
        <w:rPr>
          <w:color w:val="auto"/>
        </w:rPr>
        <w:t>50</w:t>
      </w:r>
      <w:r>
        <w:rPr>
          <w:rFonts w:hint="eastAsia"/>
          <w:color w:val="auto"/>
        </w:rPr>
        <w:t>亿元，打造阜平原创企业品牌新产品，建成立足河北、服务京津冀、辐射华北的装配式建筑产业园区标杆。</w:t>
      </w:r>
    </w:p>
    <w:p>
      <w:pPr>
        <w:ind w:firstLine="562"/>
        <w:rPr>
          <w:color w:val="auto"/>
        </w:rPr>
      </w:pPr>
      <w:r>
        <w:rPr>
          <w:rFonts w:hint="eastAsia"/>
          <w:b/>
          <w:color w:val="auto"/>
        </w:rPr>
        <w:t>高端智能制造业</w:t>
      </w:r>
      <w:r>
        <w:rPr>
          <w:rFonts w:hint="eastAsia"/>
          <w:color w:val="auto"/>
        </w:rPr>
        <w:t>。以智能制造及健康产业为发展方向，积极对接承接优质</w:t>
      </w:r>
      <w:r>
        <w:rPr>
          <w:color w:val="auto"/>
        </w:rPr>
        <w:t>资源</w:t>
      </w:r>
      <w:r>
        <w:rPr>
          <w:rFonts w:hint="eastAsia"/>
          <w:color w:val="auto"/>
        </w:rPr>
        <w:t>，建设现代化高端智能制造基地。以通用机场建设</w:t>
      </w:r>
      <w:r>
        <w:rPr>
          <w:color w:val="auto"/>
        </w:rPr>
        <w:t>为</w:t>
      </w:r>
      <w:r>
        <w:rPr>
          <w:rFonts w:hint="eastAsia"/>
          <w:color w:val="auto"/>
        </w:rPr>
        <w:t>契机，以科技创新为手段，以重大项目为依托，合作共建中关村</w:t>
      </w:r>
      <w:r>
        <w:rPr>
          <w:color w:val="auto"/>
        </w:rPr>
        <w:t xml:space="preserve"> e 谷（阜平）智能高端制造产业园，重点发展智能制造、医疗器械、航空航天等高端智能制造产业</w:t>
      </w:r>
      <w:r>
        <w:rPr>
          <w:rFonts w:hint="eastAsia"/>
          <w:color w:val="auto"/>
        </w:rPr>
        <w:t>，以阜平智能制造创新中心和飞地中心为核心，实现产业集群化、信息化、服务化和品牌化，</w:t>
      </w:r>
      <w:r>
        <w:rPr>
          <w:color w:val="auto"/>
        </w:rPr>
        <w:t>形成</w:t>
      </w:r>
      <w:r>
        <w:rPr>
          <w:rFonts w:hint="eastAsia"/>
          <w:color w:val="auto"/>
        </w:rPr>
        <w:t>全县工业发展的巨大引擎。到2025年</w:t>
      </w:r>
      <w:r>
        <w:rPr>
          <w:color w:val="auto"/>
        </w:rPr>
        <w:t>，</w:t>
      </w:r>
      <w:r>
        <w:rPr>
          <w:rFonts w:hint="eastAsia"/>
          <w:color w:val="auto"/>
        </w:rPr>
        <w:t>力争实现总产值</w:t>
      </w:r>
      <w:r>
        <w:rPr>
          <w:color w:val="auto"/>
        </w:rPr>
        <w:t>30</w:t>
      </w:r>
      <w:r>
        <w:rPr>
          <w:rFonts w:hint="eastAsia"/>
          <w:color w:val="auto"/>
        </w:rPr>
        <w:t>亿元，税收达到</w:t>
      </w:r>
      <w:r>
        <w:rPr>
          <w:color w:val="auto"/>
        </w:rPr>
        <w:t>1</w:t>
      </w:r>
      <w:r>
        <w:rPr>
          <w:rFonts w:hint="eastAsia"/>
          <w:color w:val="auto"/>
        </w:rPr>
        <w:t>亿元。</w:t>
      </w:r>
    </w:p>
    <w:p>
      <w:pPr>
        <w:pStyle w:val="4"/>
        <w:numPr>
          <w:ilvl w:val="0"/>
          <w:numId w:val="0"/>
        </w:numPr>
        <w:ind w:left="643"/>
        <w:rPr>
          <w:color w:val="auto"/>
        </w:rPr>
      </w:pPr>
      <w:r>
        <w:rPr>
          <w:rFonts w:hint="eastAsia"/>
          <w:color w:val="auto"/>
        </w:rPr>
        <w:t>二</w:t>
      </w:r>
      <w:r>
        <w:rPr>
          <w:color w:val="auto"/>
        </w:rPr>
        <w:t>、</w:t>
      </w:r>
      <w:r>
        <w:rPr>
          <w:rFonts w:hint="eastAsia"/>
          <w:color w:val="auto"/>
        </w:rPr>
        <w:t>加快</w:t>
      </w:r>
      <w:r>
        <w:rPr>
          <w:color w:val="auto"/>
        </w:rPr>
        <w:t>培育</w:t>
      </w:r>
      <w:r>
        <w:rPr>
          <w:rFonts w:hint="eastAsia"/>
          <w:color w:val="auto"/>
        </w:rPr>
        <w:t>三</w:t>
      </w:r>
      <w:r>
        <w:rPr>
          <w:color w:val="auto"/>
        </w:rPr>
        <w:t>大</w:t>
      </w:r>
      <w:r>
        <w:rPr>
          <w:rFonts w:hint="eastAsia"/>
          <w:color w:val="auto"/>
        </w:rPr>
        <w:t>新兴</w:t>
      </w:r>
      <w:r>
        <w:rPr>
          <w:color w:val="auto"/>
        </w:rPr>
        <w:t>产业</w:t>
      </w:r>
    </w:p>
    <w:p>
      <w:pPr>
        <w:ind w:firstLine="562"/>
        <w:rPr>
          <w:color w:val="auto"/>
        </w:rPr>
      </w:pPr>
      <w:r>
        <w:rPr>
          <w:rFonts w:hint="eastAsia"/>
          <w:b/>
          <w:color w:val="auto"/>
        </w:rPr>
        <w:t>加速</w:t>
      </w:r>
      <w:r>
        <w:rPr>
          <w:b/>
          <w:color w:val="auto"/>
        </w:rPr>
        <w:t>发展</w:t>
      </w:r>
      <w:r>
        <w:rPr>
          <w:rFonts w:hint="eastAsia"/>
          <w:b/>
          <w:color w:val="auto"/>
        </w:rPr>
        <w:t>信息和现代物流产业</w:t>
      </w:r>
      <w:r>
        <w:rPr>
          <w:rFonts w:hint="eastAsia"/>
          <w:color w:val="auto"/>
        </w:rPr>
        <w:t>。推动“智慧园区”建设，鼓励运用大数据、云计算、物联网、人工智能、区块链等先进技术，提高企业智能化、精细化管理水平，培育一批“专精特新”企业。重点围绕董家口高铁新区建设，着力</w:t>
      </w:r>
      <w:r>
        <w:rPr>
          <w:color w:val="auto"/>
        </w:rPr>
        <w:t>发展</w:t>
      </w:r>
      <w:r>
        <w:rPr>
          <w:rFonts w:hint="eastAsia"/>
          <w:color w:val="auto"/>
        </w:rPr>
        <w:t>科技创新、教育培训、信息产业、现代物流等新兴产业，带动旅游业、现代服务业等产业发展，为阜平大发展注入新的强大动能。</w:t>
      </w:r>
    </w:p>
    <w:p>
      <w:pPr>
        <w:ind w:firstLine="562"/>
        <w:rPr>
          <w:color w:val="auto"/>
        </w:rPr>
      </w:pPr>
      <w:r>
        <w:rPr>
          <w:rFonts w:hint="eastAsia"/>
          <w:b/>
          <w:color w:val="auto"/>
        </w:rPr>
        <w:t>创新</w:t>
      </w:r>
      <w:r>
        <w:rPr>
          <w:b/>
          <w:color w:val="auto"/>
        </w:rPr>
        <w:t>发展生命</w:t>
      </w:r>
      <w:r>
        <w:rPr>
          <w:rFonts w:hint="eastAsia"/>
          <w:b/>
          <w:color w:val="auto"/>
        </w:rPr>
        <w:t>健康产业</w:t>
      </w:r>
      <w:r>
        <w:rPr>
          <w:rFonts w:hint="eastAsia"/>
          <w:color w:val="auto"/>
        </w:rPr>
        <w:t>。积极</w:t>
      </w:r>
      <w:r>
        <w:rPr>
          <w:color w:val="auto"/>
        </w:rPr>
        <w:t>融入</w:t>
      </w:r>
      <w:r>
        <w:rPr>
          <w:rFonts w:hint="eastAsia"/>
          <w:color w:val="auto"/>
        </w:rPr>
        <w:t>京雄保石生物医药健康产业国际廊道，加强顶层设计、系统规划、整体招商，积极抢抓</w:t>
      </w:r>
      <w:r>
        <w:rPr>
          <w:color w:val="auto"/>
        </w:rPr>
        <w:t>北京生物医药、优质医疗资源外迁机遇，推动</w:t>
      </w:r>
      <w:r>
        <w:rPr>
          <w:rFonts w:hint="eastAsia"/>
          <w:color w:val="auto"/>
        </w:rPr>
        <w:t>京津保生物医药科技成果的</w:t>
      </w:r>
      <w:r>
        <w:rPr>
          <w:color w:val="auto"/>
        </w:rPr>
        <w:t>转移转化落地，</w:t>
      </w:r>
      <w:r>
        <w:rPr>
          <w:rFonts w:hint="eastAsia"/>
          <w:color w:val="auto"/>
        </w:rPr>
        <w:t>引进一批大健康企业和机构，形成集技术研发、生产制造、医疗服务、健康旅游为一体的产业体系。围绕中药材资源</w:t>
      </w:r>
      <w:r>
        <w:rPr>
          <w:color w:val="auto"/>
        </w:rPr>
        <w:t>优势，集中发展种植、育苗、加工</w:t>
      </w:r>
      <w:r>
        <w:rPr>
          <w:rFonts w:hint="eastAsia"/>
          <w:color w:val="auto"/>
        </w:rPr>
        <w:t>，</w:t>
      </w:r>
      <w:r>
        <w:rPr>
          <w:color w:val="auto"/>
        </w:rPr>
        <w:t>以及</w:t>
      </w:r>
      <w:r>
        <w:rPr>
          <w:rFonts w:hint="eastAsia"/>
          <w:color w:val="auto"/>
        </w:rPr>
        <w:t>配套</w:t>
      </w:r>
      <w:r>
        <w:rPr>
          <w:color w:val="auto"/>
        </w:rPr>
        <w:t>产品研发、</w:t>
      </w:r>
      <w:r>
        <w:rPr>
          <w:rFonts w:hint="eastAsia"/>
          <w:color w:val="auto"/>
        </w:rPr>
        <w:t>生产</w:t>
      </w:r>
      <w:r>
        <w:rPr>
          <w:color w:val="auto"/>
        </w:rPr>
        <w:t>和试验、</w:t>
      </w:r>
      <w:r>
        <w:rPr>
          <w:rFonts w:hint="eastAsia"/>
          <w:color w:val="auto"/>
        </w:rPr>
        <w:t>中医</w:t>
      </w:r>
      <w:r>
        <w:rPr>
          <w:color w:val="auto"/>
        </w:rPr>
        <w:t>诊疗、人才培养、</w:t>
      </w:r>
      <w:r>
        <w:rPr>
          <w:rFonts w:hint="eastAsia"/>
          <w:color w:val="auto"/>
        </w:rPr>
        <w:t>康养</w:t>
      </w:r>
      <w:r>
        <w:rPr>
          <w:color w:val="auto"/>
        </w:rPr>
        <w:t>寿养于一体的</w:t>
      </w:r>
      <w:r>
        <w:rPr>
          <w:rFonts w:hint="eastAsia"/>
          <w:color w:val="auto"/>
        </w:rPr>
        <w:t>特色</w:t>
      </w:r>
      <w:r>
        <w:rPr>
          <w:color w:val="auto"/>
        </w:rPr>
        <w:t>产业集聚区</w:t>
      </w:r>
      <w:r>
        <w:rPr>
          <w:rFonts w:hint="eastAsia"/>
          <w:color w:val="auto"/>
        </w:rPr>
        <w:t>。围绕京津冀和</w:t>
      </w:r>
      <w:r>
        <w:rPr>
          <w:color w:val="auto"/>
        </w:rPr>
        <w:t>保定市生命健康产业布局，</w:t>
      </w:r>
      <w:r>
        <w:rPr>
          <w:rFonts w:hint="eastAsia"/>
          <w:color w:val="auto"/>
        </w:rPr>
        <w:t>统筹医疗、中药材</w:t>
      </w:r>
      <w:r>
        <w:rPr>
          <w:color w:val="auto"/>
        </w:rPr>
        <w:t>、</w:t>
      </w:r>
      <w:r>
        <w:rPr>
          <w:rFonts w:hint="eastAsia"/>
          <w:color w:val="auto"/>
        </w:rPr>
        <w:t>养老、职教</w:t>
      </w:r>
      <w:r>
        <w:rPr>
          <w:color w:val="auto"/>
        </w:rPr>
        <w:t>等</w:t>
      </w:r>
      <w:r>
        <w:rPr>
          <w:rFonts w:hint="eastAsia"/>
          <w:color w:val="auto"/>
        </w:rPr>
        <w:t>资源优势，促进生产研发</w:t>
      </w:r>
      <w:r>
        <w:rPr>
          <w:color w:val="auto"/>
        </w:rPr>
        <w:t>企业与</w:t>
      </w:r>
      <w:r>
        <w:rPr>
          <w:rFonts w:hint="eastAsia"/>
          <w:color w:val="auto"/>
        </w:rPr>
        <w:t>医疗、养老、</w:t>
      </w:r>
      <w:r>
        <w:rPr>
          <w:color w:val="auto"/>
        </w:rPr>
        <w:t>旅游</w:t>
      </w:r>
      <w:r>
        <w:rPr>
          <w:rFonts w:hint="eastAsia"/>
          <w:color w:val="auto"/>
        </w:rPr>
        <w:t>等</w:t>
      </w:r>
      <w:r>
        <w:rPr>
          <w:color w:val="auto"/>
        </w:rPr>
        <w:t>服务机构的</w:t>
      </w:r>
      <w:r>
        <w:rPr>
          <w:rFonts w:hint="eastAsia"/>
          <w:color w:val="auto"/>
        </w:rPr>
        <w:t>深入合作，积极</w:t>
      </w:r>
      <w:r>
        <w:rPr>
          <w:color w:val="auto"/>
        </w:rPr>
        <w:t>发展</w:t>
      </w:r>
      <w:r>
        <w:rPr>
          <w:rFonts w:hint="eastAsia"/>
          <w:color w:val="auto"/>
        </w:rPr>
        <w:t>“医、康、养、护、愉”医养融合</w:t>
      </w:r>
      <w:r>
        <w:rPr>
          <w:color w:val="auto"/>
        </w:rPr>
        <w:t>延伸产业</w:t>
      </w:r>
      <w:r>
        <w:rPr>
          <w:rFonts w:hint="eastAsia"/>
          <w:color w:val="auto"/>
        </w:rPr>
        <w:t>，强化</w:t>
      </w:r>
      <w:r>
        <w:rPr>
          <w:color w:val="auto"/>
        </w:rPr>
        <w:t>京津冀</w:t>
      </w:r>
      <w:r>
        <w:rPr>
          <w:rFonts w:hint="eastAsia"/>
          <w:color w:val="auto"/>
        </w:rPr>
        <w:t>都市圈服务保障功能</w:t>
      </w:r>
      <w:r>
        <w:rPr>
          <w:color w:val="auto"/>
        </w:rPr>
        <w:t>，建设环北京、雄安区域</w:t>
      </w:r>
      <w:r>
        <w:rPr>
          <w:rFonts w:hint="eastAsia"/>
          <w:color w:val="auto"/>
        </w:rPr>
        <w:t>的</w:t>
      </w:r>
      <w:r>
        <w:rPr>
          <w:color w:val="auto"/>
        </w:rPr>
        <w:t>重要生态康养基地</w:t>
      </w:r>
      <w:r>
        <w:rPr>
          <w:rFonts w:hint="eastAsia"/>
          <w:color w:val="auto"/>
        </w:rPr>
        <w:t>。</w:t>
      </w:r>
    </w:p>
    <w:p>
      <w:pPr>
        <w:ind w:firstLine="562"/>
        <w:rPr>
          <w:color w:val="auto"/>
        </w:rPr>
      </w:pPr>
      <w:r>
        <w:rPr>
          <w:rFonts w:hint="eastAsia"/>
          <w:b/>
          <w:color w:val="auto"/>
        </w:rPr>
        <w:t>培育</w:t>
      </w:r>
      <w:r>
        <w:rPr>
          <w:b/>
          <w:color w:val="auto"/>
        </w:rPr>
        <w:t>发展</w:t>
      </w:r>
      <w:r>
        <w:rPr>
          <w:rFonts w:hint="eastAsia"/>
          <w:b/>
          <w:color w:val="auto"/>
        </w:rPr>
        <w:t>节能环保</w:t>
      </w:r>
      <w:r>
        <w:rPr>
          <w:b/>
          <w:color w:val="auto"/>
        </w:rPr>
        <w:t>和</w:t>
      </w:r>
      <w:r>
        <w:rPr>
          <w:rFonts w:hint="eastAsia"/>
          <w:b/>
          <w:color w:val="auto"/>
        </w:rPr>
        <w:t>新能源产业</w:t>
      </w:r>
      <w:r>
        <w:rPr>
          <w:rFonts w:hint="eastAsia"/>
          <w:color w:val="auto"/>
        </w:rPr>
        <w:t>。认真落实“碳达峰、碳中和”重大部署，促进新型节能环保技术、装备和产品研发应用</w:t>
      </w:r>
      <w:r>
        <w:rPr>
          <w:color w:val="auto"/>
        </w:rPr>
        <w:t>,积极进入节能服务业和环境服务业；充分利用太阳能、风能、光伏等资源优势，将新能源产业发展与乡村振兴结合起来，深挖分布式光伏潜力，鼓励利用荒山荒坡、设施农业用地等发展集中式复合光伏；主动融入保定市氢能产业链布局，适度推进风能、太阳能等可再生能源制氢技术示范</w:t>
      </w:r>
      <w:r>
        <w:rPr>
          <w:rFonts w:hint="eastAsia"/>
          <w:color w:val="auto"/>
        </w:rPr>
        <w:t>。引入培育</w:t>
      </w:r>
      <w:r>
        <w:rPr>
          <w:color w:val="auto"/>
        </w:rPr>
        <w:t>新能源、新材料、绿色环保</w:t>
      </w:r>
      <w:r>
        <w:rPr>
          <w:rFonts w:hint="eastAsia"/>
          <w:color w:val="auto"/>
        </w:rPr>
        <w:t>等</w:t>
      </w:r>
      <w:r>
        <w:rPr>
          <w:color w:val="auto"/>
        </w:rPr>
        <w:t>战略性新兴产业，</w:t>
      </w:r>
      <w:r>
        <w:rPr>
          <w:rFonts w:hint="eastAsia"/>
          <w:color w:val="auto"/>
        </w:rPr>
        <w:t>加强</w:t>
      </w:r>
      <w:r>
        <w:rPr>
          <w:color w:val="auto"/>
        </w:rPr>
        <w:t>技术融合和业态创新，</w:t>
      </w:r>
      <w:r>
        <w:rPr>
          <w:rFonts w:hint="eastAsia"/>
          <w:color w:val="auto"/>
        </w:rPr>
        <w:t>充分利用太阳能、风能、光伏等资源优势，支持产业项目发展。创新招商引资模式，实施</w:t>
      </w:r>
      <w:r>
        <w:rPr>
          <w:color w:val="auto"/>
        </w:rPr>
        <w:t>定向招商、精准招商，</w:t>
      </w:r>
      <w:r>
        <w:rPr>
          <w:rFonts w:hint="eastAsia"/>
          <w:color w:val="auto"/>
        </w:rPr>
        <w:t>重点引进一批有实力的行业</w:t>
      </w:r>
      <w:r>
        <w:rPr>
          <w:color w:val="auto"/>
        </w:rPr>
        <w:t>龙头</w:t>
      </w:r>
      <w:r>
        <w:rPr>
          <w:rFonts w:hint="eastAsia"/>
          <w:color w:val="auto"/>
        </w:rPr>
        <w:t>企业，推动产业链招商、以商招商，完善上下游配套企业，</w:t>
      </w:r>
      <w:r>
        <w:rPr>
          <w:color w:val="auto"/>
        </w:rPr>
        <w:t>做好补链延链</w:t>
      </w:r>
      <w:r>
        <w:rPr>
          <w:rFonts w:hint="eastAsia"/>
          <w:color w:val="auto"/>
        </w:rPr>
        <w:t>。</w:t>
      </w:r>
    </w:p>
    <w:p>
      <w:pPr>
        <w:pStyle w:val="4"/>
        <w:numPr>
          <w:ilvl w:val="0"/>
          <w:numId w:val="0"/>
        </w:numPr>
        <w:ind w:left="643"/>
        <w:rPr>
          <w:color w:val="auto"/>
        </w:rPr>
      </w:pPr>
      <w:r>
        <w:rPr>
          <w:rFonts w:hint="eastAsia"/>
          <w:color w:val="auto"/>
        </w:rPr>
        <w:t>三</w:t>
      </w:r>
      <w:r>
        <w:rPr>
          <w:color w:val="auto"/>
        </w:rPr>
        <w:t>、</w:t>
      </w:r>
      <w:r>
        <w:rPr>
          <w:rFonts w:hint="eastAsia"/>
          <w:color w:val="auto"/>
        </w:rPr>
        <w:t>持续推进园区创新提升</w:t>
      </w:r>
    </w:p>
    <w:p>
      <w:pPr>
        <w:ind w:firstLine="562"/>
        <w:rPr>
          <w:color w:val="auto"/>
        </w:rPr>
      </w:pPr>
      <w:r>
        <w:rPr>
          <w:rFonts w:hint="eastAsia"/>
          <w:b/>
          <w:color w:val="auto"/>
        </w:rPr>
        <w:t>完善</w:t>
      </w:r>
      <w:r>
        <w:rPr>
          <w:b/>
          <w:color w:val="auto"/>
        </w:rPr>
        <w:t>平台建设，提升承载能力</w:t>
      </w:r>
      <w:r>
        <w:rPr>
          <w:color w:val="auto"/>
        </w:rPr>
        <w:t>。</w:t>
      </w:r>
      <w:r>
        <w:rPr>
          <w:rFonts w:hint="eastAsia"/>
          <w:color w:val="auto"/>
        </w:rPr>
        <w:t>聚焦产城融合的“园区4.0”发展阶段，总体布局“一核两带三区四园”，建设“产城教医”融合发展的省级生态开发区</w:t>
      </w:r>
      <w:r>
        <w:rPr>
          <w:color w:val="auto"/>
        </w:rPr>
        <w:t>，</w:t>
      </w:r>
      <w:r>
        <w:rPr>
          <w:rFonts w:hint="eastAsia"/>
          <w:color w:val="auto"/>
        </w:rPr>
        <w:t>提升区域创新发展能力。</w:t>
      </w:r>
      <w:r>
        <w:rPr>
          <w:color w:val="auto"/>
        </w:rPr>
        <w:t>完善京津</w:t>
      </w:r>
      <w:r>
        <w:rPr>
          <w:rFonts w:hint="eastAsia"/>
          <w:color w:val="auto"/>
        </w:rPr>
        <w:t>保</w:t>
      </w:r>
      <w:r>
        <w:rPr>
          <w:color w:val="auto"/>
        </w:rPr>
        <w:t>产业转移新平台</w:t>
      </w:r>
      <w:r>
        <w:rPr>
          <w:rFonts w:hint="eastAsia"/>
          <w:color w:val="auto"/>
        </w:rPr>
        <w:t>新机制，推动企业合作，承接产业转移，实现产业链现代化和</w:t>
      </w:r>
      <w:r>
        <w:rPr>
          <w:color w:val="auto"/>
        </w:rPr>
        <w:t>完整化</w:t>
      </w:r>
      <w:r>
        <w:rPr>
          <w:rFonts w:hint="eastAsia"/>
          <w:color w:val="auto"/>
        </w:rPr>
        <w:t>；加快</w:t>
      </w:r>
      <w:r>
        <w:rPr>
          <w:color w:val="auto"/>
        </w:rPr>
        <w:t>开发区扩区扩容，</w:t>
      </w:r>
      <w:r>
        <w:rPr>
          <w:rFonts w:hint="eastAsia"/>
          <w:color w:val="auto"/>
        </w:rPr>
        <w:t>将阜东、王林口、南湾、槐树庄、高铁站片区等</w:t>
      </w:r>
      <w:r>
        <w:rPr>
          <w:color w:val="auto"/>
        </w:rPr>
        <w:t>5个园区扩充到河北阜平经济开发区，面积达到21.12平方公里</w:t>
      </w:r>
      <w:r>
        <w:rPr>
          <w:rFonts w:hint="eastAsia"/>
          <w:color w:val="auto"/>
        </w:rPr>
        <w:t>；围绕“亩均效益”着力</w:t>
      </w:r>
      <w:r>
        <w:rPr>
          <w:color w:val="auto"/>
        </w:rPr>
        <w:t>实施</w:t>
      </w:r>
      <w:r>
        <w:rPr>
          <w:rFonts w:hint="eastAsia"/>
          <w:color w:val="auto"/>
        </w:rPr>
        <w:t>“</w:t>
      </w:r>
      <w:r>
        <w:rPr>
          <w:color w:val="auto"/>
        </w:rPr>
        <w:t>开发区实力倍增计划</w:t>
      </w:r>
      <w:r>
        <w:rPr>
          <w:rFonts w:hint="eastAsia"/>
          <w:color w:val="auto"/>
        </w:rPr>
        <w:t>”</w:t>
      </w:r>
      <w:r>
        <w:rPr>
          <w:color w:val="auto"/>
        </w:rPr>
        <w:t>，</w:t>
      </w:r>
      <w:r>
        <w:rPr>
          <w:rFonts w:hint="eastAsia"/>
          <w:color w:val="auto"/>
        </w:rPr>
        <w:t>全面</w:t>
      </w:r>
      <w:r>
        <w:rPr>
          <w:color w:val="auto"/>
        </w:rPr>
        <w:t>提升产业水平</w:t>
      </w:r>
      <w:r>
        <w:rPr>
          <w:rFonts w:hint="eastAsia"/>
          <w:color w:val="auto"/>
        </w:rPr>
        <w:t>、</w:t>
      </w:r>
      <w:r>
        <w:rPr>
          <w:color w:val="auto"/>
        </w:rPr>
        <w:t>投资强度和</w:t>
      </w:r>
      <w:r>
        <w:rPr>
          <w:rFonts w:hint="eastAsia"/>
          <w:color w:val="auto"/>
        </w:rPr>
        <w:t>产出效益。严格落实</w:t>
      </w:r>
      <w:r>
        <w:rPr>
          <w:color w:val="auto"/>
        </w:rPr>
        <w:t>清单制度，完善创新升级激励政策，</w:t>
      </w:r>
      <w:r>
        <w:rPr>
          <w:rFonts w:hint="eastAsia"/>
          <w:color w:val="auto"/>
        </w:rPr>
        <w:t>支持</w:t>
      </w:r>
      <w:r>
        <w:rPr>
          <w:color w:val="auto"/>
        </w:rPr>
        <w:t>促进</w:t>
      </w:r>
      <w:r>
        <w:rPr>
          <w:rFonts w:hint="eastAsia"/>
          <w:color w:val="auto"/>
        </w:rPr>
        <w:t>企业转型升级。强化企业创新主体地位，推进产教研深度融合，鼓励支持企业加大研发投入；发挥大企业引领支撑作用，支持创新型中小微企业成长为创新重要发源地，加强共性技术平台建设，推动产业链上中下游、大中小企业融通创新。到2025年，开发区综合排名跻身全省省级开发区前50名，落地产业项目达到</w:t>
      </w:r>
      <w:r>
        <w:rPr>
          <w:color w:val="auto"/>
        </w:rPr>
        <w:t>40家，</w:t>
      </w:r>
      <w:r>
        <w:rPr>
          <w:rFonts w:hint="eastAsia"/>
          <w:color w:val="auto"/>
        </w:rPr>
        <w:t>力争</w:t>
      </w:r>
      <w:r>
        <w:rPr>
          <w:color w:val="auto"/>
        </w:rPr>
        <w:t>实现</w:t>
      </w:r>
      <w:r>
        <w:rPr>
          <w:rFonts w:hint="eastAsia"/>
          <w:color w:val="auto"/>
        </w:rPr>
        <w:t>工业总产值150亿元，实现税收4.5亿元；进出口1500万美元，利用外资1000万美元。</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highlight w:val="yellow"/>
              </w:rPr>
            </w:pPr>
            <w:r>
              <w:rPr>
                <w:rFonts w:hint="eastAsia" w:ascii="黑体" w:hAnsi="黑体" w:eastAsia="黑体"/>
                <w:color w:val="auto"/>
                <w:sz w:val="24"/>
                <w:szCs w:val="28"/>
              </w:rPr>
              <w:t>专栏3-</w:t>
            </w:r>
            <w:r>
              <w:rPr>
                <w:rFonts w:ascii="黑体" w:hAnsi="黑体" w:eastAsia="黑体"/>
                <w:color w:val="auto"/>
                <w:sz w:val="24"/>
                <w:szCs w:val="28"/>
              </w:rPr>
              <w:t xml:space="preserve">3 </w:t>
            </w:r>
            <w:r>
              <w:rPr>
                <w:rFonts w:hint="eastAsia" w:ascii="黑体" w:hAnsi="黑体" w:eastAsia="黑体"/>
                <w:color w:val="auto"/>
                <w:sz w:val="24"/>
                <w:szCs w:val="28"/>
              </w:rPr>
              <w:t>开发区</w:t>
            </w:r>
            <w:r>
              <w:rPr>
                <w:rFonts w:ascii="黑体" w:hAnsi="黑体" w:eastAsia="黑体"/>
                <w:color w:val="auto"/>
                <w:sz w:val="24"/>
                <w:szCs w:val="28"/>
              </w:rPr>
              <w:t>实力倍增</w:t>
            </w:r>
            <w:r>
              <w:rPr>
                <w:rFonts w:hint="eastAsia" w:ascii="黑体" w:hAnsi="黑体" w:eastAsia="黑体"/>
                <w:color w:val="auto"/>
                <w:sz w:val="24"/>
                <w:szCs w:val="28"/>
              </w:rPr>
              <w:t>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b/>
                <w:bCs/>
                <w:color w:val="auto"/>
                <w:sz w:val="24"/>
                <w:szCs w:val="28"/>
              </w:rPr>
            </w:pPr>
            <w:r>
              <w:rPr>
                <w:rFonts w:hint="eastAsia"/>
                <w:b/>
                <w:bCs/>
                <w:color w:val="auto"/>
                <w:sz w:val="24"/>
                <w:szCs w:val="28"/>
              </w:rPr>
              <w:t>1.园区</w:t>
            </w:r>
            <w:r>
              <w:rPr>
                <w:b/>
                <w:bCs/>
                <w:color w:val="auto"/>
                <w:sz w:val="24"/>
                <w:szCs w:val="28"/>
              </w:rPr>
              <w:t>载体能力提升项目</w:t>
            </w:r>
          </w:p>
          <w:p>
            <w:pPr>
              <w:adjustRightInd w:val="0"/>
              <w:snapToGrid w:val="0"/>
              <w:ind w:firstLine="482"/>
              <w:rPr>
                <w:bCs/>
                <w:color w:val="auto"/>
                <w:sz w:val="24"/>
                <w:szCs w:val="28"/>
              </w:rPr>
            </w:pPr>
            <w:r>
              <w:rPr>
                <w:rFonts w:hint="eastAsia"/>
                <w:b/>
                <w:bCs/>
                <w:color w:val="auto"/>
                <w:sz w:val="24"/>
                <w:szCs w:val="28"/>
              </w:rPr>
              <w:t>阜东产业园区工业台地标准化厂房建设</w:t>
            </w:r>
            <w:r>
              <w:rPr>
                <w:rFonts w:hint="eastAsia"/>
                <w:bCs/>
                <w:color w:val="auto"/>
                <w:sz w:val="24"/>
                <w:szCs w:val="28"/>
              </w:rPr>
              <w:t>。占地约513400平方米，总建筑面积469100平方米，其中标准化厂房建筑面积399400平方米、公建建筑面积69700平方米及其他相关附属设施，</w:t>
            </w:r>
            <w:r>
              <w:rPr>
                <w:bCs/>
                <w:color w:val="auto"/>
                <w:sz w:val="24"/>
                <w:szCs w:val="28"/>
              </w:rPr>
              <w:t>项目总投资</w:t>
            </w:r>
            <w:r>
              <w:rPr>
                <w:rFonts w:hint="eastAsia"/>
                <w:bCs/>
                <w:color w:val="auto"/>
                <w:sz w:val="24"/>
                <w:szCs w:val="28"/>
              </w:rPr>
              <w:t>估算9亿元。</w:t>
            </w:r>
          </w:p>
          <w:p>
            <w:pPr>
              <w:adjustRightInd w:val="0"/>
              <w:snapToGrid w:val="0"/>
              <w:ind w:firstLine="482"/>
              <w:rPr>
                <w:bCs/>
                <w:color w:val="auto"/>
                <w:sz w:val="24"/>
                <w:szCs w:val="28"/>
              </w:rPr>
            </w:pPr>
            <w:r>
              <w:rPr>
                <w:rFonts w:hint="eastAsia"/>
                <w:b/>
                <w:bCs/>
                <w:color w:val="auto"/>
                <w:sz w:val="24"/>
                <w:szCs w:val="28"/>
              </w:rPr>
              <w:t>装配式建筑园区物流枢纽基地</w:t>
            </w:r>
            <w:r>
              <w:rPr>
                <w:rFonts w:hint="eastAsia"/>
                <w:bCs/>
                <w:color w:val="auto"/>
                <w:sz w:val="24"/>
                <w:szCs w:val="28"/>
              </w:rPr>
              <w:t>。项目占地548亩，建设仓储区、加油站加气站、运输车辆功能服务区、停车区、办公区生活区、信息服务中心。</w:t>
            </w:r>
          </w:p>
          <w:p>
            <w:pPr>
              <w:adjustRightInd w:val="0"/>
              <w:snapToGrid w:val="0"/>
              <w:ind w:firstLine="482"/>
              <w:rPr>
                <w:bCs/>
                <w:color w:val="auto"/>
                <w:sz w:val="24"/>
                <w:szCs w:val="28"/>
              </w:rPr>
            </w:pPr>
            <w:r>
              <w:rPr>
                <w:rFonts w:hint="eastAsia"/>
                <w:b/>
                <w:bCs/>
                <w:color w:val="auto"/>
                <w:sz w:val="24"/>
                <w:szCs w:val="28"/>
              </w:rPr>
              <w:t>冷链物流枢纽基地</w:t>
            </w:r>
            <w:r>
              <w:rPr>
                <w:rFonts w:hint="eastAsia"/>
                <w:bCs/>
                <w:color w:val="auto"/>
                <w:sz w:val="24"/>
                <w:szCs w:val="28"/>
              </w:rPr>
              <w:t>。总占地73450.5平方米，库容量28000吨，总建筑面积55753</w:t>
            </w:r>
            <w:r>
              <w:rPr>
                <w:rFonts w:hint="eastAsia" w:cs="Batang"/>
                <w:bCs/>
                <w:color w:val="auto"/>
                <w:sz w:val="24"/>
                <w:szCs w:val="28"/>
              </w:rPr>
              <w:t>平方米</w:t>
            </w:r>
            <w:r>
              <w:rPr>
                <w:rFonts w:hint="eastAsia" w:cs="仿宋_GB2312"/>
                <w:bCs/>
                <w:color w:val="auto"/>
                <w:sz w:val="24"/>
                <w:szCs w:val="28"/>
              </w:rPr>
              <w:t>，包括冷库</w:t>
            </w:r>
            <w:r>
              <w:rPr>
                <w:rFonts w:hint="eastAsia" w:cs="Batang"/>
                <w:bCs/>
                <w:color w:val="auto"/>
                <w:sz w:val="24"/>
                <w:szCs w:val="28"/>
              </w:rPr>
              <w:t>、</w:t>
            </w:r>
            <w:r>
              <w:rPr>
                <w:rFonts w:hint="eastAsia" w:cs="仿宋_GB2312"/>
                <w:bCs/>
                <w:color w:val="auto"/>
                <w:sz w:val="24"/>
                <w:szCs w:val="28"/>
              </w:rPr>
              <w:t>分选集散车间、深加工区车间、综合楼、配套用房，以及污水处理设施、库区设备采购及库区基础设施</w:t>
            </w:r>
            <w:r>
              <w:rPr>
                <w:rFonts w:hint="eastAsia"/>
                <w:bCs/>
                <w:color w:val="auto"/>
                <w:sz w:val="24"/>
                <w:szCs w:val="28"/>
              </w:rPr>
              <w:t>。项目总投资估算</w:t>
            </w:r>
            <w:r>
              <w:rPr>
                <w:bCs/>
                <w:color w:val="auto"/>
                <w:sz w:val="24"/>
                <w:szCs w:val="28"/>
              </w:rPr>
              <w:t>3.64</w:t>
            </w:r>
            <w:r>
              <w:rPr>
                <w:rFonts w:hint="eastAsia"/>
                <w:bCs/>
                <w:color w:val="auto"/>
                <w:sz w:val="24"/>
                <w:szCs w:val="28"/>
              </w:rPr>
              <w:t>亿元。</w:t>
            </w:r>
          </w:p>
          <w:p>
            <w:pPr>
              <w:adjustRightInd w:val="0"/>
              <w:snapToGrid w:val="0"/>
              <w:ind w:firstLine="482"/>
              <w:rPr>
                <w:b/>
                <w:bCs/>
                <w:color w:val="auto"/>
                <w:sz w:val="24"/>
                <w:szCs w:val="28"/>
              </w:rPr>
            </w:pPr>
            <w:r>
              <w:rPr>
                <w:b/>
                <w:bCs/>
                <w:color w:val="auto"/>
                <w:sz w:val="24"/>
                <w:szCs w:val="28"/>
              </w:rPr>
              <w:t>2</w:t>
            </w:r>
            <w:r>
              <w:rPr>
                <w:rFonts w:hint="eastAsia"/>
                <w:b/>
                <w:bCs/>
                <w:color w:val="auto"/>
                <w:sz w:val="24"/>
                <w:szCs w:val="28"/>
              </w:rPr>
              <w:t>.园区企业</w:t>
            </w:r>
            <w:r>
              <w:rPr>
                <w:b/>
                <w:bCs/>
                <w:color w:val="auto"/>
                <w:sz w:val="24"/>
                <w:szCs w:val="28"/>
              </w:rPr>
              <w:t>重点</w:t>
            </w:r>
            <w:r>
              <w:rPr>
                <w:rFonts w:hint="eastAsia"/>
                <w:b/>
                <w:bCs/>
                <w:color w:val="auto"/>
                <w:sz w:val="24"/>
                <w:szCs w:val="28"/>
              </w:rPr>
              <w:t>实施</w:t>
            </w:r>
            <w:r>
              <w:rPr>
                <w:b/>
                <w:bCs/>
                <w:color w:val="auto"/>
                <w:sz w:val="24"/>
                <w:szCs w:val="28"/>
              </w:rPr>
              <w:t>项目</w:t>
            </w:r>
          </w:p>
          <w:p>
            <w:pPr>
              <w:adjustRightInd w:val="0"/>
              <w:snapToGrid w:val="0"/>
              <w:ind w:firstLine="482"/>
              <w:rPr>
                <w:bCs/>
                <w:color w:val="auto"/>
                <w:sz w:val="24"/>
                <w:szCs w:val="28"/>
              </w:rPr>
            </w:pPr>
            <w:r>
              <w:rPr>
                <w:rFonts w:hint="eastAsia"/>
                <w:b/>
                <w:bCs/>
                <w:color w:val="auto"/>
                <w:sz w:val="24"/>
                <w:szCs w:val="28"/>
              </w:rPr>
              <w:t>燕通建筑构件项目</w:t>
            </w:r>
            <w:r>
              <w:rPr>
                <w:rFonts w:hint="eastAsia"/>
                <w:bCs/>
                <w:color w:val="auto"/>
                <w:sz w:val="24"/>
                <w:szCs w:val="28"/>
              </w:rPr>
              <w:t>。项目</w:t>
            </w:r>
            <w:r>
              <w:rPr>
                <w:bCs/>
                <w:color w:val="auto"/>
                <w:sz w:val="24"/>
                <w:szCs w:val="28"/>
              </w:rPr>
              <w:t>位于</w:t>
            </w:r>
            <w:r>
              <w:rPr>
                <w:rFonts w:hint="eastAsia"/>
                <w:bCs/>
                <w:color w:val="auto"/>
                <w:sz w:val="24"/>
                <w:szCs w:val="28"/>
              </w:rPr>
              <w:t>装配式建筑产业园，建成投产后可</w:t>
            </w:r>
            <w:r>
              <w:rPr>
                <w:bCs/>
                <w:color w:val="auto"/>
                <w:sz w:val="24"/>
                <w:szCs w:val="28"/>
              </w:rPr>
              <w:t>实现</w:t>
            </w:r>
            <w:r>
              <w:rPr>
                <w:rFonts w:hint="eastAsia"/>
                <w:bCs/>
                <w:color w:val="auto"/>
                <w:sz w:val="24"/>
                <w:szCs w:val="28"/>
              </w:rPr>
              <w:t>年产装配式混凝土20万立方。</w:t>
            </w:r>
            <w:r>
              <w:rPr>
                <w:bCs/>
                <w:color w:val="auto"/>
                <w:sz w:val="24"/>
                <w:szCs w:val="28"/>
              </w:rPr>
              <w:t>项目总投资估算</w:t>
            </w:r>
            <w:r>
              <w:rPr>
                <w:rFonts w:hint="eastAsia"/>
                <w:bCs/>
                <w:color w:val="auto"/>
                <w:sz w:val="24"/>
                <w:szCs w:val="28"/>
              </w:rPr>
              <w:t>10亿元</w:t>
            </w:r>
            <w:r>
              <w:rPr>
                <w:bCs/>
                <w:color w:val="auto"/>
                <w:sz w:val="24"/>
                <w:szCs w:val="28"/>
              </w:rPr>
              <w:t>。</w:t>
            </w:r>
          </w:p>
          <w:p>
            <w:pPr>
              <w:adjustRightInd w:val="0"/>
              <w:snapToGrid w:val="0"/>
              <w:ind w:firstLine="482"/>
              <w:rPr>
                <w:bCs/>
                <w:color w:val="auto"/>
                <w:sz w:val="24"/>
                <w:szCs w:val="28"/>
              </w:rPr>
            </w:pPr>
            <w:r>
              <w:rPr>
                <w:rFonts w:hint="eastAsia"/>
                <w:b/>
                <w:bCs/>
                <w:color w:val="auto"/>
                <w:sz w:val="24"/>
                <w:szCs w:val="28"/>
              </w:rPr>
              <w:t>星河新材料项目</w:t>
            </w:r>
            <w:r>
              <w:rPr>
                <w:rFonts w:hint="eastAsia"/>
                <w:bCs/>
                <w:color w:val="auto"/>
                <w:sz w:val="24"/>
                <w:szCs w:val="28"/>
              </w:rPr>
              <w:t>。项目</w:t>
            </w:r>
            <w:r>
              <w:rPr>
                <w:bCs/>
                <w:color w:val="auto"/>
                <w:sz w:val="24"/>
                <w:szCs w:val="28"/>
              </w:rPr>
              <w:t>位于</w:t>
            </w:r>
            <w:r>
              <w:rPr>
                <w:rFonts w:hint="eastAsia"/>
                <w:bCs/>
                <w:color w:val="auto"/>
                <w:sz w:val="24"/>
                <w:szCs w:val="28"/>
              </w:rPr>
              <w:t>装配式建筑产业园，占地面积220亩，建成投产后年可生产新型绿色装配式建筑400万平方米、SGC新型绿色建材1500万平方米。</w:t>
            </w:r>
            <w:r>
              <w:rPr>
                <w:bCs/>
                <w:color w:val="auto"/>
                <w:sz w:val="24"/>
                <w:szCs w:val="28"/>
              </w:rPr>
              <w:t>项目总投资估算5</w:t>
            </w:r>
            <w:r>
              <w:rPr>
                <w:rFonts w:hint="eastAsia"/>
                <w:bCs/>
                <w:color w:val="auto"/>
                <w:sz w:val="24"/>
                <w:szCs w:val="28"/>
              </w:rPr>
              <w:t>亿元</w:t>
            </w:r>
            <w:r>
              <w:rPr>
                <w:bCs/>
                <w:color w:val="auto"/>
                <w:sz w:val="24"/>
                <w:szCs w:val="28"/>
              </w:rPr>
              <w:t>。</w:t>
            </w:r>
          </w:p>
          <w:p>
            <w:pPr>
              <w:adjustRightInd w:val="0"/>
              <w:snapToGrid w:val="0"/>
              <w:ind w:firstLine="482"/>
              <w:rPr>
                <w:bCs/>
                <w:color w:val="auto"/>
                <w:sz w:val="24"/>
                <w:szCs w:val="28"/>
              </w:rPr>
            </w:pPr>
            <w:r>
              <w:rPr>
                <w:rFonts w:hint="eastAsia"/>
                <w:b/>
                <w:bCs/>
                <w:color w:val="auto"/>
                <w:sz w:val="24"/>
                <w:szCs w:val="28"/>
              </w:rPr>
              <w:t>福润烘焙原材料生产项目</w:t>
            </w:r>
            <w:r>
              <w:rPr>
                <w:rFonts w:hint="eastAsia"/>
                <w:bCs/>
                <w:color w:val="auto"/>
                <w:sz w:val="24"/>
                <w:szCs w:val="28"/>
              </w:rPr>
              <w:t>。项目</w:t>
            </w:r>
            <w:r>
              <w:rPr>
                <w:bCs/>
                <w:color w:val="auto"/>
                <w:sz w:val="24"/>
                <w:szCs w:val="28"/>
              </w:rPr>
              <w:t>位于</w:t>
            </w:r>
            <w:r>
              <w:rPr>
                <w:rFonts w:hint="eastAsia"/>
                <w:bCs/>
                <w:color w:val="auto"/>
                <w:sz w:val="24"/>
                <w:szCs w:val="28"/>
              </w:rPr>
              <w:t>高阜口食品加工园区，占地60亩，总建筑面积27294.12平方米，建成后主要进行烘焙食品生产、馅料生产、罐头生产等。</w:t>
            </w:r>
            <w:r>
              <w:rPr>
                <w:bCs/>
                <w:color w:val="auto"/>
                <w:sz w:val="24"/>
                <w:szCs w:val="28"/>
              </w:rPr>
              <w:t>项目总投资估算</w:t>
            </w:r>
            <w:r>
              <w:rPr>
                <w:rFonts w:hint="eastAsia"/>
                <w:bCs/>
                <w:color w:val="auto"/>
                <w:sz w:val="24"/>
                <w:szCs w:val="28"/>
              </w:rPr>
              <w:t>1.</w:t>
            </w:r>
            <w:r>
              <w:rPr>
                <w:bCs/>
                <w:color w:val="auto"/>
                <w:sz w:val="24"/>
                <w:szCs w:val="28"/>
              </w:rPr>
              <w:t>5</w:t>
            </w:r>
            <w:r>
              <w:rPr>
                <w:rFonts w:hint="eastAsia"/>
                <w:bCs/>
                <w:color w:val="auto"/>
                <w:sz w:val="24"/>
                <w:szCs w:val="28"/>
              </w:rPr>
              <w:t>亿元</w:t>
            </w:r>
            <w:r>
              <w:rPr>
                <w:bCs/>
                <w:color w:val="auto"/>
                <w:sz w:val="24"/>
                <w:szCs w:val="28"/>
              </w:rPr>
              <w:t>。</w:t>
            </w:r>
          </w:p>
          <w:p>
            <w:pPr>
              <w:adjustRightInd w:val="0"/>
              <w:snapToGrid w:val="0"/>
              <w:ind w:firstLine="482"/>
              <w:rPr>
                <w:bCs/>
                <w:color w:val="auto"/>
                <w:sz w:val="24"/>
                <w:szCs w:val="28"/>
              </w:rPr>
            </w:pPr>
            <w:r>
              <w:rPr>
                <w:rFonts w:hint="eastAsia"/>
                <w:b/>
                <w:color w:val="auto"/>
                <w:sz w:val="24"/>
                <w:szCs w:val="24"/>
              </w:rPr>
              <w:t>中国水利水电第一工程局有限公司、中关村e谷阜平智能高端制造产业园（标准化厂房）项目。</w:t>
            </w:r>
            <w:r>
              <w:rPr>
                <w:rFonts w:hint="eastAsia"/>
                <w:color w:val="auto"/>
                <w:sz w:val="24"/>
                <w:szCs w:val="24"/>
              </w:rPr>
              <w:t>项目位于阜东产业园区工业台地，该项目占地约252亩，厂房总建筑面积25.7万㎡，其中地上建筑面积25.05万㎡，地下建筑面积0.65万㎡。厂房交工后引进智能制造、航空航天、医疗器械等方面的企业。项目总投资10.63亿元（其中厂房投资5.62亿元，后期招商入驻企业投资5.01亿元）。</w:t>
            </w:r>
          </w:p>
          <w:p>
            <w:pPr>
              <w:adjustRightInd w:val="0"/>
              <w:snapToGrid w:val="0"/>
              <w:ind w:firstLine="482"/>
              <w:rPr>
                <w:b/>
                <w:bCs/>
                <w:color w:val="auto"/>
                <w:sz w:val="24"/>
                <w:szCs w:val="28"/>
              </w:rPr>
            </w:pPr>
            <w:r>
              <w:rPr>
                <w:rFonts w:hint="eastAsia"/>
                <w:b/>
                <w:bCs/>
                <w:color w:val="auto"/>
                <w:sz w:val="24"/>
                <w:szCs w:val="28"/>
              </w:rPr>
              <w:t>3.园区投产效益提升项目</w:t>
            </w:r>
          </w:p>
          <w:p>
            <w:pPr>
              <w:adjustRightInd w:val="0"/>
              <w:snapToGrid w:val="0"/>
              <w:ind w:firstLine="482"/>
              <w:rPr>
                <w:bCs/>
                <w:color w:val="auto"/>
                <w:sz w:val="24"/>
                <w:szCs w:val="28"/>
              </w:rPr>
            </w:pPr>
            <w:r>
              <w:rPr>
                <w:rFonts w:hint="eastAsia"/>
                <w:b/>
                <w:bCs/>
                <w:color w:val="auto"/>
                <w:sz w:val="24"/>
                <w:szCs w:val="28"/>
              </w:rPr>
              <w:t>河北大正果品开发加工项目</w:t>
            </w:r>
            <w:r>
              <w:rPr>
                <w:rFonts w:hint="eastAsia"/>
                <w:bCs/>
                <w:color w:val="auto"/>
                <w:sz w:val="24"/>
                <w:szCs w:val="28"/>
              </w:rPr>
              <w:t>。全部投产后，可带动850人就业，“十四五”期间预计年销售收入达到1.1亿元，创造税收650万元。</w:t>
            </w:r>
          </w:p>
          <w:p>
            <w:pPr>
              <w:adjustRightInd w:val="0"/>
              <w:snapToGrid w:val="0"/>
              <w:ind w:firstLine="482"/>
              <w:rPr>
                <w:bCs/>
                <w:color w:val="auto"/>
                <w:sz w:val="24"/>
                <w:szCs w:val="28"/>
              </w:rPr>
            </w:pPr>
            <w:r>
              <w:rPr>
                <w:rFonts w:hint="eastAsia"/>
                <w:b/>
                <w:bCs/>
                <w:color w:val="auto"/>
                <w:sz w:val="24"/>
                <w:szCs w:val="28"/>
              </w:rPr>
              <w:t>阜平嘉鑫果蔬冰温库及香菇烘干项目</w:t>
            </w:r>
            <w:r>
              <w:rPr>
                <w:rFonts w:hint="eastAsia"/>
                <w:bCs/>
                <w:color w:val="auto"/>
                <w:sz w:val="24"/>
                <w:szCs w:val="28"/>
              </w:rPr>
              <w:t>。全部投产后，可带动150人就业，“十四五”期间销售收入达到4.5亿元，税收2400万元。</w:t>
            </w:r>
          </w:p>
          <w:p>
            <w:pPr>
              <w:adjustRightInd w:val="0"/>
              <w:snapToGrid w:val="0"/>
              <w:ind w:firstLine="482"/>
              <w:rPr>
                <w:rFonts w:ascii="仿宋_GB2312" w:eastAsia="仿宋_GB2312"/>
                <w:bCs/>
                <w:color w:val="auto"/>
                <w:sz w:val="24"/>
                <w:szCs w:val="28"/>
              </w:rPr>
            </w:pPr>
            <w:r>
              <w:rPr>
                <w:rFonts w:hint="eastAsia"/>
                <w:b/>
                <w:bCs/>
                <w:color w:val="auto"/>
                <w:sz w:val="24"/>
                <w:szCs w:val="28"/>
              </w:rPr>
              <w:t>河北醇油坊高级营养油项目</w:t>
            </w:r>
            <w:r>
              <w:rPr>
                <w:rFonts w:hint="eastAsia"/>
                <w:bCs/>
                <w:color w:val="auto"/>
                <w:sz w:val="24"/>
                <w:szCs w:val="28"/>
              </w:rPr>
              <w:t>。项目投产后，可带动300人就业，“十四五”期间销售收入达到5.5亿元，税收2000万元。</w:t>
            </w:r>
          </w:p>
        </w:tc>
      </w:tr>
    </w:tbl>
    <w:p>
      <w:pPr>
        <w:pStyle w:val="3"/>
        <w:spacing w:before="204"/>
        <w:ind w:firstLine="560" w:firstLineChars="200"/>
        <w:rPr>
          <w:color w:val="auto"/>
          <w:szCs w:val="30"/>
        </w:rPr>
      </w:pPr>
      <w:bookmarkStart w:id="13" w:name="_Toc62244266"/>
      <w:r>
        <w:rPr>
          <w:color w:val="auto"/>
          <w:szCs w:val="30"/>
        </w:rPr>
        <w:t>第三节</w:t>
      </w:r>
      <w:r>
        <w:rPr>
          <w:rFonts w:hint="eastAsia"/>
          <w:color w:val="auto"/>
          <w:szCs w:val="30"/>
        </w:rPr>
        <w:t xml:space="preserve">  加快提升现代服务业发展</w:t>
      </w:r>
      <w:r>
        <w:rPr>
          <w:color w:val="auto"/>
          <w:szCs w:val="30"/>
        </w:rPr>
        <w:t>水平</w:t>
      </w:r>
      <w:bookmarkEnd w:id="13"/>
    </w:p>
    <w:p>
      <w:pPr>
        <w:pStyle w:val="4"/>
        <w:numPr>
          <w:ilvl w:val="0"/>
          <w:numId w:val="0"/>
        </w:numPr>
        <w:ind w:left="643"/>
        <w:rPr>
          <w:color w:val="auto"/>
        </w:rPr>
      </w:pPr>
      <w:r>
        <w:rPr>
          <w:rFonts w:hint="eastAsia"/>
          <w:color w:val="auto"/>
        </w:rPr>
        <w:t>一</w:t>
      </w:r>
      <w:r>
        <w:rPr>
          <w:color w:val="auto"/>
        </w:rPr>
        <w:t>、</w:t>
      </w:r>
      <w:r>
        <w:rPr>
          <w:rFonts w:hint="eastAsia"/>
          <w:color w:val="auto"/>
        </w:rPr>
        <w:t>实施全域旅游示范工程</w:t>
      </w:r>
    </w:p>
    <w:p>
      <w:pPr>
        <w:ind w:firstLine="560"/>
        <w:rPr>
          <w:color w:val="auto"/>
        </w:rPr>
      </w:pPr>
      <w:r>
        <w:rPr>
          <w:rFonts w:hint="eastAsia"/>
          <w:color w:val="auto"/>
        </w:rPr>
        <w:t>落实“旅游兴县”要求，对接《太行山旅游业发展规划（2020—2035年）》，加快构建现代旅游产业体系，建设以太行山沿线为核心、辐射京津冀晋乃至全国区域的全域旅游示范区。</w:t>
      </w:r>
    </w:p>
    <w:p>
      <w:pPr>
        <w:ind w:firstLine="562"/>
        <w:rPr>
          <w:color w:val="auto"/>
        </w:rPr>
      </w:pPr>
      <w:r>
        <w:rPr>
          <w:rFonts w:hint="eastAsia"/>
          <w:b/>
          <w:color w:val="auto"/>
        </w:rPr>
        <w:t>完善全域旅游产品体系。</w:t>
      </w:r>
      <w:r>
        <w:rPr>
          <w:rFonts w:hint="eastAsia"/>
          <w:color w:val="auto"/>
        </w:rPr>
        <w:t>按照“县域即景区”的理念，打造以休闲度假为核心、观光与健康养老为两翼的旅游产业，促进旅游业态从“景点旅游”向“全域旅游”转变。围绕全要素、全链条、全区域做足文章，充分发挥“红”“绿”两大优势，立体开发“一日看四季、全年有春秋”旅游产业体系，重点加快晋察冀边区革命纪念馆及红色旅游区、天生桥生态旅游区、古北岳文化旅游区、太行水乡旅游度假区等区片旅游资源综合开发，集中培育一批集健康、养老、休闲为一体的旅游产品新业态，全力打造集生态游、乡村游、历史文化游于一体的知名旅游胜地。到2025年，实现旅游接待总人次</w:t>
      </w:r>
      <w:r>
        <w:rPr>
          <w:color w:val="auto"/>
        </w:rPr>
        <w:t>300</w:t>
      </w:r>
      <w:r>
        <w:rPr>
          <w:rFonts w:hint="eastAsia"/>
          <w:color w:val="auto"/>
        </w:rPr>
        <w:t>万、旅游总收入超过</w:t>
      </w:r>
      <w:r>
        <w:rPr>
          <w:color w:val="auto"/>
        </w:rPr>
        <w:t>24</w:t>
      </w:r>
      <w:r>
        <w:rPr>
          <w:rFonts w:hint="eastAsia"/>
          <w:color w:val="auto"/>
        </w:rPr>
        <w:t>亿元，旅游业成为阜平产业优化转型的主导产业、第三产业的龙头产业、绿色发展的引领产业和益乡富民的幸福产业。</w:t>
      </w:r>
    </w:p>
    <w:p>
      <w:pPr>
        <w:ind w:firstLine="562"/>
        <w:rPr>
          <w:color w:val="auto"/>
        </w:rPr>
      </w:pPr>
      <w:r>
        <w:rPr>
          <w:rFonts w:hint="eastAsia"/>
          <w:b/>
          <w:color w:val="auto"/>
        </w:rPr>
        <w:t>提质发展</w:t>
      </w:r>
      <w:r>
        <w:rPr>
          <w:b/>
          <w:color w:val="auto"/>
        </w:rPr>
        <w:t>特</w:t>
      </w:r>
      <w:r>
        <w:rPr>
          <w:rFonts w:hint="eastAsia"/>
          <w:b/>
          <w:color w:val="auto"/>
        </w:rPr>
        <w:t>色乡村旅游</w:t>
      </w:r>
      <w:r>
        <w:rPr>
          <w:rFonts w:hint="eastAsia"/>
          <w:color w:val="auto"/>
        </w:rPr>
        <w:t>。建设一批乡村旅游村落或特色旅游村镇，实现一个景区带动一片乡村、带富一方百姓，打造“九沟十八寨三十六营七十二栈”乡村旅游总体格局。鼓励乡村社区积极开发“食、住、行、游、购、娱”配套产品，规范发展农家乐，提升智能化管理水平，建立长效监管机制。大力引进中高端乡村旅游度假产品，着力推动特色民宿发展，培育乡村旅游、山地避暑、森林康养等多类型旅游产品新业态，形成满足京津冀城市群不同消费群体的差异化产品。</w:t>
      </w:r>
    </w:p>
    <w:p>
      <w:pPr>
        <w:ind w:firstLine="562"/>
        <w:rPr>
          <w:color w:val="auto"/>
        </w:rPr>
      </w:pPr>
      <w:r>
        <w:rPr>
          <w:rFonts w:hint="eastAsia"/>
          <w:b/>
          <w:color w:val="auto"/>
        </w:rPr>
        <w:t>推动旅游服务标准化</w:t>
      </w:r>
      <w:r>
        <w:rPr>
          <w:rFonts w:hint="eastAsia"/>
          <w:color w:val="auto"/>
        </w:rPr>
        <w:t>。实施吃</w:t>
      </w:r>
      <w:r>
        <w:rPr>
          <w:color w:val="auto"/>
        </w:rPr>
        <w:t>、住</w:t>
      </w:r>
      <w:r>
        <w:rPr>
          <w:rFonts w:hint="eastAsia"/>
          <w:color w:val="auto"/>
        </w:rPr>
        <w:t>、</w:t>
      </w:r>
      <w:r>
        <w:rPr>
          <w:color w:val="auto"/>
        </w:rPr>
        <w:t>行、娱</w:t>
      </w:r>
      <w:r>
        <w:rPr>
          <w:rFonts w:hint="eastAsia"/>
          <w:color w:val="auto"/>
        </w:rPr>
        <w:t>等旅游要素全域提升提档工程，打造行程目的地、旅游地服务体系。加快高品质酒店建设升级，鼓励发展精品民宿酒店、特色主题酒店、青年旅社、汽车旅馆、特色民宿等多类型的旅游住宿体系，</w:t>
      </w:r>
      <w:r>
        <w:rPr>
          <w:color w:val="auto"/>
        </w:rPr>
        <w:t>开展标准化提升和星级评定</w:t>
      </w:r>
      <w:r>
        <w:rPr>
          <w:rFonts w:hint="eastAsia"/>
          <w:color w:val="auto"/>
        </w:rPr>
        <w:t>；深入挖掘阜平特色风味餐饮，建设一批特色餐饮店和餐饮街区，培育特色</w:t>
      </w:r>
      <w:r>
        <w:rPr>
          <w:color w:val="auto"/>
        </w:rPr>
        <w:t>大餐</w:t>
      </w:r>
      <w:r>
        <w:rPr>
          <w:rFonts w:hint="eastAsia"/>
          <w:color w:val="auto"/>
        </w:rPr>
        <w:t>、主题餐饮、农家饮食、小吃饮料、生态保健食品等美食产品体系。构建5G智慧旅游时代，做好智慧景区规划，引入培育智慧旅游服务商，实现一部手机畅游阜平，率先实现景区智能化、高效化、便捷化、现代化管理，</w:t>
      </w:r>
      <w:r>
        <w:rPr>
          <w:color w:val="auto"/>
        </w:rPr>
        <w:t>探索线上线下旅游发展新模式</w:t>
      </w:r>
      <w:r>
        <w:rPr>
          <w:rFonts w:hint="eastAsia"/>
          <w:color w:val="auto"/>
        </w:rPr>
        <w:t>。</w:t>
      </w:r>
    </w:p>
    <w:p>
      <w:pPr>
        <w:ind w:firstLine="562"/>
        <w:rPr>
          <w:color w:val="auto"/>
        </w:rPr>
      </w:pPr>
      <w:r>
        <w:rPr>
          <w:rFonts w:hint="eastAsia"/>
          <w:b/>
          <w:color w:val="auto"/>
        </w:rPr>
        <w:t>创新旅游宣传推广方式。</w:t>
      </w:r>
      <w:r>
        <w:rPr>
          <w:rFonts w:hint="eastAsia"/>
          <w:color w:val="auto"/>
        </w:rPr>
        <w:t>深入开展旅游品牌创建和营销工程，培育旅游发展引爆点，树立“红色福地、山水</w:t>
      </w:r>
      <w:r>
        <w:rPr>
          <w:color w:val="auto"/>
        </w:rPr>
        <w:t>阜平</w:t>
      </w:r>
      <w:r>
        <w:rPr>
          <w:rFonts w:hint="eastAsia"/>
          <w:color w:val="auto"/>
        </w:rPr>
        <w:t>”的</w:t>
      </w:r>
      <w:r>
        <w:rPr>
          <w:color w:val="auto"/>
        </w:rPr>
        <w:t>全域</w:t>
      </w:r>
      <w:r>
        <w:rPr>
          <w:rFonts w:hint="eastAsia"/>
          <w:color w:val="auto"/>
        </w:rPr>
        <w:t>旅游品牌形象。开展精准营销，举办全县旅游推介会、专题推介会、专项</w:t>
      </w:r>
      <w:r>
        <w:rPr>
          <w:color w:val="auto"/>
        </w:rPr>
        <w:t>活动赛事、</w:t>
      </w:r>
      <w:r>
        <w:rPr>
          <w:rFonts w:hint="eastAsia"/>
          <w:color w:val="auto"/>
        </w:rPr>
        <w:t>乡村旅游节庆等专题推广活动，持续放大品牌效应和公众影响力。优化传统媒体推广，注重多类型</w:t>
      </w:r>
      <w:r>
        <w:rPr>
          <w:color w:val="auto"/>
        </w:rPr>
        <w:t>组合</w:t>
      </w:r>
      <w:r>
        <w:rPr>
          <w:rFonts w:hint="eastAsia"/>
          <w:color w:val="auto"/>
        </w:rPr>
        <w:t>平，灵活</w:t>
      </w:r>
      <w:r>
        <w:rPr>
          <w:color w:val="auto"/>
        </w:rPr>
        <w:t>宣传形式</w:t>
      </w:r>
      <w:r>
        <w:rPr>
          <w:rFonts w:hint="eastAsia"/>
          <w:color w:val="auto"/>
        </w:rPr>
        <w:t>；深化新媒体推广，加大旅游信息推送和旅游产品推广。构建旅游惠民长效机制，全方位推广来阜平的职工疗休养，全面落实对特殊人群的优惠政策，探索</w:t>
      </w:r>
      <w:r>
        <w:rPr>
          <w:color w:val="auto"/>
        </w:rPr>
        <w:t>区域化、长期</w:t>
      </w:r>
      <w:r>
        <w:rPr>
          <w:rFonts w:hint="eastAsia"/>
          <w:color w:val="auto"/>
        </w:rPr>
        <w:t>化</w:t>
      </w:r>
      <w:r>
        <w:rPr>
          <w:color w:val="auto"/>
        </w:rPr>
        <w:t>、多次</w:t>
      </w:r>
      <w:r>
        <w:rPr>
          <w:rFonts w:hint="eastAsia"/>
          <w:color w:val="auto"/>
        </w:rPr>
        <w:t>化</w:t>
      </w:r>
      <w:r>
        <w:rPr>
          <w:color w:val="auto"/>
        </w:rPr>
        <w:t>旅游消费新模式</w:t>
      </w:r>
      <w:r>
        <w:rPr>
          <w:rFonts w:hint="eastAsia"/>
          <w:color w:val="auto"/>
        </w:rPr>
        <w:t>。</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highlight w:val="yellow"/>
              </w:rPr>
            </w:pPr>
            <w:r>
              <w:rPr>
                <w:rFonts w:hint="eastAsia" w:ascii="黑体" w:hAnsi="黑体" w:eastAsia="黑体"/>
                <w:color w:val="auto"/>
                <w:sz w:val="24"/>
                <w:szCs w:val="28"/>
              </w:rPr>
              <w:t>专栏3-</w:t>
            </w:r>
            <w:r>
              <w:rPr>
                <w:rFonts w:ascii="黑体" w:hAnsi="黑体" w:eastAsia="黑体"/>
                <w:color w:val="auto"/>
                <w:sz w:val="24"/>
                <w:szCs w:val="28"/>
              </w:rPr>
              <w:t xml:space="preserve">4 </w:t>
            </w:r>
            <w:r>
              <w:rPr>
                <w:rFonts w:hint="eastAsia" w:ascii="黑体" w:hAnsi="黑体" w:eastAsia="黑体"/>
                <w:color w:val="auto"/>
                <w:sz w:val="24"/>
                <w:szCs w:val="28"/>
              </w:rPr>
              <w:t>全域</w:t>
            </w:r>
            <w:r>
              <w:rPr>
                <w:rFonts w:ascii="黑体" w:hAnsi="黑体" w:eastAsia="黑体"/>
                <w:color w:val="auto"/>
                <w:sz w:val="24"/>
                <w:szCs w:val="28"/>
              </w:rPr>
              <w:t>旅游</w:t>
            </w:r>
            <w:r>
              <w:rPr>
                <w:rFonts w:hint="eastAsia" w:ascii="黑体" w:hAnsi="黑体" w:eastAsia="黑体"/>
                <w:color w:val="auto"/>
                <w:sz w:val="24"/>
                <w:szCs w:val="28"/>
              </w:rPr>
              <w:t>示范</w:t>
            </w:r>
            <w:r>
              <w:rPr>
                <w:rFonts w:ascii="黑体" w:hAnsi="黑体" w:eastAsia="黑体"/>
                <w:color w:val="auto"/>
                <w:sz w:val="24"/>
                <w:szCs w:val="28"/>
              </w:rPr>
              <w:t>提升</w:t>
            </w:r>
            <w:r>
              <w:rPr>
                <w:rFonts w:hint="eastAsia" w:ascii="黑体" w:hAnsi="黑体" w:eastAsia="黑体"/>
                <w:color w:val="auto"/>
                <w:sz w:val="24"/>
                <w:szCs w:val="28"/>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1.仙人山景区提升工程</w:t>
            </w:r>
            <w:r>
              <w:rPr>
                <w:rFonts w:hint="eastAsia" w:ascii="仿宋_GB2312" w:eastAsia="仿宋_GB2312"/>
                <w:bCs/>
                <w:color w:val="auto"/>
                <w:sz w:val="24"/>
                <w:szCs w:val="28"/>
              </w:rPr>
              <w:t>。计划总占地2000亩，建筑面积约24000平方米，建设游客服务中心、罗家古村、鸡蛋石民俗、葫芦套接待中心、千年古松景区接待中心，同时进行场地平整及水电路配套设施建设。工程</w:t>
            </w:r>
            <w:r>
              <w:rPr>
                <w:rFonts w:ascii="仿宋_GB2312" w:eastAsia="仿宋_GB2312"/>
                <w:bCs/>
                <w:color w:val="auto"/>
                <w:sz w:val="24"/>
                <w:szCs w:val="28"/>
              </w:rPr>
              <w:t>估算</w:t>
            </w:r>
            <w:r>
              <w:rPr>
                <w:rFonts w:hint="eastAsia" w:ascii="仿宋_GB2312" w:eastAsia="仿宋_GB2312"/>
                <w:bCs/>
                <w:color w:val="auto"/>
                <w:sz w:val="24"/>
                <w:szCs w:val="28"/>
              </w:rPr>
              <w:t>总投资</w:t>
            </w:r>
            <w:r>
              <w:rPr>
                <w:rFonts w:ascii="仿宋_GB2312" w:eastAsia="仿宋_GB2312"/>
                <w:bCs/>
                <w:color w:val="auto"/>
                <w:sz w:val="24"/>
                <w:szCs w:val="28"/>
              </w:rPr>
              <w:t>3</w:t>
            </w:r>
            <w:r>
              <w:rPr>
                <w:rFonts w:hint="eastAsia" w:ascii="仿宋_GB2312" w:eastAsia="仿宋_GB2312"/>
                <w:bCs/>
                <w:color w:val="auto"/>
                <w:sz w:val="24"/>
                <w:szCs w:val="28"/>
              </w:rPr>
              <w:t>亿元。</w:t>
            </w:r>
          </w:p>
          <w:p>
            <w:pPr>
              <w:adjustRightInd w:val="0"/>
              <w:snapToGrid w:val="0"/>
              <w:ind w:firstLine="482"/>
              <w:rPr>
                <w:rFonts w:ascii="仿宋_GB2312" w:eastAsia="仿宋_GB2312"/>
                <w:bCs/>
                <w:color w:val="auto"/>
                <w:sz w:val="24"/>
                <w:szCs w:val="28"/>
              </w:rPr>
            </w:pPr>
            <w:r>
              <w:rPr>
                <w:rFonts w:ascii="仿宋_GB2312" w:eastAsia="仿宋_GB2312"/>
                <w:b/>
                <w:bCs/>
                <w:color w:val="auto"/>
                <w:sz w:val="24"/>
                <w:szCs w:val="28"/>
              </w:rPr>
              <w:t>2</w:t>
            </w:r>
            <w:r>
              <w:rPr>
                <w:rFonts w:hint="eastAsia" w:ascii="仿宋_GB2312" w:eastAsia="仿宋_GB2312"/>
                <w:b/>
                <w:bCs/>
                <w:color w:val="auto"/>
                <w:sz w:val="24"/>
                <w:szCs w:val="28"/>
              </w:rPr>
              <w:t>.天生桥景区核心区5A创建工程</w:t>
            </w:r>
            <w:r>
              <w:rPr>
                <w:rFonts w:hint="eastAsia" w:ascii="仿宋_GB2312" w:eastAsia="仿宋_GB2312"/>
                <w:bCs/>
                <w:color w:val="auto"/>
                <w:sz w:val="24"/>
                <w:szCs w:val="28"/>
              </w:rPr>
              <w:t>。项目</w:t>
            </w:r>
            <w:r>
              <w:rPr>
                <w:rFonts w:ascii="仿宋_GB2312" w:eastAsia="仿宋_GB2312"/>
                <w:bCs/>
                <w:color w:val="auto"/>
                <w:sz w:val="24"/>
                <w:szCs w:val="28"/>
              </w:rPr>
              <w:t>位于</w:t>
            </w:r>
            <w:r>
              <w:rPr>
                <w:rFonts w:hint="eastAsia" w:ascii="仿宋_GB2312" w:eastAsia="仿宋_GB2312"/>
                <w:bCs/>
                <w:color w:val="auto"/>
                <w:sz w:val="24"/>
                <w:szCs w:val="28"/>
              </w:rPr>
              <w:t>天生桥景区核心园区，</w:t>
            </w:r>
            <w:r>
              <w:rPr>
                <w:rFonts w:ascii="仿宋_GB2312" w:eastAsia="仿宋_GB2312"/>
                <w:bCs/>
                <w:color w:val="auto"/>
                <w:sz w:val="24"/>
                <w:szCs w:val="28"/>
              </w:rPr>
              <w:t>建设内容包括</w:t>
            </w:r>
            <w:r>
              <w:rPr>
                <w:rFonts w:hint="eastAsia" w:ascii="仿宋_GB2312" w:eastAsia="仿宋_GB2312"/>
                <w:bCs/>
                <w:color w:val="auto"/>
                <w:sz w:val="24"/>
                <w:szCs w:val="28"/>
              </w:rPr>
              <w:t>景区综合服务中心、九瀑观光游览区、生态科普教育区、森林游乐体验区、户外休闲度假区等。工程</w:t>
            </w:r>
            <w:r>
              <w:rPr>
                <w:rFonts w:ascii="仿宋_GB2312" w:eastAsia="仿宋_GB2312"/>
                <w:bCs/>
                <w:color w:val="auto"/>
                <w:sz w:val="24"/>
                <w:szCs w:val="28"/>
              </w:rPr>
              <w:t>估算总投资11.23</w:t>
            </w:r>
            <w:r>
              <w:rPr>
                <w:rFonts w:hint="eastAsia" w:ascii="仿宋_GB2312" w:eastAsia="仿宋_GB2312"/>
                <w:bCs/>
                <w:color w:val="auto"/>
                <w:sz w:val="24"/>
                <w:szCs w:val="28"/>
              </w:rPr>
              <w:t>亿元</w:t>
            </w:r>
            <w:r>
              <w:rPr>
                <w:rFonts w:ascii="仿宋_GB2312" w:eastAsia="仿宋_GB2312"/>
                <w:bCs/>
                <w:color w:val="auto"/>
                <w:sz w:val="24"/>
                <w:szCs w:val="28"/>
              </w:rPr>
              <w:t>。</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3.阜平</w:t>
            </w:r>
            <w:r>
              <w:rPr>
                <w:rFonts w:ascii="仿宋_GB2312" w:eastAsia="仿宋_GB2312"/>
                <w:b/>
                <w:bCs/>
                <w:color w:val="auto"/>
                <w:sz w:val="24"/>
                <w:szCs w:val="28"/>
              </w:rPr>
              <w:t>镇链式旅游提升工程</w:t>
            </w:r>
            <w:r>
              <w:rPr>
                <w:rFonts w:hint="eastAsia" w:ascii="仿宋_GB2312" w:eastAsia="仿宋_GB2312"/>
                <w:bCs/>
                <w:color w:val="auto"/>
                <w:sz w:val="24"/>
                <w:szCs w:val="28"/>
              </w:rPr>
              <w:t>。集中</w:t>
            </w:r>
            <w:r>
              <w:rPr>
                <w:rFonts w:ascii="仿宋_GB2312" w:eastAsia="仿宋_GB2312"/>
                <w:bCs/>
                <w:color w:val="auto"/>
                <w:sz w:val="24"/>
                <w:szCs w:val="28"/>
              </w:rPr>
              <w:t>打造</w:t>
            </w:r>
            <w:r>
              <w:rPr>
                <w:rFonts w:hint="eastAsia" w:ascii="仿宋_GB2312" w:eastAsia="仿宋_GB2312"/>
                <w:bCs/>
                <w:color w:val="auto"/>
                <w:sz w:val="24"/>
                <w:szCs w:val="28"/>
              </w:rPr>
              <w:t>形成链式旅游发展三大体系：一是打造白河小天井沟、苍山石佛堂、海岩水库、大道农业生态示范园及公路沿线生态旅游发展线路；二是以柳树底村为中心辐射，带动照旺台、土岭等周边村的城镇休闲、健身“后花园”；三是以乡村振兴为纽带，形成以易地扶贫搬迁为特色的乡村振兴示范区。工程</w:t>
            </w:r>
            <w:r>
              <w:rPr>
                <w:rFonts w:ascii="仿宋_GB2312" w:eastAsia="仿宋_GB2312"/>
                <w:bCs/>
                <w:color w:val="auto"/>
                <w:sz w:val="24"/>
                <w:szCs w:val="28"/>
              </w:rPr>
              <w:t>估算总投资</w:t>
            </w:r>
            <w:r>
              <w:rPr>
                <w:rFonts w:hint="eastAsia" w:ascii="仿宋_GB2312" w:eastAsia="仿宋_GB2312"/>
                <w:bCs/>
                <w:color w:val="auto"/>
                <w:sz w:val="24"/>
                <w:szCs w:val="28"/>
              </w:rPr>
              <w:t>3.5亿元</w:t>
            </w:r>
            <w:r>
              <w:rPr>
                <w:rFonts w:ascii="仿宋_GB2312" w:eastAsia="仿宋_GB2312"/>
                <w:bCs/>
                <w:color w:val="auto"/>
                <w:sz w:val="24"/>
                <w:szCs w:val="28"/>
              </w:rPr>
              <w:t>。</w:t>
            </w:r>
          </w:p>
          <w:p>
            <w:pPr>
              <w:adjustRightInd w:val="0"/>
              <w:snapToGrid w:val="0"/>
              <w:ind w:firstLine="482"/>
              <w:rPr>
                <w:rFonts w:ascii="仿宋_GB2312" w:eastAsia="仿宋_GB2312"/>
                <w:bCs/>
                <w:color w:val="auto"/>
                <w:sz w:val="24"/>
                <w:szCs w:val="28"/>
              </w:rPr>
            </w:pPr>
            <w:r>
              <w:rPr>
                <w:rFonts w:ascii="仿宋_GB2312" w:eastAsia="仿宋_GB2312"/>
                <w:b/>
                <w:bCs/>
                <w:color w:val="auto"/>
                <w:sz w:val="24"/>
                <w:szCs w:val="28"/>
              </w:rPr>
              <w:t>4</w:t>
            </w:r>
            <w:r>
              <w:rPr>
                <w:rFonts w:hint="eastAsia" w:ascii="仿宋_GB2312" w:eastAsia="仿宋_GB2312"/>
                <w:b/>
                <w:bCs/>
                <w:color w:val="auto"/>
                <w:sz w:val="24"/>
                <w:szCs w:val="28"/>
              </w:rPr>
              <w:t>.云花溪谷总服务区二期配套工程</w:t>
            </w:r>
            <w:r>
              <w:rPr>
                <w:rFonts w:hint="eastAsia" w:ascii="仿宋_GB2312" w:eastAsia="仿宋_GB2312"/>
                <w:bCs/>
                <w:color w:val="auto"/>
                <w:sz w:val="24"/>
                <w:szCs w:val="28"/>
              </w:rPr>
              <w:t>。项目占地面积60亩，建筑面积约25000平方米</w:t>
            </w:r>
            <w:r>
              <w:rPr>
                <w:rFonts w:hint="eastAsia" w:ascii="Batang" w:hAnsi="Batang" w:cs="Batang" w:eastAsiaTheme="minorEastAsia"/>
                <w:bCs/>
                <w:color w:val="auto"/>
                <w:sz w:val="24"/>
                <w:szCs w:val="28"/>
              </w:rPr>
              <w:t>，</w:t>
            </w:r>
            <w:r>
              <w:rPr>
                <w:rFonts w:hint="eastAsia" w:ascii="仿宋_GB2312" w:eastAsia="仿宋_GB2312"/>
                <w:bCs/>
                <w:color w:val="auto"/>
                <w:sz w:val="24"/>
                <w:szCs w:val="28"/>
              </w:rPr>
              <w:t>建设内容主要包括文化旅游商业街区、特色小吃、非遗文化体验、网红民宿、网红书店、精品主题客栈等。</w:t>
            </w:r>
            <w:r>
              <w:rPr>
                <w:rFonts w:ascii="仿宋_GB2312" w:eastAsia="仿宋_GB2312"/>
                <w:bCs/>
                <w:color w:val="auto"/>
                <w:sz w:val="24"/>
                <w:szCs w:val="28"/>
              </w:rPr>
              <w:t>项目估算总投资2</w:t>
            </w:r>
            <w:r>
              <w:rPr>
                <w:rFonts w:hint="eastAsia" w:ascii="仿宋_GB2312" w:eastAsia="仿宋_GB2312"/>
                <w:bCs/>
                <w:color w:val="auto"/>
                <w:sz w:val="24"/>
                <w:szCs w:val="28"/>
              </w:rPr>
              <w:t>亿元</w:t>
            </w:r>
            <w:r>
              <w:rPr>
                <w:rFonts w:ascii="仿宋_GB2312" w:eastAsia="仿宋_GB2312"/>
                <w:bCs/>
                <w:color w:val="auto"/>
                <w:sz w:val="24"/>
                <w:szCs w:val="28"/>
              </w:rPr>
              <w:t>。</w:t>
            </w:r>
          </w:p>
          <w:p>
            <w:pPr>
              <w:adjustRightInd w:val="0"/>
              <w:snapToGrid w:val="0"/>
              <w:ind w:firstLine="482"/>
              <w:rPr>
                <w:rFonts w:ascii="仿宋_GB2312" w:eastAsia="仿宋_GB2312"/>
                <w:bCs/>
                <w:color w:val="auto"/>
                <w:sz w:val="24"/>
                <w:szCs w:val="28"/>
              </w:rPr>
            </w:pPr>
            <w:r>
              <w:rPr>
                <w:rFonts w:ascii="仿宋_GB2312" w:eastAsia="仿宋_GB2312"/>
                <w:b/>
                <w:bCs/>
                <w:color w:val="auto"/>
                <w:sz w:val="24"/>
                <w:szCs w:val="28"/>
              </w:rPr>
              <w:t>5</w:t>
            </w:r>
            <w:r>
              <w:rPr>
                <w:rFonts w:hint="eastAsia" w:ascii="仿宋_GB2312" w:eastAsia="仿宋_GB2312"/>
                <w:b/>
                <w:bCs/>
                <w:color w:val="auto"/>
                <w:sz w:val="24"/>
                <w:szCs w:val="28"/>
              </w:rPr>
              <w:t>.云水禅心禅意度假综合体项目</w:t>
            </w:r>
            <w:r>
              <w:rPr>
                <w:rFonts w:hint="eastAsia" w:ascii="仿宋_GB2312" w:eastAsia="仿宋_GB2312"/>
                <w:bCs/>
                <w:color w:val="auto"/>
                <w:sz w:val="24"/>
                <w:szCs w:val="28"/>
              </w:rPr>
              <w:t>。项目占地面积117亩，建筑面积约84000平方米，建设内容主要</w:t>
            </w:r>
            <w:r>
              <w:rPr>
                <w:rFonts w:ascii="仿宋_GB2312" w:eastAsia="仿宋_GB2312"/>
                <w:bCs/>
                <w:color w:val="auto"/>
                <w:sz w:val="24"/>
                <w:szCs w:val="28"/>
              </w:rPr>
              <w:t>包括</w:t>
            </w:r>
            <w:r>
              <w:rPr>
                <w:rFonts w:hint="eastAsia" w:ascii="仿宋_GB2312" w:eastAsia="仿宋_GB2312"/>
                <w:bCs/>
                <w:color w:val="auto"/>
                <w:sz w:val="24"/>
                <w:szCs w:val="28"/>
              </w:rPr>
              <w:t>禅意度假区、特色商街、特色居民区、酒店公寓、滨河景观区等。</w:t>
            </w:r>
            <w:r>
              <w:rPr>
                <w:rFonts w:ascii="仿宋_GB2312" w:eastAsia="仿宋_GB2312"/>
                <w:bCs/>
                <w:color w:val="auto"/>
                <w:sz w:val="24"/>
                <w:szCs w:val="28"/>
              </w:rPr>
              <w:t>项目估算总投资4</w:t>
            </w:r>
            <w:r>
              <w:rPr>
                <w:rFonts w:hint="eastAsia" w:ascii="仿宋_GB2312" w:eastAsia="仿宋_GB2312"/>
                <w:bCs/>
                <w:color w:val="auto"/>
                <w:sz w:val="24"/>
                <w:szCs w:val="28"/>
              </w:rPr>
              <w:t>亿元</w:t>
            </w:r>
            <w:r>
              <w:rPr>
                <w:rFonts w:ascii="仿宋_GB2312" w:eastAsia="仿宋_GB2312"/>
                <w:bCs/>
                <w:color w:val="auto"/>
                <w:sz w:val="24"/>
                <w:szCs w:val="28"/>
              </w:rPr>
              <w:t>。</w:t>
            </w:r>
          </w:p>
          <w:p>
            <w:pPr>
              <w:adjustRightInd w:val="0"/>
              <w:snapToGrid w:val="0"/>
              <w:ind w:firstLine="482"/>
              <w:rPr>
                <w:rFonts w:ascii="仿宋_GB2312" w:eastAsia="仿宋_GB2312"/>
                <w:bCs/>
                <w:color w:val="auto"/>
                <w:sz w:val="24"/>
                <w:szCs w:val="28"/>
              </w:rPr>
            </w:pPr>
            <w:r>
              <w:rPr>
                <w:rFonts w:ascii="仿宋_GB2312" w:eastAsia="仿宋_GB2312"/>
                <w:b/>
                <w:bCs/>
                <w:color w:val="auto"/>
                <w:sz w:val="24"/>
                <w:szCs w:val="28"/>
              </w:rPr>
              <w:t>6</w:t>
            </w:r>
            <w:r>
              <w:rPr>
                <w:rFonts w:hint="eastAsia" w:ascii="仿宋_GB2312" w:eastAsia="仿宋_GB2312"/>
                <w:b/>
                <w:bCs/>
                <w:color w:val="auto"/>
                <w:sz w:val="24"/>
                <w:szCs w:val="28"/>
              </w:rPr>
              <w:t>.印钞石教授村文化康养旅游项目</w:t>
            </w:r>
            <w:r>
              <w:rPr>
                <w:rFonts w:hint="eastAsia" w:ascii="仿宋_GB2312" w:eastAsia="仿宋_GB2312"/>
                <w:bCs/>
                <w:color w:val="auto"/>
                <w:sz w:val="24"/>
                <w:szCs w:val="28"/>
              </w:rPr>
              <w:t>。</w:t>
            </w:r>
            <w:r>
              <w:rPr>
                <w:rFonts w:ascii="仿宋_GB2312" w:eastAsia="仿宋_GB2312"/>
                <w:bCs/>
                <w:color w:val="auto"/>
                <w:sz w:val="24"/>
                <w:szCs w:val="28"/>
              </w:rPr>
              <w:t>位于</w:t>
            </w:r>
            <w:r>
              <w:rPr>
                <w:rFonts w:hint="eastAsia" w:ascii="仿宋_GB2312" w:eastAsia="仿宋_GB2312"/>
                <w:bCs/>
                <w:color w:val="auto"/>
                <w:sz w:val="24"/>
                <w:szCs w:val="28"/>
              </w:rPr>
              <w:t>搬迁后的窑沟村和印钞石村，集中建设约1.5万平方米村民住宅，改善村民住房和村庄环境。建设经营性民宿，用于引进人才和提高集体、村民收入；配套建设专家教授住房、学生</w:t>
            </w:r>
            <w:r>
              <w:rPr>
                <w:rFonts w:ascii="仿宋_GB2312" w:eastAsia="仿宋_GB2312"/>
                <w:bCs/>
                <w:color w:val="auto"/>
                <w:sz w:val="24"/>
                <w:szCs w:val="28"/>
              </w:rPr>
              <w:t>公寓</w:t>
            </w:r>
            <w:r>
              <w:rPr>
                <w:rFonts w:hint="eastAsia" w:ascii="仿宋_GB2312" w:eastAsia="仿宋_GB2312"/>
                <w:bCs/>
                <w:color w:val="auto"/>
                <w:sz w:val="24"/>
                <w:szCs w:val="28"/>
              </w:rPr>
              <w:t>、展览大厅、多功能教室和服务设施，打造漫步道、绿化、美化、亮化工程等，形成多色彩多角度的实景绘画、影视拍摄基地。项目估算</w:t>
            </w:r>
            <w:r>
              <w:rPr>
                <w:rFonts w:ascii="仿宋_GB2312" w:eastAsia="仿宋_GB2312"/>
                <w:bCs/>
                <w:color w:val="auto"/>
                <w:sz w:val="24"/>
                <w:szCs w:val="28"/>
              </w:rPr>
              <w:t>总投资</w:t>
            </w:r>
            <w:r>
              <w:rPr>
                <w:rFonts w:hint="eastAsia" w:ascii="仿宋_GB2312" w:eastAsia="仿宋_GB2312"/>
                <w:bCs/>
                <w:color w:val="auto"/>
                <w:sz w:val="24"/>
                <w:szCs w:val="28"/>
              </w:rPr>
              <w:t>0.9亿元</w:t>
            </w:r>
            <w:r>
              <w:rPr>
                <w:rFonts w:ascii="仿宋_GB2312" w:eastAsia="仿宋_GB2312"/>
                <w:bCs/>
                <w:color w:val="auto"/>
                <w:sz w:val="24"/>
                <w:szCs w:val="28"/>
              </w:rPr>
              <w:t>。</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7.七十六拐天路生态旅游开发</w:t>
            </w:r>
            <w:r>
              <w:rPr>
                <w:rFonts w:ascii="仿宋_GB2312" w:eastAsia="仿宋_GB2312"/>
                <w:b/>
                <w:bCs/>
                <w:color w:val="auto"/>
                <w:sz w:val="24"/>
                <w:szCs w:val="28"/>
              </w:rPr>
              <w:t>项目</w:t>
            </w:r>
            <w:r>
              <w:rPr>
                <w:rFonts w:hint="eastAsia" w:ascii="仿宋_GB2312" w:eastAsia="仿宋_GB2312"/>
                <w:bCs/>
                <w:color w:val="auto"/>
                <w:sz w:val="24"/>
                <w:szCs w:val="28"/>
              </w:rPr>
              <w:t>。在段庄至铁岭口路段因地制宜配套</w:t>
            </w:r>
            <w:r>
              <w:rPr>
                <w:rFonts w:ascii="仿宋_GB2312" w:eastAsia="仿宋_GB2312"/>
                <w:bCs/>
                <w:color w:val="auto"/>
                <w:sz w:val="24"/>
                <w:szCs w:val="28"/>
              </w:rPr>
              <w:t>建设</w:t>
            </w:r>
            <w:r>
              <w:rPr>
                <w:rFonts w:hint="eastAsia" w:ascii="仿宋_GB2312" w:eastAsia="仿宋_GB2312"/>
                <w:bCs/>
                <w:color w:val="auto"/>
                <w:sz w:val="24"/>
                <w:szCs w:val="28"/>
              </w:rPr>
              <w:t>驿站、停车场、路边景观，打造荒山绿化、亮化、河道景观点</w:t>
            </w:r>
            <w:r>
              <w:rPr>
                <w:rFonts w:ascii="仿宋_GB2312" w:eastAsia="仿宋_GB2312"/>
                <w:bCs/>
                <w:color w:val="auto"/>
                <w:sz w:val="24"/>
                <w:szCs w:val="28"/>
              </w:rPr>
              <w:t>，实施提升民宿</w:t>
            </w:r>
            <w:r>
              <w:rPr>
                <w:rFonts w:hint="eastAsia" w:ascii="仿宋_GB2312" w:eastAsia="仿宋_GB2312"/>
                <w:bCs/>
                <w:color w:val="auto"/>
                <w:sz w:val="24"/>
                <w:szCs w:val="28"/>
              </w:rPr>
              <w:t>改造提升工程等</w:t>
            </w:r>
            <w:r>
              <w:rPr>
                <w:rFonts w:ascii="仿宋_GB2312" w:eastAsia="仿宋_GB2312"/>
                <w:bCs/>
                <w:color w:val="auto"/>
                <w:sz w:val="24"/>
                <w:szCs w:val="28"/>
              </w:rPr>
              <w:t>。</w:t>
            </w:r>
            <w:r>
              <w:rPr>
                <w:rFonts w:hint="eastAsia" w:ascii="仿宋_GB2312" w:eastAsia="仿宋_GB2312"/>
                <w:bCs/>
                <w:color w:val="auto"/>
                <w:sz w:val="24"/>
                <w:szCs w:val="28"/>
              </w:rPr>
              <w:t>估算</w:t>
            </w:r>
            <w:r>
              <w:rPr>
                <w:rFonts w:ascii="仿宋_GB2312" w:eastAsia="仿宋_GB2312"/>
                <w:bCs/>
                <w:color w:val="auto"/>
                <w:sz w:val="24"/>
                <w:szCs w:val="28"/>
              </w:rPr>
              <w:t>总投资</w:t>
            </w:r>
            <w:r>
              <w:rPr>
                <w:rFonts w:hint="eastAsia" w:ascii="仿宋_GB2312" w:eastAsia="仿宋_GB2312"/>
                <w:bCs/>
                <w:color w:val="auto"/>
                <w:sz w:val="24"/>
                <w:szCs w:val="28"/>
              </w:rPr>
              <w:t>0.8亿元</w:t>
            </w:r>
            <w:r>
              <w:rPr>
                <w:rFonts w:ascii="仿宋_GB2312" w:eastAsia="仿宋_GB2312"/>
                <w:bCs/>
                <w:color w:val="auto"/>
                <w:sz w:val="24"/>
                <w:szCs w:val="28"/>
              </w:rPr>
              <w:t>。</w:t>
            </w:r>
          </w:p>
        </w:tc>
      </w:tr>
    </w:tbl>
    <w:p>
      <w:pPr>
        <w:pStyle w:val="4"/>
        <w:numPr>
          <w:ilvl w:val="0"/>
          <w:numId w:val="0"/>
        </w:numPr>
        <w:ind w:left="643"/>
        <w:rPr>
          <w:color w:val="auto"/>
        </w:rPr>
      </w:pPr>
      <w:r>
        <w:rPr>
          <w:rFonts w:hint="eastAsia"/>
          <w:color w:val="auto"/>
        </w:rPr>
        <w:t>二</w:t>
      </w:r>
      <w:r>
        <w:rPr>
          <w:color w:val="auto"/>
        </w:rPr>
        <w:t>、</w:t>
      </w:r>
      <w:r>
        <w:rPr>
          <w:rFonts w:hint="eastAsia"/>
          <w:color w:val="auto"/>
        </w:rPr>
        <w:t>实施生态康养培育工程</w:t>
      </w:r>
    </w:p>
    <w:p>
      <w:pPr>
        <w:ind w:firstLine="562"/>
        <w:rPr>
          <w:color w:val="auto"/>
        </w:rPr>
      </w:pPr>
      <w:r>
        <w:rPr>
          <w:rFonts w:hint="eastAsia"/>
          <w:b/>
          <w:color w:val="auto"/>
        </w:rPr>
        <w:t>引进和培育医养专业机构</w:t>
      </w:r>
      <w:r>
        <w:rPr>
          <w:rFonts w:hint="eastAsia"/>
          <w:color w:val="auto"/>
        </w:rPr>
        <w:t>。挖掘特色医疗卫生资源，推动康养、医养、寿养服务平台和产业布局，增强旅游扩容能力。以</w:t>
      </w:r>
      <w:r>
        <w:rPr>
          <w:color w:val="auto"/>
        </w:rPr>
        <w:t>强化</w:t>
      </w:r>
      <w:r>
        <w:rPr>
          <w:rFonts w:hint="eastAsia"/>
          <w:color w:val="auto"/>
        </w:rPr>
        <w:t>县中医院</w:t>
      </w:r>
      <w:r>
        <w:rPr>
          <w:color w:val="auto"/>
        </w:rPr>
        <w:t>特色专业为基础，</w:t>
      </w:r>
      <w:r>
        <w:rPr>
          <w:rFonts w:hint="eastAsia"/>
          <w:color w:val="auto"/>
        </w:rPr>
        <w:t>积极寻求与京津地区合作，引进一批健康管理机构和康复疗养院，鼓励支持社会资本举办各类中医养生机构、心理咨询机构、健康管理机构、康复医学中心等，培育一批服务整合连续、技术水平过硬、标准规范健全的高水平特殊治疗机构。加快中医、康复、疗养服务体系建设，为康养产业发展提供专业支撑。</w:t>
      </w:r>
    </w:p>
    <w:p>
      <w:pPr>
        <w:ind w:firstLine="562"/>
        <w:rPr>
          <w:color w:val="auto"/>
        </w:rPr>
      </w:pPr>
      <w:r>
        <w:rPr>
          <w:rFonts w:hint="eastAsia"/>
          <w:b/>
          <w:color w:val="auto"/>
        </w:rPr>
        <w:t>构建多样化</w:t>
      </w:r>
      <w:r>
        <w:rPr>
          <w:b/>
          <w:color w:val="auto"/>
        </w:rPr>
        <w:t>康养</w:t>
      </w:r>
      <w:r>
        <w:rPr>
          <w:rFonts w:hint="eastAsia"/>
          <w:b/>
          <w:color w:val="auto"/>
        </w:rPr>
        <w:t>服务体系</w:t>
      </w:r>
      <w:r>
        <w:rPr>
          <w:color w:val="auto"/>
        </w:rPr>
        <w:t>。</w:t>
      </w:r>
      <w:r>
        <w:rPr>
          <w:rFonts w:hint="eastAsia"/>
          <w:color w:val="auto"/>
        </w:rPr>
        <w:t>发挥</w:t>
      </w:r>
      <w:r>
        <w:rPr>
          <w:color w:val="auto"/>
        </w:rPr>
        <w:t>农业</w:t>
      </w:r>
      <w:r>
        <w:rPr>
          <w:rFonts w:hint="eastAsia"/>
          <w:color w:val="auto"/>
        </w:rPr>
        <w:t>基础</w:t>
      </w:r>
      <w:r>
        <w:rPr>
          <w:color w:val="auto"/>
        </w:rPr>
        <w:t>优势，</w:t>
      </w:r>
      <w:r>
        <w:rPr>
          <w:rFonts w:hint="eastAsia"/>
          <w:color w:val="auto"/>
        </w:rPr>
        <w:t>打造山地和河流生态景观带，推动特色农业与养老养生、休闲旅游等融合发展。大力推动森林康养、温泉康养</w:t>
      </w:r>
      <w:r>
        <w:rPr>
          <w:color w:val="auto"/>
        </w:rPr>
        <w:t>、</w:t>
      </w:r>
      <w:r>
        <w:rPr>
          <w:rFonts w:hint="eastAsia"/>
          <w:color w:val="auto"/>
        </w:rPr>
        <w:t>中医理疗</w:t>
      </w:r>
      <w:r>
        <w:rPr>
          <w:color w:val="auto"/>
        </w:rPr>
        <w:t>、慢病康养、</w:t>
      </w:r>
      <w:r>
        <w:rPr>
          <w:rFonts w:hint="eastAsia"/>
          <w:color w:val="auto"/>
        </w:rPr>
        <w:t>旅居</w:t>
      </w:r>
      <w:r>
        <w:rPr>
          <w:color w:val="auto"/>
        </w:rPr>
        <w:t>养老</w:t>
      </w:r>
      <w:r>
        <w:rPr>
          <w:rFonts w:hint="eastAsia"/>
          <w:color w:val="auto"/>
        </w:rPr>
        <w:t>等健康养生产业，户外运动、体育竞技等健康运动产业，加快</w:t>
      </w:r>
      <w:r>
        <w:rPr>
          <w:color w:val="auto"/>
        </w:rPr>
        <w:t>产业融合和内容拓展</w:t>
      </w:r>
      <w:r>
        <w:rPr>
          <w:rFonts w:hint="eastAsia"/>
          <w:color w:val="auto"/>
        </w:rPr>
        <w:t>；培育发展健康体检、专业护理、康复保健、健康咨询等专业健康服务。创新发展养老服务，积极开展养老机构远程医疗服务试点，开展远程卒中急救等相关业务；加快康养产业信息化发展，推动健康咨询、第三方健康管理等健康服务产业进阜平。</w:t>
      </w:r>
    </w:p>
    <w:p>
      <w:pPr>
        <w:pStyle w:val="4"/>
        <w:numPr>
          <w:ilvl w:val="0"/>
          <w:numId w:val="0"/>
        </w:numPr>
        <w:ind w:left="643"/>
        <w:rPr>
          <w:color w:val="auto"/>
        </w:rPr>
      </w:pPr>
      <w:r>
        <w:rPr>
          <w:rFonts w:hint="eastAsia"/>
          <w:color w:val="auto"/>
        </w:rPr>
        <w:t>三</w:t>
      </w:r>
      <w:r>
        <w:rPr>
          <w:color w:val="auto"/>
        </w:rPr>
        <w:t>、</w:t>
      </w:r>
      <w:r>
        <w:rPr>
          <w:rFonts w:hint="eastAsia"/>
          <w:color w:val="auto"/>
        </w:rPr>
        <w:t>实施文化</w:t>
      </w:r>
      <w:r>
        <w:rPr>
          <w:color w:val="auto"/>
        </w:rPr>
        <w:t>产业</w:t>
      </w:r>
      <w:r>
        <w:rPr>
          <w:rFonts w:hint="eastAsia"/>
          <w:color w:val="auto"/>
        </w:rPr>
        <w:t>延伸工程</w:t>
      </w:r>
    </w:p>
    <w:p>
      <w:pPr>
        <w:ind w:firstLine="562"/>
        <w:rPr>
          <w:color w:val="auto"/>
        </w:rPr>
      </w:pPr>
      <w:r>
        <w:rPr>
          <w:rFonts w:hint="eastAsia"/>
          <w:b/>
          <w:color w:val="auto"/>
        </w:rPr>
        <w:t>大力发展民族民间工艺品加工业</w:t>
      </w:r>
      <w:r>
        <w:rPr>
          <w:rFonts w:hint="eastAsia"/>
          <w:color w:val="auto"/>
        </w:rPr>
        <w:t>。坚持保护开发并重，在保护前提下，充分利用阜平县独具特色的历史文化、民俗文化、红色文化，以及古文献典籍，民俗器乐，传统生产生活用具、服饰，新创作的音乐舞蹈产品、图书、画册等，依托旅游市场，积极开发以旅游者为主要消费对象的工艺品、纪念品，逐步壮大民族民间工艺品加工业。</w:t>
      </w:r>
    </w:p>
    <w:p>
      <w:pPr>
        <w:ind w:firstLine="562"/>
        <w:rPr>
          <w:color w:val="auto"/>
        </w:rPr>
      </w:pPr>
      <w:r>
        <w:rPr>
          <w:rFonts w:hint="eastAsia"/>
          <w:b/>
          <w:color w:val="auto"/>
        </w:rPr>
        <w:t>加快发展多类型节庆演艺会展业</w:t>
      </w:r>
      <w:r>
        <w:rPr>
          <w:rFonts w:hint="eastAsia"/>
          <w:color w:val="auto"/>
        </w:rPr>
        <w:t>。积极举办修学、美食、戏曲、宗教、节庆等传统民俗文化活动，开展节庆活动常态化实践，形成以县级节庆文化品牌为龙头、乡镇特色节庆活动为主体、农村风俗节庆活动为延伸的节庆体系。积极创建与旅游结合，具有本土特色、面向市场的文艺演出团体，充分依托文化企业创建演艺中心，组织形式多样、大小不一、特色浓郁的文艺演出；在旅游景区景点，大力发展以旅游文化企业、宾馆饭店、乡村老百姓为主体的小型多样、能聚能散、风格多样的演出。努力拓展文化娱乐业，坚持以县城为支撑中心、重要旅游景区为重点、人口集中乡镇为依托的发展思路，着力培育和扶持一批有特色、上档次、上规模、经济社会效益好的文化娱乐项目和文化企业，系统开发健康文娱项目，改善文娱市场发展的软硬环境。</w:t>
      </w:r>
    </w:p>
    <w:p>
      <w:pPr>
        <w:pStyle w:val="4"/>
        <w:numPr>
          <w:ilvl w:val="0"/>
          <w:numId w:val="0"/>
        </w:numPr>
        <w:ind w:left="643"/>
        <w:rPr>
          <w:color w:val="auto"/>
        </w:rPr>
      </w:pPr>
      <w:r>
        <w:rPr>
          <w:rFonts w:hint="eastAsia"/>
          <w:color w:val="auto"/>
        </w:rPr>
        <w:t>四</w:t>
      </w:r>
      <w:r>
        <w:rPr>
          <w:color w:val="auto"/>
        </w:rPr>
        <w:t>、</w:t>
      </w:r>
      <w:r>
        <w:rPr>
          <w:rFonts w:hint="eastAsia"/>
          <w:color w:val="auto"/>
        </w:rPr>
        <w:t>实施电商</w:t>
      </w:r>
      <w:r>
        <w:rPr>
          <w:color w:val="auto"/>
        </w:rPr>
        <w:t>物流</w:t>
      </w:r>
      <w:r>
        <w:rPr>
          <w:rFonts w:hint="eastAsia"/>
          <w:color w:val="auto"/>
        </w:rPr>
        <w:t>提质工程</w:t>
      </w:r>
    </w:p>
    <w:p>
      <w:pPr>
        <w:ind w:firstLine="562"/>
        <w:rPr>
          <w:b/>
          <w:color w:val="auto"/>
        </w:rPr>
      </w:pPr>
      <w:r>
        <w:rPr>
          <w:rFonts w:hint="eastAsia"/>
          <w:b/>
          <w:color w:val="auto"/>
        </w:rPr>
        <w:t>加快建设网点体系和专业市场</w:t>
      </w:r>
      <w:r>
        <w:rPr>
          <w:rFonts w:hint="eastAsia"/>
          <w:color w:val="auto"/>
        </w:rPr>
        <w:t>。</w:t>
      </w:r>
      <w:r>
        <w:rPr>
          <w:color w:val="auto"/>
        </w:rPr>
        <w:t>打造</w:t>
      </w:r>
      <w:r>
        <w:rPr>
          <w:rFonts w:hint="eastAsia"/>
          <w:color w:val="auto"/>
        </w:rPr>
        <w:t>“一网二平台、一区两节点”</w:t>
      </w:r>
      <w:r>
        <w:rPr>
          <w:color w:val="auto"/>
        </w:rPr>
        <w:t>现代商贸物流体系</w:t>
      </w:r>
      <w:r>
        <w:rPr>
          <w:rFonts w:hint="eastAsia"/>
          <w:color w:val="auto"/>
        </w:rPr>
        <w:t>，加快形成“两心两轴一核多节点”的商业空间发展格局（两心即老城区综合商业中心和阜东新区综合商业中心，两轴即恒山路商业发展轴、阜盛大街商业发展轴，一核即1个商贸物流中心，多节点即多个社区级商业中心）。规划建设一批专业市场，包括建材五金交易市场、汽车交易市场、二手车交易市场、小商品批发市场等，充分发挥交易市场在资源配置、信息集散、价格形成等方面的作用，促进相关产业发展。推动</w:t>
      </w:r>
      <w:r>
        <w:rPr>
          <w:color w:val="auto"/>
        </w:rPr>
        <w:t>消费扩容升级，布局打造特色商业</w:t>
      </w:r>
      <w:r>
        <w:rPr>
          <w:rFonts w:hint="eastAsia"/>
          <w:color w:val="auto"/>
        </w:rPr>
        <w:t>街区</w:t>
      </w:r>
      <w:r>
        <w:rPr>
          <w:color w:val="auto"/>
        </w:rPr>
        <w:t>，培育发展夜间经济特色集聚区，全面激活城乡消费市场。</w:t>
      </w:r>
      <w:r>
        <w:rPr>
          <w:rFonts w:hint="eastAsia"/>
          <w:color w:val="auto"/>
        </w:rPr>
        <w:t>到2</w:t>
      </w:r>
      <w:r>
        <w:rPr>
          <w:color w:val="auto"/>
        </w:rPr>
        <w:t>025</w:t>
      </w:r>
      <w:r>
        <w:rPr>
          <w:rFonts w:hint="eastAsia"/>
          <w:color w:val="auto"/>
        </w:rPr>
        <w:t>年，市场体系初具规模，商业网点体系初见雏形，商品集散能力明显增强，业态与经营形式多样化特征初现。</w:t>
      </w:r>
    </w:p>
    <w:p>
      <w:pPr>
        <w:ind w:firstLine="562"/>
        <w:rPr>
          <w:color w:val="auto"/>
        </w:rPr>
      </w:pPr>
      <w:r>
        <w:rPr>
          <w:rFonts w:hint="eastAsia"/>
          <w:b/>
          <w:color w:val="auto"/>
        </w:rPr>
        <w:t>推进传统制造业电商应用。</w:t>
      </w:r>
      <w:r>
        <w:rPr>
          <w:rFonts w:hint="eastAsia"/>
          <w:color w:val="auto"/>
        </w:rPr>
        <w:t>引导装备制造、绿色建材、健康食品等制造业深化电子商务应用。鼓励生产制造企业提升供应链协同效率，完善仓储物流信息化管理。鼓励传统企业与电子商务咨询、策划、培训、代运营、IT外包等专业服务机构合作，提高应用电子商务能力与水平；鼓励具备条件的大型企业加快实施主辅分离，建立独立电商部门或成立子（分）公司，通过电子商务整合上下游产业链，提高生产要素在产业链的流动效率，逐步发展专业垂直电子商务平台。</w:t>
      </w:r>
    </w:p>
    <w:p>
      <w:pPr>
        <w:ind w:firstLine="562"/>
        <w:rPr>
          <w:color w:val="auto"/>
        </w:rPr>
      </w:pPr>
      <w:r>
        <w:rPr>
          <w:rFonts w:hint="eastAsia"/>
          <w:b/>
          <w:color w:val="auto"/>
        </w:rPr>
        <w:t>推进传统商贸电商应用。</w:t>
      </w:r>
      <w:r>
        <w:rPr>
          <w:rFonts w:hint="eastAsia"/>
          <w:color w:val="auto"/>
        </w:rPr>
        <w:t>引导县域传统商超企业更新发展理念，推进传统百货、超市、便利店等零售业开展网络零售业务，积极探索发展网货体验店、提货点和服务中心等业态。支持商贸龙头企业整合线上线下资源，开展生鲜产品、消费品等本地生活服务类商品电子商务，开展微博、微信和社区新媒体营销，实现线上线下融合发展新模式。支持开展大数据营销，深入挖掘已有会员数据价值，开展精准营销，培养消费习惯，增加消费价值。推动各类专业市场开设网上市场，强化仓储、配送、采购等环节信息化应用，扩展交易渠道，升级交易模式，延长市场辐射半径，提升市场竞争能力。</w:t>
      </w:r>
    </w:p>
    <w:p>
      <w:pPr>
        <w:ind w:firstLine="562"/>
        <w:rPr>
          <w:color w:val="auto"/>
        </w:rPr>
      </w:pPr>
      <w:r>
        <w:rPr>
          <w:rFonts w:hint="eastAsia"/>
          <w:b/>
          <w:color w:val="auto"/>
        </w:rPr>
        <w:t>推进农产品电商应用</w:t>
      </w:r>
      <w:r>
        <w:rPr>
          <w:rFonts w:hint="eastAsia"/>
          <w:color w:val="auto"/>
        </w:rPr>
        <w:t>。完善</w:t>
      </w:r>
      <w:r>
        <w:rPr>
          <w:color w:val="auto"/>
        </w:rPr>
        <w:t>乡村网络基础设施，深入实施</w:t>
      </w:r>
      <w:r>
        <w:rPr>
          <w:rFonts w:hint="eastAsia"/>
          <w:color w:val="auto"/>
        </w:rPr>
        <w:t>“农字号”出村</w:t>
      </w:r>
      <w:r>
        <w:rPr>
          <w:color w:val="auto"/>
        </w:rPr>
        <w:t>进城工程</w:t>
      </w:r>
      <w:r>
        <w:rPr>
          <w:rFonts w:hint="eastAsia"/>
          <w:color w:val="auto"/>
        </w:rPr>
        <w:t>，大力发展农村电子商务。坚持政府</w:t>
      </w:r>
      <w:r>
        <w:rPr>
          <w:color w:val="auto"/>
        </w:rPr>
        <w:t>推动</w:t>
      </w:r>
      <w:r>
        <w:rPr>
          <w:rFonts w:hint="eastAsia"/>
          <w:color w:val="auto"/>
        </w:rPr>
        <w:t>，鼓励</w:t>
      </w:r>
      <w:r>
        <w:rPr>
          <w:color w:val="auto"/>
        </w:rPr>
        <w:t>各类电子商务主体布局乡村，构建覆盖全域</w:t>
      </w:r>
      <w:r>
        <w:rPr>
          <w:rFonts w:hint="eastAsia"/>
          <w:color w:val="auto"/>
        </w:rPr>
        <w:t>的网络</w:t>
      </w:r>
      <w:r>
        <w:rPr>
          <w:color w:val="auto"/>
        </w:rPr>
        <w:t>平台和电商末端网点</w:t>
      </w:r>
      <w:r>
        <w:rPr>
          <w:rFonts w:hint="eastAsia"/>
          <w:color w:val="auto"/>
        </w:rPr>
        <w:t>，深入对接京东集团、阿里、淘宝等电商企业，实现电商扶贫稳步发展；引导农产品标准化生产，开展“两品一标”认定，开展农产品深加工、冷链物流、农村物流建设。坚持市场运作，建立农特产品网销体系，鼓励农产品深加工，开发适合网络销售的产品，形成“阜禮”系列包装体系，扶持一批阜平特色的“乡字号”“土字号”品牌开展网上销售；支持农业基地和农产品产销大户、加工企业做好做深与淘宝、天猫、苏宁、京东、拼多多等电商平台和国家贫困地区农副产品采购平台的合作，促进网上交易；创新培训模式，依托抖音、快手、村播等平台，邀请培训讲师开展短视频直播带货培训，促进电商创业人员学习直播带货进行增收。到2025年</w:t>
      </w:r>
      <w:r>
        <w:rPr>
          <w:color w:val="auto"/>
        </w:rPr>
        <w:t>，继续</w:t>
      </w:r>
      <w:r>
        <w:rPr>
          <w:rFonts w:hint="eastAsia"/>
          <w:color w:val="auto"/>
        </w:rPr>
        <w:t>配套建设一批农村电子商务公共服务中心，引导创建一批农村电子商务示范村、“淘宝村”。</w:t>
      </w:r>
    </w:p>
    <w:p>
      <w:pPr>
        <w:ind w:firstLine="562"/>
        <w:rPr>
          <w:color w:val="auto"/>
        </w:rPr>
      </w:pPr>
      <w:r>
        <w:rPr>
          <w:rFonts w:hint="eastAsia"/>
          <w:b/>
          <w:color w:val="auto"/>
        </w:rPr>
        <w:t>发展旅游电子商务。</w:t>
      </w:r>
      <w:r>
        <w:rPr>
          <w:rFonts w:hint="eastAsia"/>
          <w:color w:val="auto"/>
        </w:rPr>
        <w:t>引导依托本地资源研发设计创新旅游产品，整合周边旅游资源形成区域旅游重要节点，与国内旅游城市加强交流，共享旅游客源，发展旅游城市联盟。发展旅游接待服务配套设施及环境，通过整合旅游消费信息资源、推进旅游景区WIFI覆盖、普及二维码导览等措施，提升旅游服务体验。鼓励与旅游第三方平台合作，推广电子门票、电子支付、移动支付应用。鼓励旅游景区与商贸流通、快递服务、生活服务企业合作，提高线上线下服务协同能力，研发设计本地特色旅游衍生产品，延长旅游服务链条。</w:t>
      </w:r>
    </w:p>
    <w:p>
      <w:pPr>
        <w:ind w:firstLine="562"/>
        <w:rPr>
          <w:color w:val="auto"/>
        </w:rPr>
      </w:pPr>
      <w:r>
        <w:rPr>
          <w:rFonts w:hint="eastAsia"/>
          <w:b/>
          <w:color w:val="auto"/>
        </w:rPr>
        <w:t>优化物流配送体系</w:t>
      </w:r>
      <w:r>
        <w:rPr>
          <w:rFonts w:hint="eastAsia"/>
          <w:color w:val="auto"/>
        </w:rPr>
        <w:t>。统筹改造与新建，构建形成以“一网二平台”“一区两节点”为主要内容的现代物流业发展体系。鼓励大型电商和物流企业在物流园区建设标准化仓储设施和电子分拨中心，运用先进信息和装备技术提高运营效率；培育发展冷链物流，促进特色农产品冷藏、加工、运输和配送等物流设施建设。加快完善县级物流中心、乡镇农村配送站、农村货运网点三级物流服务体系，统筹交通、邮政、商务</w:t>
      </w:r>
      <w:r>
        <w:rPr>
          <w:color w:val="auto"/>
        </w:rPr>
        <w:t>、</w:t>
      </w:r>
      <w:r>
        <w:rPr>
          <w:rFonts w:hint="eastAsia"/>
          <w:color w:val="auto"/>
        </w:rPr>
        <w:t>供销等农村物流站点资源，鼓励“多站合一”站场运营模式，积极推广承接小件快运等服务模式。以通用</w:t>
      </w:r>
      <w:r>
        <w:rPr>
          <w:color w:val="auto"/>
        </w:rPr>
        <w:t>机场建设带动物流基础建设，健全基础设施体系和网络平台，高质量融入</w:t>
      </w:r>
      <w:r>
        <w:rPr>
          <w:rFonts w:hint="eastAsia"/>
          <w:color w:val="auto"/>
        </w:rPr>
        <w:t>“轨道上的</w:t>
      </w:r>
      <w:r>
        <w:rPr>
          <w:color w:val="auto"/>
        </w:rPr>
        <w:t>京津冀</w:t>
      </w:r>
      <w:r>
        <w:rPr>
          <w:rFonts w:hint="eastAsia"/>
          <w:color w:val="auto"/>
        </w:rPr>
        <w:t>”。</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0" w:firstLineChars="0"/>
              <w:jc w:val="center"/>
              <w:rPr>
                <w:rFonts w:ascii="黑体" w:hAnsi="黑体" w:eastAsia="黑体"/>
                <w:color w:val="auto"/>
                <w:sz w:val="24"/>
                <w:szCs w:val="28"/>
                <w:highlight w:val="yellow"/>
              </w:rPr>
            </w:pPr>
            <w:r>
              <w:rPr>
                <w:rFonts w:hint="eastAsia" w:ascii="黑体" w:hAnsi="黑体" w:eastAsia="黑体"/>
                <w:color w:val="auto"/>
                <w:sz w:val="24"/>
                <w:szCs w:val="28"/>
              </w:rPr>
              <w:t>专栏3-</w:t>
            </w:r>
            <w:r>
              <w:rPr>
                <w:rFonts w:ascii="黑体" w:hAnsi="黑体" w:eastAsia="黑体"/>
                <w:color w:val="auto"/>
                <w:sz w:val="24"/>
                <w:szCs w:val="28"/>
              </w:rPr>
              <w:t xml:space="preserve">5 </w:t>
            </w:r>
            <w:r>
              <w:rPr>
                <w:rFonts w:hint="eastAsia" w:ascii="黑体" w:hAnsi="黑体" w:eastAsia="黑体"/>
                <w:color w:val="auto"/>
                <w:sz w:val="24"/>
                <w:szCs w:val="28"/>
              </w:rPr>
              <w:t>现代商贸</w:t>
            </w:r>
            <w:r>
              <w:rPr>
                <w:rFonts w:ascii="黑体" w:hAnsi="黑体" w:eastAsia="黑体"/>
                <w:color w:val="auto"/>
                <w:sz w:val="24"/>
                <w:szCs w:val="28"/>
              </w:rPr>
              <w:t>物流体系构建工程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rPr>
                <w:bCs/>
                <w:color w:val="auto"/>
                <w:sz w:val="24"/>
                <w:szCs w:val="28"/>
              </w:rPr>
            </w:pPr>
            <w:r>
              <w:rPr>
                <w:rFonts w:hint="eastAsia"/>
                <w:bCs/>
                <w:color w:val="auto"/>
                <w:sz w:val="24"/>
                <w:szCs w:val="28"/>
              </w:rPr>
              <w:t>“一网二平台、一区</w:t>
            </w:r>
            <w:r>
              <w:rPr>
                <w:bCs/>
                <w:color w:val="auto"/>
                <w:sz w:val="24"/>
                <w:szCs w:val="28"/>
              </w:rPr>
              <w:t>两节点</w:t>
            </w:r>
            <w:r>
              <w:rPr>
                <w:rFonts w:hint="eastAsia"/>
                <w:bCs/>
                <w:color w:val="auto"/>
                <w:sz w:val="24"/>
                <w:szCs w:val="28"/>
              </w:rPr>
              <w:t>”现代物流业发展体系。</w:t>
            </w:r>
          </w:p>
          <w:p>
            <w:pPr>
              <w:adjustRightInd w:val="0"/>
              <w:snapToGrid w:val="0"/>
              <w:ind w:firstLine="482"/>
              <w:rPr>
                <w:b/>
                <w:bCs/>
                <w:color w:val="auto"/>
                <w:sz w:val="24"/>
                <w:szCs w:val="28"/>
              </w:rPr>
            </w:pPr>
            <w:r>
              <w:rPr>
                <w:rFonts w:hint="eastAsia"/>
                <w:b/>
                <w:bCs/>
                <w:color w:val="auto"/>
                <w:sz w:val="24"/>
                <w:szCs w:val="28"/>
              </w:rPr>
              <w:t>——“一网二平台”</w:t>
            </w:r>
            <w:r>
              <w:rPr>
                <w:rFonts w:hint="eastAsia"/>
                <w:bCs/>
                <w:color w:val="auto"/>
                <w:sz w:val="24"/>
                <w:szCs w:val="28"/>
              </w:rPr>
              <w:t>。一网：即</w:t>
            </w:r>
            <w:r>
              <w:rPr>
                <w:bCs/>
                <w:color w:val="auto"/>
                <w:sz w:val="24"/>
                <w:szCs w:val="28"/>
              </w:rPr>
              <w:t>打造</w:t>
            </w:r>
            <w:r>
              <w:rPr>
                <w:rFonts w:hint="eastAsia"/>
                <w:bCs/>
                <w:color w:val="auto"/>
                <w:sz w:val="24"/>
                <w:szCs w:val="28"/>
              </w:rPr>
              <w:t>县域物流快速网络；二平台</w:t>
            </w:r>
            <w:r>
              <w:rPr>
                <w:bCs/>
                <w:color w:val="auto"/>
                <w:sz w:val="24"/>
                <w:szCs w:val="28"/>
              </w:rPr>
              <w:t>：即建设</w:t>
            </w:r>
            <w:r>
              <w:rPr>
                <w:rFonts w:hint="eastAsia"/>
                <w:bCs/>
                <w:color w:val="auto"/>
                <w:sz w:val="24"/>
                <w:szCs w:val="28"/>
              </w:rPr>
              <w:t>公共物流信息平台和交通运输基础设施平台。</w:t>
            </w:r>
          </w:p>
          <w:p>
            <w:pPr>
              <w:adjustRightInd w:val="0"/>
              <w:snapToGrid w:val="0"/>
              <w:ind w:firstLine="482"/>
              <w:rPr>
                <w:color w:val="auto"/>
                <w:sz w:val="24"/>
              </w:rPr>
            </w:pPr>
            <w:r>
              <w:rPr>
                <w:b/>
                <w:bCs/>
                <w:color w:val="auto"/>
                <w:sz w:val="24"/>
                <w:szCs w:val="28"/>
              </w:rPr>
              <w:t>——</w:t>
            </w:r>
            <w:r>
              <w:rPr>
                <w:rFonts w:hint="eastAsia"/>
                <w:b/>
                <w:bCs/>
                <w:color w:val="auto"/>
                <w:sz w:val="24"/>
                <w:szCs w:val="28"/>
              </w:rPr>
              <w:t>“一区两节点”</w:t>
            </w:r>
            <w:r>
              <w:rPr>
                <w:rFonts w:hint="eastAsia"/>
                <w:bCs/>
                <w:color w:val="auto"/>
                <w:sz w:val="24"/>
                <w:szCs w:val="28"/>
              </w:rPr>
              <w:t>。</w:t>
            </w:r>
            <w:r>
              <w:rPr>
                <w:rFonts w:hint="eastAsia"/>
                <w:color w:val="auto"/>
                <w:sz w:val="24"/>
              </w:rPr>
              <w:t>一区</w:t>
            </w:r>
            <w:r>
              <w:rPr>
                <w:color w:val="auto"/>
                <w:sz w:val="24"/>
              </w:rPr>
              <w:t>：</w:t>
            </w:r>
            <w:r>
              <w:rPr>
                <w:rFonts w:hint="eastAsia"/>
                <w:color w:val="auto"/>
                <w:sz w:val="24"/>
              </w:rPr>
              <w:t>即</w:t>
            </w:r>
            <w:r>
              <w:rPr>
                <w:color w:val="auto"/>
                <w:sz w:val="24"/>
              </w:rPr>
              <w:t>阜平综合商贸物流园区，集</w:t>
            </w:r>
            <w:r>
              <w:rPr>
                <w:rFonts w:hint="eastAsia"/>
                <w:color w:val="auto"/>
                <w:sz w:val="24"/>
              </w:rPr>
              <w:t>交易</w:t>
            </w:r>
            <w:r>
              <w:rPr>
                <w:color w:val="auto"/>
                <w:sz w:val="24"/>
              </w:rPr>
              <w:t>、</w:t>
            </w:r>
            <w:r>
              <w:rPr>
                <w:rFonts w:hint="eastAsia"/>
                <w:color w:val="auto"/>
                <w:sz w:val="24"/>
              </w:rPr>
              <w:t>批发</w:t>
            </w:r>
            <w:r>
              <w:rPr>
                <w:color w:val="auto"/>
                <w:sz w:val="24"/>
              </w:rPr>
              <w:t>、配送、仓储、加工、信息处理等功能于一体，</w:t>
            </w:r>
            <w:r>
              <w:rPr>
                <w:rFonts w:hint="eastAsia"/>
                <w:color w:val="auto"/>
                <w:sz w:val="24"/>
              </w:rPr>
              <w:t>服务</w:t>
            </w:r>
            <w:r>
              <w:rPr>
                <w:color w:val="auto"/>
                <w:sz w:val="24"/>
              </w:rPr>
              <w:t>全县生产、生活的综合性现代商贸物流园区。</w:t>
            </w:r>
            <w:r>
              <w:rPr>
                <w:rFonts w:hint="eastAsia"/>
                <w:color w:val="auto"/>
                <w:sz w:val="24"/>
              </w:rPr>
              <w:t>两节点</w:t>
            </w:r>
            <w:r>
              <w:rPr>
                <w:color w:val="auto"/>
                <w:sz w:val="24"/>
              </w:rPr>
              <w:t>：即</w:t>
            </w:r>
            <w:r>
              <w:rPr>
                <w:rFonts w:hint="eastAsia"/>
                <w:color w:val="auto"/>
                <w:sz w:val="24"/>
              </w:rPr>
              <w:t>以</w:t>
            </w:r>
            <w:r>
              <w:rPr>
                <w:color w:val="auto"/>
                <w:sz w:val="24"/>
              </w:rPr>
              <w:t>农副产品</w:t>
            </w:r>
            <w:r>
              <w:rPr>
                <w:rFonts w:hint="eastAsia"/>
                <w:color w:val="auto"/>
                <w:sz w:val="24"/>
              </w:rPr>
              <w:t>及其</w:t>
            </w:r>
            <w:r>
              <w:rPr>
                <w:color w:val="auto"/>
                <w:sz w:val="24"/>
              </w:rPr>
              <w:t>加工产品仓储、配送为主的平阳仓储物流节点，</w:t>
            </w:r>
            <w:r>
              <w:rPr>
                <w:rFonts w:hint="eastAsia"/>
                <w:color w:val="auto"/>
                <w:sz w:val="24"/>
              </w:rPr>
              <w:t>以农副</w:t>
            </w:r>
            <w:r>
              <w:rPr>
                <w:color w:val="auto"/>
                <w:sz w:val="24"/>
              </w:rPr>
              <w:t>产品仓储、配送为主的砂窝</w:t>
            </w:r>
            <w:r>
              <w:rPr>
                <w:rFonts w:hint="eastAsia"/>
                <w:color w:val="auto"/>
                <w:sz w:val="24"/>
              </w:rPr>
              <w:t>仓储</w:t>
            </w:r>
            <w:r>
              <w:rPr>
                <w:color w:val="auto"/>
                <w:sz w:val="24"/>
              </w:rPr>
              <w:t>物流节点。</w:t>
            </w:r>
          </w:p>
        </w:tc>
      </w:tr>
    </w:tbl>
    <w:p>
      <w:pPr>
        <w:pStyle w:val="3"/>
        <w:spacing w:before="204"/>
        <w:ind w:firstLine="560" w:firstLineChars="200"/>
        <w:rPr>
          <w:color w:val="auto"/>
          <w:szCs w:val="30"/>
        </w:rPr>
      </w:pPr>
      <w:bookmarkStart w:id="14" w:name="_Toc62244267"/>
      <w:r>
        <w:rPr>
          <w:rFonts w:hint="eastAsia"/>
          <w:color w:val="auto"/>
          <w:szCs w:val="30"/>
        </w:rPr>
        <w:t>第四节  持续优化县域产业空间布局</w:t>
      </w:r>
      <w:bookmarkEnd w:id="14"/>
    </w:p>
    <w:p>
      <w:pPr>
        <w:pStyle w:val="4"/>
        <w:numPr>
          <w:ilvl w:val="0"/>
          <w:numId w:val="0"/>
        </w:numPr>
        <w:ind w:left="643"/>
        <w:rPr>
          <w:color w:val="auto"/>
        </w:rPr>
      </w:pPr>
      <w:r>
        <w:rPr>
          <w:rFonts w:hint="eastAsia"/>
          <w:color w:val="auto"/>
        </w:rPr>
        <w:t>一</w:t>
      </w:r>
      <w:r>
        <w:rPr>
          <w:color w:val="auto"/>
        </w:rPr>
        <w:t>、</w:t>
      </w:r>
      <w:r>
        <w:rPr>
          <w:rFonts w:hint="eastAsia"/>
          <w:color w:val="auto"/>
        </w:rPr>
        <w:t>构建县域产业空间布局</w:t>
      </w:r>
    </w:p>
    <w:p>
      <w:pPr>
        <w:ind w:firstLine="560"/>
        <w:rPr>
          <w:color w:val="auto"/>
        </w:rPr>
      </w:pPr>
      <w:r>
        <w:rPr>
          <w:rFonts w:hint="eastAsia"/>
          <w:color w:val="auto"/>
        </w:rPr>
        <w:t>围绕“中心带动、均衡发展”目标，确定“三大片区、六大组团、四类基地”的县域产业空间布局结构。三大片区，即综合经济区，包括中心城区、平阳镇、大台镇的小部分，以发展生态工业和现代服务业为重点；旅游发展区，包括龙泉关镇、天生桥镇、夏庄乡、城南庄镇，以发展旅游业为重点，同时发展文化产业、生态农业、农林种植、特色养殖、农副产品加工等；农林种植区，包括吴王口乡、砂窝镇、史家寨乡、大台镇的大部分、台峪乡、北果元乡、平阳镇的小部分，以发展农林种植为重点，同时发展特色养殖、观光农业等。六大组团，即中心城区组团、平阳组团、大台组团、砂窝组团、天生桥-龙泉关组团、城南庄组团等五大组团。四类基地，即生态工业基地、商贸物流基地、文化旅游基地、特色农业基地。</w:t>
      </w:r>
    </w:p>
    <w:p>
      <w:pPr>
        <w:ind w:firstLine="0" w:firstLineChars="0"/>
        <w:jc w:val="center"/>
        <w:rPr>
          <w:color w:val="auto"/>
        </w:rPr>
      </w:pPr>
      <w:r>
        <w:rPr>
          <w:color w:val="auto"/>
        </w:rPr>
        <w:drawing>
          <wp:inline distT="0" distB="0" distL="0" distR="0">
            <wp:extent cx="4218940" cy="2813050"/>
            <wp:effectExtent l="19050" t="19050" r="0" b="6350"/>
            <wp:docPr id="5" name="图片 5" descr="C:\Users\ivey\AppData\Local\Temp\160307839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ivey\AppData\Local\Temp\1603078392(1).png"/>
                    <pic:cNvPicPr>
                      <a:picLocks noChangeAspect="1" noChangeArrowheads="1"/>
                    </pic:cNvPicPr>
                  </pic:nvPicPr>
                  <pic:blipFill>
                    <a:blip r:embed="rId15" cstate="print">
                      <a:extLst>
                        <a:ext uri="{28A0092B-C50C-407E-A947-70E740481C1C}">
                          <a14:useLocalDpi xmlns:a14="http://schemas.microsoft.com/office/drawing/2010/main" val="0"/>
                        </a:ext>
                      </a:extLst>
                    </a:blip>
                    <a:srcRect l="2079" t="2829" r="1839" b="2480"/>
                    <a:stretch>
                      <a:fillRect/>
                    </a:stretch>
                  </pic:blipFill>
                  <pic:spPr>
                    <a:xfrm>
                      <a:off x="0" y="0"/>
                      <a:ext cx="4280212" cy="2854422"/>
                    </a:xfrm>
                    <a:prstGeom prst="rect">
                      <a:avLst/>
                    </a:prstGeom>
                    <a:noFill/>
                    <a:ln w="6350" cap="flat" cmpd="sng" algn="ctr">
                      <a:solidFill>
                        <a:sysClr val="windowText" lastClr="000000">
                          <a:lumMod val="50000"/>
                          <a:lumOff val="50000"/>
                        </a:sysClr>
                      </a:solidFill>
                      <a:prstDash val="solid"/>
                      <a:round/>
                      <a:headEnd type="none" w="med" len="med"/>
                      <a:tailEnd type="none" w="med" len="med"/>
                    </a:ln>
                  </pic:spPr>
                </pic:pic>
              </a:graphicData>
            </a:graphic>
          </wp:inline>
        </w:drawing>
      </w:r>
    </w:p>
    <w:p>
      <w:pPr>
        <w:ind w:firstLine="0" w:firstLineChars="0"/>
        <w:jc w:val="center"/>
        <w:rPr>
          <w:rFonts w:ascii="黑体" w:hAnsi="黑体" w:eastAsia="黑体" w:cstheme="majorBidi"/>
          <w:color w:val="auto"/>
          <w:sz w:val="22"/>
          <w:szCs w:val="24"/>
        </w:rPr>
      </w:pPr>
      <w:r>
        <w:rPr>
          <w:rFonts w:hint="eastAsia" w:ascii="黑体" w:hAnsi="黑体" w:eastAsia="黑体" w:cstheme="majorBidi"/>
          <w:color w:val="auto"/>
          <w:sz w:val="22"/>
          <w:szCs w:val="24"/>
        </w:rPr>
        <w:t>图</w:t>
      </w:r>
      <w:r>
        <w:rPr>
          <w:rFonts w:ascii="黑体" w:hAnsi="黑体" w:eastAsia="黑体" w:cstheme="majorBidi"/>
          <w:color w:val="auto"/>
          <w:sz w:val="22"/>
          <w:szCs w:val="24"/>
        </w:rPr>
        <w:t xml:space="preserve">3-1 </w:t>
      </w:r>
      <w:r>
        <w:rPr>
          <w:rFonts w:hint="eastAsia" w:ascii="黑体" w:hAnsi="黑体" w:eastAsia="黑体" w:cstheme="majorBidi"/>
          <w:color w:val="auto"/>
          <w:sz w:val="22"/>
          <w:szCs w:val="24"/>
        </w:rPr>
        <w:t>“三大片区、六大组团、四类基地”产业空间布局图</w:t>
      </w:r>
    </w:p>
    <w:p>
      <w:pPr>
        <w:pStyle w:val="4"/>
        <w:numPr>
          <w:ilvl w:val="0"/>
          <w:numId w:val="0"/>
        </w:numPr>
        <w:ind w:left="643"/>
        <w:rPr>
          <w:color w:val="auto"/>
        </w:rPr>
      </w:pPr>
      <w:r>
        <w:rPr>
          <w:rFonts w:hint="eastAsia"/>
          <w:color w:val="auto"/>
        </w:rPr>
        <w:t>二</w:t>
      </w:r>
      <w:r>
        <w:rPr>
          <w:color w:val="auto"/>
        </w:rPr>
        <w:t>、</w:t>
      </w:r>
      <w:r>
        <w:rPr>
          <w:rFonts w:hint="eastAsia"/>
          <w:color w:val="auto"/>
        </w:rPr>
        <w:t>形成现代农业</w:t>
      </w:r>
      <w:r>
        <w:rPr>
          <w:color w:val="auto"/>
        </w:rPr>
        <w:t>发展格局</w:t>
      </w:r>
    </w:p>
    <w:p>
      <w:pPr>
        <w:ind w:firstLine="560"/>
        <w:rPr>
          <w:color w:val="auto"/>
        </w:rPr>
      </w:pPr>
      <w:r>
        <w:rPr>
          <w:rFonts w:hint="eastAsia"/>
          <w:color w:val="auto"/>
        </w:rPr>
        <w:t>突出垂直地带性和植物物候期差异，全面建设绿色安全农产品生产加工供应基地，构建“一环、两带、三区、九沟”的农业发展格局。一环，</w:t>
      </w:r>
      <w:r>
        <w:rPr>
          <w:color w:val="auto"/>
        </w:rPr>
        <w:t>即</w:t>
      </w:r>
      <w:r>
        <w:rPr>
          <w:rFonts w:hint="eastAsia"/>
          <w:color w:val="auto"/>
        </w:rPr>
        <w:t>特色多功能农业发展环。两带，即东西向沿G337和保阜高速的综合产业发展带；南北向沿西阜高速和G207的综合产业发展带。三区，即环水库创新引领先行区；环城浅山高效精品农业区；深山沟谷绿色生态农业区。九沟，即利用海拔特色、资源特点，依托地形、水域形成的九条以生态农业、旅游开发提升为主的特色农业经济沟域。</w:t>
      </w:r>
    </w:p>
    <w:p>
      <w:pPr>
        <w:ind w:firstLine="198" w:firstLineChars="71"/>
        <w:jc w:val="center"/>
        <w:rPr>
          <w:color w:val="auto"/>
        </w:rPr>
      </w:pPr>
      <w:r>
        <w:rPr>
          <w:color w:val="auto"/>
        </w:rPr>
        <w:drawing>
          <wp:inline distT="0" distB="0" distL="0" distR="0">
            <wp:extent cx="4143375" cy="3056255"/>
            <wp:effectExtent l="19050" t="19050" r="0" b="0"/>
            <wp:docPr id="2" name="图片 2" descr="C:\Users\ivey\AppData\Local\Temp\160760135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ivey\AppData\Local\Temp\1607601354(1).png"/>
                    <pic:cNvPicPr>
                      <a:picLocks noChangeAspect="1" noChangeArrowheads="1"/>
                    </pic:cNvPicPr>
                  </pic:nvPicPr>
                  <pic:blipFill>
                    <a:blip r:embed="rId16" cstate="print">
                      <a:extLst>
                        <a:ext uri="{28A0092B-C50C-407E-A947-70E740481C1C}">
                          <a14:useLocalDpi xmlns:a14="http://schemas.microsoft.com/office/drawing/2010/main" val="0"/>
                        </a:ext>
                      </a:extLst>
                    </a:blip>
                    <a:srcRect t="1181" b="1767"/>
                    <a:stretch>
                      <a:fillRect/>
                    </a:stretch>
                  </pic:blipFill>
                  <pic:spPr>
                    <a:xfrm>
                      <a:off x="0" y="0"/>
                      <a:ext cx="4186576" cy="3088405"/>
                    </a:xfrm>
                    <a:prstGeom prst="rect">
                      <a:avLst/>
                    </a:prstGeom>
                    <a:noFill/>
                    <a:ln w="6350">
                      <a:solidFill>
                        <a:schemeClr val="tx1">
                          <a:lumMod val="50000"/>
                          <a:lumOff val="50000"/>
                        </a:schemeClr>
                      </a:solidFill>
                    </a:ln>
                  </pic:spPr>
                </pic:pic>
              </a:graphicData>
            </a:graphic>
          </wp:inline>
        </w:drawing>
      </w:r>
    </w:p>
    <w:p>
      <w:pPr>
        <w:spacing w:line="240" w:lineRule="auto"/>
        <w:ind w:firstLine="0" w:firstLineChars="0"/>
        <w:jc w:val="center"/>
        <w:rPr>
          <w:rFonts w:eastAsia="黑体" w:asciiTheme="majorHAnsi" w:hAnsiTheme="majorHAnsi" w:cstheme="majorBidi"/>
          <w:color w:val="auto"/>
          <w:sz w:val="22"/>
          <w:szCs w:val="24"/>
        </w:rPr>
      </w:pPr>
      <w:r>
        <w:rPr>
          <w:rFonts w:hint="eastAsia" w:eastAsia="黑体" w:asciiTheme="majorHAnsi" w:hAnsiTheme="majorHAnsi" w:cstheme="majorBidi"/>
          <w:color w:val="auto"/>
          <w:sz w:val="22"/>
          <w:szCs w:val="24"/>
        </w:rPr>
        <w:t>图</w:t>
      </w:r>
      <w:r>
        <w:rPr>
          <w:rFonts w:eastAsia="黑体" w:asciiTheme="majorHAnsi" w:hAnsiTheme="majorHAnsi" w:cstheme="majorBidi"/>
          <w:color w:val="auto"/>
          <w:sz w:val="22"/>
          <w:szCs w:val="24"/>
        </w:rPr>
        <w:t xml:space="preserve">3-2 </w:t>
      </w:r>
      <w:r>
        <w:rPr>
          <w:rFonts w:hint="eastAsia" w:eastAsia="黑体" w:asciiTheme="majorHAnsi" w:hAnsiTheme="majorHAnsi" w:cstheme="majorBidi"/>
          <w:color w:val="auto"/>
          <w:sz w:val="22"/>
          <w:szCs w:val="24"/>
        </w:rPr>
        <w:t>“一环、两带、三区、九沟”农业发展</w:t>
      </w:r>
      <w:r>
        <w:rPr>
          <w:rFonts w:eastAsia="黑体" w:asciiTheme="majorHAnsi" w:hAnsiTheme="majorHAnsi" w:cstheme="majorBidi"/>
          <w:color w:val="auto"/>
          <w:sz w:val="22"/>
          <w:szCs w:val="24"/>
        </w:rPr>
        <w:t>格局</w:t>
      </w:r>
    </w:p>
    <w:p>
      <w:pPr>
        <w:pStyle w:val="4"/>
        <w:numPr>
          <w:ilvl w:val="0"/>
          <w:numId w:val="0"/>
        </w:numPr>
        <w:ind w:left="643"/>
        <w:rPr>
          <w:color w:val="auto"/>
        </w:rPr>
      </w:pPr>
      <w:r>
        <w:rPr>
          <w:rFonts w:hint="eastAsia"/>
          <w:color w:val="auto"/>
        </w:rPr>
        <w:t>三</w:t>
      </w:r>
      <w:r>
        <w:rPr>
          <w:color w:val="auto"/>
        </w:rPr>
        <w:t>、</w:t>
      </w:r>
      <w:r>
        <w:rPr>
          <w:rFonts w:hint="eastAsia"/>
          <w:color w:val="auto"/>
        </w:rPr>
        <w:t>打造全域旅游空间格局</w:t>
      </w:r>
    </w:p>
    <w:p>
      <w:pPr>
        <w:ind w:firstLine="560"/>
        <w:rPr>
          <w:color w:val="auto"/>
        </w:rPr>
      </w:pPr>
      <w:r>
        <w:rPr>
          <w:rFonts w:hint="eastAsia"/>
          <w:color w:val="auto"/>
        </w:rPr>
        <w:t>依托全域资源、全域景观优势，推动旅游景区、旅游城镇、旅游乡村、景观廊道、风景道绿道“五位一体”建设，构筑“一心一环三核四区”全域旅游战略布局，促进景区与周边地区联动发展。</w:t>
      </w:r>
    </w:p>
    <w:p>
      <w:pPr>
        <w:spacing w:line="240" w:lineRule="auto"/>
        <w:ind w:firstLine="0" w:firstLineChars="0"/>
        <w:jc w:val="center"/>
        <w:rPr>
          <w:color w:val="auto"/>
        </w:rPr>
      </w:pPr>
      <w:r>
        <w:rPr>
          <w:color w:val="auto"/>
        </w:rPr>
        <w:drawing>
          <wp:inline distT="0" distB="0" distL="114300" distR="114300">
            <wp:extent cx="3956685" cy="3056890"/>
            <wp:effectExtent l="19050" t="19050" r="5715"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7" cstate="print"/>
                    <a:srcRect t="1" b="1257"/>
                    <a:stretch>
                      <a:fillRect/>
                    </a:stretch>
                  </pic:blipFill>
                  <pic:spPr>
                    <a:xfrm>
                      <a:off x="0" y="0"/>
                      <a:ext cx="3977016" cy="3072646"/>
                    </a:xfrm>
                    <a:prstGeom prst="rect">
                      <a:avLst/>
                    </a:prstGeom>
                    <a:noFill/>
                    <a:ln w="6350">
                      <a:solidFill>
                        <a:schemeClr val="tx1">
                          <a:lumMod val="50000"/>
                          <a:lumOff val="50000"/>
                        </a:schemeClr>
                      </a:solidFill>
                    </a:ln>
                  </pic:spPr>
                </pic:pic>
              </a:graphicData>
            </a:graphic>
          </wp:inline>
        </w:drawing>
      </w:r>
    </w:p>
    <w:p>
      <w:pPr>
        <w:spacing w:line="240" w:lineRule="auto"/>
        <w:ind w:firstLine="0" w:firstLineChars="0"/>
        <w:jc w:val="center"/>
        <w:rPr>
          <w:rFonts w:eastAsia="黑体" w:asciiTheme="majorHAnsi" w:hAnsiTheme="majorHAnsi" w:cstheme="majorBidi"/>
          <w:color w:val="auto"/>
          <w:sz w:val="22"/>
          <w:szCs w:val="24"/>
        </w:rPr>
      </w:pPr>
      <w:r>
        <w:rPr>
          <w:rFonts w:hint="eastAsia" w:eastAsia="黑体" w:asciiTheme="majorHAnsi" w:hAnsiTheme="majorHAnsi" w:cstheme="majorBidi"/>
          <w:color w:val="auto"/>
          <w:sz w:val="22"/>
          <w:szCs w:val="24"/>
        </w:rPr>
        <w:t>图</w:t>
      </w:r>
      <w:r>
        <w:rPr>
          <w:rFonts w:eastAsia="黑体" w:asciiTheme="majorHAnsi" w:hAnsiTheme="majorHAnsi" w:cstheme="majorBidi"/>
          <w:color w:val="auto"/>
          <w:sz w:val="22"/>
          <w:szCs w:val="24"/>
        </w:rPr>
        <w:t xml:space="preserve">3-3 </w:t>
      </w:r>
      <w:r>
        <w:rPr>
          <w:rFonts w:hint="eastAsia" w:eastAsia="黑体" w:asciiTheme="majorHAnsi" w:hAnsiTheme="majorHAnsi" w:cstheme="majorBidi"/>
          <w:color w:val="auto"/>
          <w:sz w:val="22"/>
          <w:szCs w:val="24"/>
        </w:rPr>
        <w:t>“一心、一环、三核、四区”全域旅游空间格局</w:t>
      </w:r>
    </w:p>
    <w:p>
      <w:pPr>
        <w:ind w:firstLine="560"/>
        <w:rPr>
          <w:color w:val="auto"/>
        </w:rPr>
      </w:pPr>
      <w:r>
        <w:rPr>
          <w:color w:val="auto"/>
        </w:rPr>
        <w:t>——</w:t>
      </w:r>
      <w:r>
        <w:rPr>
          <w:rFonts w:hint="eastAsia"/>
          <w:b/>
          <w:bCs/>
          <w:color w:val="auto"/>
        </w:rPr>
        <w:t>一心</w:t>
      </w:r>
      <w:r>
        <w:rPr>
          <w:rFonts w:hint="eastAsia"/>
          <w:bCs/>
          <w:color w:val="auto"/>
        </w:rPr>
        <w:t>：即县城旅游综合服务中心，</w:t>
      </w:r>
      <w:r>
        <w:rPr>
          <w:rFonts w:hint="eastAsia"/>
          <w:color w:val="auto"/>
        </w:rPr>
        <w:t>建设休闲街区、城市公园、文化展馆、商贸综合体等，配备集散、咨询、餐饮、购物、娱乐、商务、住宿等相关设施，加快培育城市旅游休闲服务体系。</w:t>
      </w:r>
    </w:p>
    <w:p>
      <w:pPr>
        <w:ind w:firstLine="562"/>
        <w:rPr>
          <w:color w:val="auto"/>
        </w:rPr>
      </w:pPr>
      <w:r>
        <w:rPr>
          <w:rFonts w:hint="eastAsia"/>
          <w:b/>
          <w:bCs/>
          <w:color w:val="auto"/>
        </w:rPr>
        <w:t>——一环</w:t>
      </w:r>
      <w:r>
        <w:rPr>
          <w:rFonts w:hint="eastAsia"/>
          <w:bCs/>
          <w:color w:val="auto"/>
        </w:rPr>
        <w:t>：</w:t>
      </w:r>
      <w:r>
        <w:rPr>
          <w:rFonts w:hint="eastAsia"/>
          <w:color w:val="auto"/>
        </w:rPr>
        <w:t>即“印象阜平”风景环线，串联大天生桥生态旅游度假区、大城南庄红色旅游体验区、大古北岳历史文化旅游区、王快水库生态林果休闲区，打造县域旅游环线和旅游交通大动脉。</w:t>
      </w:r>
    </w:p>
    <w:p>
      <w:pPr>
        <w:ind w:firstLine="562"/>
        <w:rPr>
          <w:color w:val="auto"/>
        </w:rPr>
      </w:pPr>
      <w:r>
        <w:rPr>
          <w:rFonts w:hint="eastAsia"/>
          <w:b/>
          <w:bCs/>
          <w:color w:val="auto"/>
        </w:rPr>
        <w:t>——三核</w:t>
      </w:r>
      <w:r>
        <w:rPr>
          <w:rFonts w:hint="eastAsia"/>
          <w:bCs/>
          <w:color w:val="auto"/>
        </w:rPr>
        <w:t>：</w:t>
      </w:r>
      <w:r>
        <w:rPr>
          <w:rFonts w:hint="eastAsia"/>
          <w:color w:val="auto"/>
        </w:rPr>
        <w:t>即天生桥旅游服务基地、城南庄旅游服务基地、大台乡旅游服务基地，作为旅游引导下新型城镇化的重点试验区，承担各片区旅游集散、信息咨询、游客接待、餐饮住宿、休闲娱乐等功能。</w:t>
      </w:r>
    </w:p>
    <w:p>
      <w:pPr>
        <w:ind w:firstLine="562"/>
        <w:rPr>
          <w:color w:val="auto"/>
        </w:rPr>
      </w:pPr>
      <w:r>
        <w:rPr>
          <w:rFonts w:hint="eastAsia"/>
          <w:b/>
          <w:bCs/>
          <w:color w:val="auto"/>
        </w:rPr>
        <w:t>——四区</w:t>
      </w:r>
      <w:r>
        <w:rPr>
          <w:rFonts w:hint="eastAsia"/>
          <w:bCs/>
          <w:color w:val="auto"/>
        </w:rPr>
        <w:t>：即</w:t>
      </w:r>
      <w:r>
        <w:rPr>
          <w:rFonts w:hint="eastAsia"/>
          <w:color w:val="auto"/>
        </w:rPr>
        <w:t>大天生桥生态旅游度假区，以天生桥创建全域旅游示范乡为契机，以天生桥、云花溪谷、银河大峡谷等生态景区为核心，整合区内红色资源、温泉资源、历史文化和特色产业资源等</w:t>
      </w:r>
      <w:r>
        <w:rPr>
          <w:color w:val="auto"/>
        </w:rPr>
        <w:t>，</w:t>
      </w:r>
      <w:r>
        <w:rPr>
          <w:rFonts w:hint="eastAsia"/>
          <w:color w:val="auto"/>
        </w:rPr>
        <w:t>打造全县旅游发展的龙头示范区；大城南庄红色旅游体验区，以红色文化为主线，打造大城南庄5A景区、红色旅游小镇，融合发展乡村旅游、温泉度假等项目，打造全国知名红色旅游目的地；大古北岳历史文化旅游区，以世界文化遗产的高定位开发，以红古融合的理念整合，打造文化为主、红绿结合、景乡一体的综合性旅游目的地；王快水库生态林果休闲区，在严格保护水源地的前提下，重点开发三大河口湿地生态观光，构建环湖休闲度假产品，整合农业资源打造第六产业创新示范基地、国家红枣文化公园，实现区域生态经济良性发展。</w:t>
      </w:r>
    </w:p>
    <w:p>
      <w:pPr>
        <w:ind w:firstLine="560"/>
        <w:rPr>
          <w:color w:val="auto"/>
        </w:rPr>
      </w:pPr>
    </w:p>
    <w:p>
      <w:pPr>
        <w:ind w:firstLine="560"/>
        <w:rPr>
          <w:color w:val="auto"/>
        </w:rPr>
      </w:pPr>
    </w:p>
    <w:p>
      <w:pPr>
        <w:pStyle w:val="2"/>
        <w:spacing w:line="240" w:lineRule="auto"/>
        <w:jc w:val="center"/>
        <w:rPr>
          <w:color w:val="auto"/>
        </w:rPr>
      </w:pPr>
      <w:bookmarkStart w:id="15" w:name="_Toc62244268"/>
      <w:r>
        <w:rPr>
          <w:rFonts w:hint="eastAsia"/>
          <w:color w:val="auto"/>
        </w:rPr>
        <w:t>第四章  着力统筹城乡融合发展，迈向魅力阜平</w:t>
      </w:r>
      <w:bookmarkEnd w:id="15"/>
    </w:p>
    <w:p>
      <w:pPr>
        <w:ind w:firstLine="560"/>
        <w:rPr>
          <w:color w:val="auto"/>
        </w:rPr>
      </w:pPr>
      <w:r>
        <w:rPr>
          <w:rFonts w:hint="eastAsia"/>
          <w:color w:val="auto"/>
        </w:rPr>
        <w:t>探索阜平特色新型城镇化道路，集中建设主城区，重点开发新城区，集约发展外围组团，稳步推进“县城改造提升、新区重点开发、镇村示范建设”三大工程，全面提升县城综合承载能力，积极</w:t>
      </w:r>
      <w:r>
        <w:rPr>
          <w:color w:val="auto"/>
        </w:rPr>
        <w:t>推进</w:t>
      </w:r>
      <w:r>
        <w:rPr>
          <w:rFonts w:hint="eastAsia"/>
          <w:color w:val="auto"/>
        </w:rPr>
        <w:t>“撤县设市”，建设宜居宜业的魅力新城。到202</w:t>
      </w:r>
      <w:r>
        <w:rPr>
          <w:color w:val="auto"/>
        </w:rPr>
        <w:t>5</w:t>
      </w:r>
      <w:r>
        <w:rPr>
          <w:rFonts w:hint="eastAsia"/>
          <w:color w:val="auto"/>
        </w:rPr>
        <w:t>年，全县城镇化率达到</w:t>
      </w:r>
      <w:r>
        <w:rPr>
          <w:color w:val="auto"/>
        </w:rPr>
        <w:t>57</w:t>
      </w:r>
      <w:r>
        <w:rPr>
          <w:rFonts w:hint="eastAsia"/>
          <w:color w:val="auto"/>
        </w:rPr>
        <w:t>%左右，基本形成集约高效互动的城乡协调发展新格局。</w:t>
      </w:r>
    </w:p>
    <w:p>
      <w:pPr>
        <w:pStyle w:val="3"/>
        <w:spacing w:before="204"/>
        <w:ind w:firstLine="560" w:firstLineChars="200"/>
        <w:rPr>
          <w:color w:val="auto"/>
          <w:szCs w:val="30"/>
        </w:rPr>
      </w:pPr>
      <w:bookmarkStart w:id="16" w:name="_Toc62244269"/>
      <w:r>
        <w:rPr>
          <w:color w:val="auto"/>
          <w:szCs w:val="30"/>
        </w:rPr>
        <w:t>第</w:t>
      </w:r>
      <w:r>
        <w:rPr>
          <w:rFonts w:hint="eastAsia"/>
          <w:color w:val="auto"/>
          <w:szCs w:val="30"/>
        </w:rPr>
        <w:t>一</w:t>
      </w:r>
      <w:r>
        <w:rPr>
          <w:color w:val="auto"/>
          <w:szCs w:val="30"/>
        </w:rPr>
        <w:t>节</w:t>
      </w:r>
      <w:r>
        <w:rPr>
          <w:rFonts w:hint="eastAsia"/>
          <w:color w:val="auto"/>
          <w:szCs w:val="30"/>
        </w:rPr>
        <w:t xml:space="preserve">  全面提升城市面貌和功能品质</w:t>
      </w:r>
      <w:bookmarkEnd w:id="16"/>
    </w:p>
    <w:p>
      <w:pPr>
        <w:ind w:firstLine="560"/>
        <w:rPr>
          <w:color w:val="auto"/>
        </w:rPr>
      </w:pPr>
      <w:r>
        <w:rPr>
          <w:rFonts w:hint="eastAsia"/>
          <w:color w:val="auto"/>
        </w:rPr>
        <w:t>围绕</w:t>
      </w:r>
      <w:r>
        <w:rPr>
          <w:color w:val="auto"/>
        </w:rPr>
        <w:t>保定市西部中心城市定位，</w:t>
      </w:r>
      <w:r>
        <w:rPr>
          <w:rFonts w:hint="eastAsia"/>
          <w:color w:val="auto"/>
        </w:rPr>
        <w:t>深入实施</w:t>
      </w:r>
      <w:r>
        <w:rPr>
          <w:color w:val="auto"/>
        </w:rPr>
        <w:t>城市更新行动，</w:t>
      </w:r>
      <w:r>
        <w:rPr>
          <w:rFonts w:hint="eastAsia"/>
          <w:color w:val="auto"/>
        </w:rPr>
        <w:t>加速</w:t>
      </w:r>
      <w:r>
        <w:rPr>
          <w:color w:val="auto"/>
        </w:rPr>
        <w:t>扩容提质</w:t>
      </w:r>
      <w:r>
        <w:rPr>
          <w:rFonts w:hint="eastAsia"/>
          <w:color w:val="auto"/>
        </w:rPr>
        <w:t>，</w:t>
      </w:r>
      <w:r>
        <w:rPr>
          <w:color w:val="auto"/>
        </w:rPr>
        <w:t>完善城市功能</w:t>
      </w:r>
      <w:r>
        <w:rPr>
          <w:rFonts w:hint="eastAsia"/>
          <w:color w:val="auto"/>
        </w:rPr>
        <w:t>，</w:t>
      </w:r>
      <w:r>
        <w:rPr>
          <w:color w:val="auto"/>
        </w:rPr>
        <w:t>提升城市形象，</w:t>
      </w:r>
      <w:r>
        <w:rPr>
          <w:rFonts w:hint="eastAsia"/>
          <w:color w:val="auto"/>
        </w:rPr>
        <w:t>打造阜平</w:t>
      </w:r>
      <w:r>
        <w:rPr>
          <w:color w:val="auto"/>
        </w:rPr>
        <w:t>特色品质生活之城。</w:t>
      </w:r>
    </w:p>
    <w:p>
      <w:pPr>
        <w:pStyle w:val="4"/>
        <w:numPr>
          <w:ilvl w:val="0"/>
          <w:numId w:val="0"/>
        </w:numPr>
        <w:ind w:left="643"/>
        <w:rPr>
          <w:color w:val="auto"/>
        </w:rPr>
      </w:pPr>
      <w:r>
        <w:rPr>
          <w:rFonts w:hint="eastAsia"/>
          <w:color w:val="auto"/>
        </w:rPr>
        <w:t>一</w:t>
      </w:r>
      <w:r>
        <w:rPr>
          <w:color w:val="auto"/>
        </w:rPr>
        <w:t>、</w:t>
      </w:r>
      <w:r>
        <w:rPr>
          <w:rFonts w:hint="eastAsia"/>
          <w:color w:val="auto"/>
        </w:rPr>
        <w:t>着力打造繁荣品质主城区</w:t>
      </w:r>
    </w:p>
    <w:p>
      <w:pPr>
        <w:ind w:firstLine="562"/>
        <w:rPr>
          <w:color w:val="auto"/>
        </w:rPr>
      </w:pPr>
      <w:r>
        <w:rPr>
          <w:rFonts w:hint="eastAsia"/>
          <w:b/>
          <w:color w:val="auto"/>
        </w:rPr>
        <w:t>统筹实施</w:t>
      </w:r>
      <w:r>
        <w:rPr>
          <w:b/>
          <w:color w:val="auto"/>
        </w:rPr>
        <w:t>主城区</w:t>
      </w:r>
      <w:r>
        <w:rPr>
          <w:rFonts w:hint="eastAsia"/>
          <w:b/>
          <w:color w:val="auto"/>
        </w:rPr>
        <w:t>“微整形”工程</w:t>
      </w:r>
      <w:r>
        <w:rPr>
          <w:rFonts w:hint="eastAsia"/>
          <w:color w:val="auto"/>
        </w:rPr>
        <w:t>。按照</w:t>
      </w:r>
      <w:r>
        <w:rPr>
          <w:color w:val="auto"/>
        </w:rPr>
        <w:t>政府主导区、政策引导区、保留改善区划分策略，</w:t>
      </w:r>
      <w:r>
        <w:rPr>
          <w:rFonts w:hint="eastAsia"/>
          <w:color w:val="auto"/>
        </w:rPr>
        <w:t>分类</w:t>
      </w:r>
      <w:r>
        <w:rPr>
          <w:color w:val="auto"/>
        </w:rPr>
        <w:t>分区</w:t>
      </w:r>
      <w:r>
        <w:rPr>
          <w:rFonts w:hint="eastAsia"/>
          <w:color w:val="auto"/>
        </w:rPr>
        <w:t>逐步实施</w:t>
      </w:r>
      <w:r>
        <w:rPr>
          <w:color w:val="auto"/>
        </w:rPr>
        <w:t>重点</w:t>
      </w:r>
      <w:r>
        <w:rPr>
          <w:rFonts w:hint="eastAsia"/>
          <w:color w:val="auto"/>
        </w:rPr>
        <w:t>街区</w:t>
      </w:r>
      <w:r>
        <w:rPr>
          <w:color w:val="auto"/>
        </w:rPr>
        <w:t>打造工程</w:t>
      </w:r>
      <w:r>
        <w:rPr>
          <w:rFonts w:hint="eastAsia"/>
          <w:color w:val="auto"/>
        </w:rPr>
        <w:t>。坚持“文化风韵+片区更新+街道提升+社区”原则</w:t>
      </w:r>
      <w:r>
        <w:rPr>
          <w:color w:val="auto"/>
        </w:rPr>
        <w:t>，</w:t>
      </w:r>
      <w:r>
        <w:rPr>
          <w:rFonts w:hint="eastAsia"/>
          <w:color w:val="auto"/>
        </w:rPr>
        <w:t>继续推进重点城中村和棚户区</w:t>
      </w:r>
      <w:r>
        <w:rPr>
          <w:color w:val="auto"/>
        </w:rPr>
        <w:t>改造，</w:t>
      </w:r>
      <w:r>
        <w:rPr>
          <w:rFonts w:hint="eastAsia"/>
          <w:color w:val="auto"/>
        </w:rPr>
        <w:t>加快市政路网</w:t>
      </w:r>
      <w:r>
        <w:rPr>
          <w:color w:val="auto"/>
        </w:rPr>
        <w:t>和</w:t>
      </w:r>
      <w:r>
        <w:rPr>
          <w:rFonts w:hint="eastAsia"/>
          <w:color w:val="auto"/>
        </w:rPr>
        <w:t>基础设施建设，集中</w:t>
      </w:r>
      <w:r>
        <w:rPr>
          <w:color w:val="auto"/>
        </w:rPr>
        <w:t>建设改造一批标志性路段，</w:t>
      </w:r>
      <w:r>
        <w:rPr>
          <w:rFonts w:hint="eastAsia"/>
          <w:color w:val="auto"/>
        </w:rPr>
        <w:t>推进</w:t>
      </w:r>
      <w:r>
        <w:rPr>
          <w:color w:val="auto"/>
        </w:rPr>
        <w:t>实施</w:t>
      </w:r>
      <w:r>
        <w:rPr>
          <w:rFonts w:hint="eastAsia"/>
          <w:color w:val="auto"/>
        </w:rPr>
        <w:t>综合管廊</w:t>
      </w:r>
      <w:r>
        <w:rPr>
          <w:color w:val="auto"/>
        </w:rPr>
        <w:t>建设</w:t>
      </w:r>
      <w:r>
        <w:rPr>
          <w:rFonts w:hint="eastAsia"/>
          <w:color w:val="auto"/>
        </w:rPr>
        <w:t>工程，强化城镇化强弱项补短板工作</w:t>
      </w:r>
      <w:r>
        <w:rPr>
          <w:color w:val="auto"/>
        </w:rPr>
        <w:t>；</w:t>
      </w:r>
      <w:r>
        <w:rPr>
          <w:rFonts w:hint="eastAsia"/>
          <w:color w:val="auto"/>
        </w:rPr>
        <w:t>做好</w:t>
      </w:r>
      <w:r>
        <w:rPr>
          <w:color w:val="auto"/>
        </w:rPr>
        <w:t>老城</w:t>
      </w:r>
      <w:r>
        <w:rPr>
          <w:rFonts w:hint="eastAsia"/>
          <w:color w:val="auto"/>
        </w:rPr>
        <w:t>微整治</w:t>
      </w:r>
      <w:r>
        <w:rPr>
          <w:color w:val="auto"/>
        </w:rPr>
        <w:t>、微改造、微更新</w:t>
      </w:r>
      <w:r>
        <w:rPr>
          <w:rFonts w:hint="eastAsia"/>
          <w:color w:val="auto"/>
        </w:rPr>
        <w:t>，梳理</w:t>
      </w:r>
      <w:r>
        <w:rPr>
          <w:color w:val="auto"/>
        </w:rPr>
        <w:t>整治点位，</w:t>
      </w:r>
      <w:r>
        <w:rPr>
          <w:rFonts w:hint="eastAsia"/>
          <w:color w:val="auto"/>
        </w:rPr>
        <w:t>完善社区级商业、文化、体育等公共服务设施和</w:t>
      </w:r>
      <w:r>
        <w:rPr>
          <w:color w:val="auto"/>
        </w:rPr>
        <w:t>公共空间</w:t>
      </w:r>
      <w:r>
        <w:rPr>
          <w:rFonts w:hint="eastAsia"/>
          <w:color w:val="auto"/>
        </w:rPr>
        <w:t>，增强服务可达性，</w:t>
      </w:r>
      <w:r>
        <w:rPr>
          <w:color w:val="auto"/>
        </w:rPr>
        <w:t>提高</w:t>
      </w:r>
      <w:r>
        <w:rPr>
          <w:rFonts w:hint="eastAsia"/>
          <w:color w:val="auto"/>
        </w:rPr>
        <w:t>“15分钟</w:t>
      </w:r>
      <w:r>
        <w:rPr>
          <w:color w:val="auto"/>
        </w:rPr>
        <w:t>生活圈</w:t>
      </w:r>
      <w:r>
        <w:rPr>
          <w:rFonts w:hint="eastAsia"/>
          <w:color w:val="auto"/>
        </w:rPr>
        <w:t>”覆盖范围；尊重</w:t>
      </w:r>
      <w:r>
        <w:rPr>
          <w:color w:val="auto"/>
        </w:rPr>
        <w:t>城区风貌特征</w:t>
      </w:r>
      <w:r>
        <w:rPr>
          <w:rFonts w:hint="eastAsia"/>
          <w:color w:val="auto"/>
        </w:rPr>
        <w:t>，实施“形象提升”行动</w:t>
      </w:r>
      <w:r>
        <w:rPr>
          <w:color w:val="auto"/>
        </w:rPr>
        <w:t>，</w:t>
      </w:r>
      <w:r>
        <w:rPr>
          <w:rFonts w:hint="eastAsia"/>
          <w:color w:val="auto"/>
        </w:rPr>
        <w:t>打造一批体现人文元素、彰显地域特色的建筑，优化县域绿地系统布局</w:t>
      </w:r>
      <w:r>
        <w:rPr>
          <w:color w:val="auto"/>
        </w:rPr>
        <w:t>，</w:t>
      </w:r>
      <w:r>
        <w:rPr>
          <w:rFonts w:hint="eastAsia"/>
          <w:color w:val="auto"/>
        </w:rPr>
        <w:t>打造蓝绿交织、疏密有度、城水相融的山水生态城市特色。</w:t>
      </w:r>
    </w:p>
    <w:p>
      <w:pPr>
        <w:ind w:firstLine="562"/>
        <w:rPr>
          <w:color w:val="auto"/>
        </w:rPr>
      </w:pPr>
      <w:r>
        <w:rPr>
          <w:rFonts w:hint="eastAsia"/>
          <w:b/>
          <w:color w:val="auto"/>
        </w:rPr>
        <w:t>着力实施</w:t>
      </w:r>
      <w:r>
        <w:rPr>
          <w:b/>
          <w:color w:val="auto"/>
        </w:rPr>
        <w:t>城市</w:t>
      </w:r>
      <w:r>
        <w:rPr>
          <w:rFonts w:hint="eastAsia"/>
          <w:b/>
          <w:color w:val="auto"/>
        </w:rPr>
        <w:t>功能品质</w:t>
      </w:r>
      <w:r>
        <w:rPr>
          <w:b/>
          <w:color w:val="auto"/>
        </w:rPr>
        <w:t>提档升级</w:t>
      </w:r>
      <w:r>
        <w:rPr>
          <w:rFonts w:hint="eastAsia"/>
          <w:color w:val="auto"/>
        </w:rPr>
        <w:t>。实施“规划提升”行动，加强城市设计，强化分区引导，做好“一街一案、一片一策”，打造有机更新示范区。主要打造</w:t>
      </w:r>
      <w:r>
        <w:rPr>
          <w:color w:val="auto"/>
        </w:rPr>
        <w:t>面向</w:t>
      </w:r>
      <w:r>
        <w:rPr>
          <w:rFonts w:hint="eastAsia"/>
          <w:color w:val="auto"/>
        </w:rPr>
        <w:t>区域化</w:t>
      </w:r>
      <w:r>
        <w:rPr>
          <w:color w:val="auto"/>
        </w:rPr>
        <w:t>的城市综合性服务片区，重点发展行政办公、商业服务、文化娱乐、物流市场、生活居住等功能</w:t>
      </w:r>
      <w:r>
        <w:rPr>
          <w:rFonts w:hint="eastAsia"/>
          <w:color w:val="auto"/>
        </w:rPr>
        <w:t>；结合阜平西</w:t>
      </w:r>
      <w:r>
        <w:rPr>
          <w:color w:val="auto"/>
        </w:rPr>
        <w:t>高速口，</w:t>
      </w:r>
      <w:r>
        <w:rPr>
          <w:rFonts w:hint="eastAsia"/>
          <w:color w:val="auto"/>
        </w:rPr>
        <w:t>集中</w:t>
      </w:r>
      <w:r>
        <w:rPr>
          <w:color w:val="auto"/>
        </w:rPr>
        <w:t>打造特色功能区，</w:t>
      </w:r>
      <w:r>
        <w:rPr>
          <w:rFonts w:hint="eastAsia"/>
          <w:color w:val="auto"/>
        </w:rPr>
        <w:t>重点</w:t>
      </w:r>
      <w:r>
        <w:rPr>
          <w:color w:val="auto"/>
        </w:rPr>
        <w:t>发展面向全域旅游的特色服务</w:t>
      </w:r>
      <w:r>
        <w:rPr>
          <w:rFonts w:hint="eastAsia"/>
          <w:color w:val="auto"/>
        </w:rPr>
        <w:t>和</w:t>
      </w:r>
      <w:r>
        <w:rPr>
          <w:color w:val="auto"/>
        </w:rPr>
        <w:t>旅游集散功能</w:t>
      </w:r>
      <w:r>
        <w:rPr>
          <w:rFonts w:hint="eastAsia"/>
          <w:color w:val="auto"/>
        </w:rPr>
        <w:t>；结合</w:t>
      </w:r>
      <w:r>
        <w:rPr>
          <w:color w:val="auto"/>
        </w:rPr>
        <w:t>山地资源和滨水条件，打造高品质生活区，</w:t>
      </w:r>
      <w:r>
        <w:rPr>
          <w:rFonts w:hint="eastAsia"/>
          <w:color w:val="auto"/>
        </w:rPr>
        <w:t>重点</w:t>
      </w:r>
      <w:r>
        <w:rPr>
          <w:color w:val="auto"/>
        </w:rPr>
        <w:t>发展</w:t>
      </w:r>
      <w:r>
        <w:rPr>
          <w:rFonts w:hint="eastAsia"/>
          <w:color w:val="auto"/>
        </w:rPr>
        <w:t>生态居住</w:t>
      </w:r>
      <w:r>
        <w:rPr>
          <w:color w:val="auto"/>
        </w:rPr>
        <w:t>、综合商业、</w:t>
      </w:r>
      <w:r>
        <w:rPr>
          <w:rFonts w:hint="eastAsia"/>
          <w:color w:val="auto"/>
        </w:rPr>
        <w:t>教育医疗</w:t>
      </w:r>
      <w:r>
        <w:rPr>
          <w:color w:val="auto"/>
        </w:rPr>
        <w:t>、社区服务</w:t>
      </w:r>
      <w:r>
        <w:rPr>
          <w:rFonts w:hint="eastAsia"/>
          <w:color w:val="auto"/>
        </w:rPr>
        <w:t>等城市</w:t>
      </w:r>
      <w:r>
        <w:rPr>
          <w:color w:val="auto"/>
        </w:rPr>
        <w:t>功能。</w:t>
      </w:r>
    </w:p>
    <w:p>
      <w:pPr>
        <w:pStyle w:val="4"/>
        <w:numPr>
          <w:ilvl w:val="0"/>
          <w:numId w:val="0"/>
        </w:numPr>
        <w:ind w:left="643"/>
        <w:rPr>
          <w:color w:val="auto"/>
        </w:rPr>
      </w:pPr>
      <w:r>
        <w:rPr>
          <w:rFonts w:hint="eastAsia"/>
          <w:color w:val="auto"/>
        </w:rPr>
        <w:t>二</w:t>
      </w:r>
      <w:r>
        <w:rPr>
          <w:color w:val="auto"/>
        </w:rPr>
        <w:t>、</w:t>
      </w:r>
      <w:r>
        <w:rPr>
          <w:rFonts w:hint="eastAsia"/>
          <w:color w:val="auto"/>
        </w:rPr>
        <w:t>加快开发活力阜东新区</w:t>
      </w:r>
    </w:p>
    <w:p>
      <w:pPr>
        <w:ind w:firstLine="560"/>
        <w:rPr>
          <w:color w:val="auto"/>
        </w:rPr>
      </w:pPr>
      <w:r>
        <w:rPr>
          <w:rFonts w:hint="eastAsia"/>
          <w:color w:val="auto"/>
        </w:rPr>
        <w:t>以构建全县经济支撑点为目标，以产业集聚、产城融合、生态发展为宗旨，重点打造</w:t>
      </w:r>
      <w:r>
        <w:rPr>
          <w:color w:val="auto"/>
        </w:rPr>
        <w:t>阜东综合服务区</w:t>
      </w:r>
      <w:r>
        <w:rPr>
          <w:rFonts w:hint="eastAsia"/>
          <w:color w:val="auto"/>
        </w:rPr>
        <w:t>、</w:t>
      </w:r>
      <w:r>
        <w:rPr>
          <w:color w:val="auto"/>
        </w:rPr>
        <w:t>食品加工产业区、综合产业区、</w:t>
      </w:r>
      <w:r>
        <w:rPr>
          <w:rFonts w:hint="eastAsia"/>
          <w:color w:val="auto"/>
        </w:rPr>
        <w:t>高铁</w:t>
      </w:r>
      <w:r>
        <w:rPr>
          <w:color w:val="auto"/>
        </w:rPr>
        <w:t>交通枢纽区，</w:t>
      </w:r>
      <w:r>
        <w:rPr>
          <w:rFonts w:hint="eastAsia"/>
          <w:color w:val="auto"/>
        </w:rPr>
        <w:t>建设“产城教医”融合发展的省级生态开发区。着力打造产业及生产性服务业发展片区，主要布局产业综合服务、教育培训、商贸物流、农副产品加工、综合交通和城市居住功能。适度</w:t>
      </w:r>
      <w:r>
        <w:rPr>
          <w:color w:val="auto"/>
        </w:rPr>
        <w:t>凸显</w:t>
      </w:r>
      <w:r>
        <w:rPr>
          <w:rFonts w:hint="eastAsia"/>
          <w:color w:val="auto"/>
        </w:rPr>
        <w:t>现代产业风貌，加强产业园区的绿化景观设计，保障大尺度的生产空间及形象特点与周边环境和谐相融。</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highlight w:val="yellow"/>
              </w:rPr>
            </w:pPr>
            <w:r>
              <w:rPr>
                <w:rFonts w:hint="eastAsia" w:ascii="黑体" w:hAnsi="黑体" w:eastAsia="黑体"/>
                <w:color w:val="auto"/>
                <w:sz w:val="24"/>
                <w:szCs w:val="28"/>
              </w:rPr>
              <w:t>专栏</w:t>
            </w:r>
            <w:r>
              <w:rPr>
                <w:rFonts w:ascii="黑体" w:hAnsi="黑体" w:eastAsia="黑体"/>
                <w:color w:val="auto"/>
                <w:sz w:val="24"/>
                <w:szCs w:val="28"/>
              </w:rPr>
              <w:t xml:space="preserve">4-1 </w:t>
            </w:r>
            <w:r>
              <w:rPr>
                <w:rFonts w:hint="eastAsia" w:ascii="黑体" w:hAnsi="黑体" w:eastAsia="黑体"/>
                <w:color w:val="auto"/>
                <w:sz w:val="24"/>
                <w:szCs w:val="28"/>
              </w:rPr>
              <w:t>城市功能品质提升</w:t>
            </w:r>
            <w:r>
              <w:rPr>
                <w:rFonts w:ascii="黑体" w:hAnsi="黑体" w:eastAsia="黑体"/>
                <w:color w:val="auto"/>
                <w:sz w:val="24"/>
                <w:szCs w:val="28"/>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b/>
                <w:bCs/>
                <w:color w:val="auto"/>
                <w:sz w:val="24"/>
                <w:szCs w:val="28"/>
              </w:rPr>
            </w:pPr>
            <w:r>
              <w:rPr>
                <w:b/>
                <w:bCs/>
                <w:color w:val="auto"/>
                <w:sz w:val="24"/>
                <w:szCs w:val="28"/>
              </w:rPr>
              <w:t>1.</w:t>
            </w:r>
            <w:r>
              <w:rPr>
                <w:rFonts w:hint="eastAsia"/>
                <w:b/>
                <w:bCs/>
                <w:color w:val="auto"/>
                <w:sz w:val="24"/>
                <w:szCs w:val="28"/>
              </w:rPr>
              <w:t>道路</w:t>
            </w:r>
            <w:r>
              <w:rPr>
                <w:b/>
                <w:bCs/>
                <w:color w:val="auto"/>
                <w:sz w:val="24"/>
                <w:szCs w:val="28"/>
              </w:rPr>
              <w:t>及</w:t>
            </w:r>
            <w:r>
              <w:rPr>
                <w:rFonts w:hint="eastAsia"/>
                <w:b/>
                <w:bCs/>
                <w:color w:val="auto"/>
                <w:sz w:val="24"/>
                <w:szCs w:val="28"/>
              </w:rPr>
              <w:t>综合管廊</w:t>
            </w:r>
            <w:r>
              <w:rPr>
                <w:b/>
                <w:bCs/>
                <w:color w:val="auto"/>
                <w:sz w:val="24"/>
                <w:szCs w:val="28"/>
              </w:rPr>
              <w:t>建设工程</w:t>
            </w:r>
          </w:p>
          <w:p>
            <w:pPr>
              <w:adjustRightInd w:val="0"/>
              <w:snapToGrid w:val="0"/>
              <w:ind w:firstLine="482"/>
              <w:rPr>
                <w:bCs/>
                <w:color w:val="auto"/>
                <w:sz w:val="24"/>
                <w:szCs w:val="28"/>
              </w:rPr>
            </w:pPr>
            <w:r>
              <w:rPr>
                <w:rFonts w:hint="eastAsia"/>
                <w:b/>
                <w:bCs/>
                <w:color w:val="auto"/>
                <w:sz w:val="24"/>
                <w:szCs w:val="28"/>
              </w:rPr>
              <w:t>东庄大桥</w:t>
            </w:r>
            <w:r>
              <w:rPr>
                <w:rFonts w:hint="eastAsia"/>
                <w:bCs/>
                <w:color w:val="auto"/>
                <w:sz w:val="24"/>
                <w:szCs w:val="28"/>
              </w:rPr>
              <w:t>。路线起点位于阜东大街与沙河北路的交点，桥梁跨越大沙河，终点交于苍山东路。道路设计总长为1222.304米，规划红线宽度24米；东庄大桥全长420米。项目</w:t>
            </w:r>
            <w:r>
              <w:rPr>
                <w:rFonts w:hint="eastAsia"/>
                <w:color w:val="auto"/>
                <w:sz w:val="24"/>
                <w:szCs w:val="28"/>
              </w:rPr>
              <w:t>估算</w:t>
            </w:r>
            <w:r>
              <w:rPr>
                <w:rFonts w:hint="eastAsia"/>
                <w:bCs/>
                <w:color w:val="auto"/>
                <w:sz w:val="24"/>
                <w:szCs w:val="28"/>
              </w:rPr>
              <w:t>总投资1</w:t>
            </w:r>
            <w:r>
              <w:rPr>
                <w:bCs/>
                <w:color w:val="auto"/>
                <w:sz w:val="24"/>
                <w:szCs w:val="28"/>
              </w:rPr>
              <w:t>.</w:t>
            </w:r>
            <w:r>
              <w:rPr>
                <w:rFonts w:hint="eastAsia"/>
                <w:bCs/>
                <w:color w:val="auto"/>
                <w:sz w:val="24"/>
                <w:szCs w:val="28"/>
              </w:rPr>
              <w:t>47</w:t>
            </w:r>
            <w:r>
              <w:rPr>
                <w:bCs/>
                <w:color w:val="auto"/>
                <w:sz w:val="24"/>
                <w:szCs w:val="28"/>
              </w:rPr>
              <w:t>2</w:t>
            </w:r>
            <w:r>
              <w:rPr>
                <w:rFonts w:hint="eastAsia"/>
                <w:bCs/>
                <w:color w:val="auto"/>
                <w:sz w:val="24"/>
                <w:szCs w:val="28"/>
              </w:rPr>
              <w:t>亿元。</w:t>
            </w:r>
          </w:p>
          <w:p>
            <w:pPr>
              <w:adjustRightInd w:val="0"/>
              <w:snapToGrid w:val="0"/>
              <w:ind w:firstLine="482"/>
              <w:rPr>
                <w:b/>
                <w:bCs/>
                <w:color w:val="auto"/>
                <w:sz w:val="24"/>
                <w:szCs w:val="28"/>
              </w:rPr>
            </w:pPr>
            <w:r>
              <w:rPr>
                <w:rFonts w:hint="eastAsia"/>
                <w:b/>
                <w:bCs/>
                <w:color w:val="auto"/>
                <w:sz w:val="24"/>
                <w:szCs w:val="28"/>
              </w:rPr>
              <w:t>西庄大桥</w:t>
            </w:r>
            <w:r>
              <w:rPr>
                <w:rFonts w:hint="eastAsia"/>
                <w:bCs/>
                <w:color w:val="auto"/>
                <w:sz w:val="24"/>
                <w:szCs w:val="28"/>
              </w:rPr>
              <w:t>。路线起点位于鹞子河东街与沙河北路的交点，桥梁跨越大沙河，交于苍山东路。道路设计总长为666.731米，规划红线宽度24米；西庄大桥全长470m。项目</w:t>
            </w:r>
            <w:r>
              <w:rPr>
                <w:rFonts w:hint="eastAsia"/>
                <w:color w:val="auto"/>
                <w:sz w:val="24"/>
                <w:szCs w:val="28"/>
              </w:rPr>
              <w:t>估算</w:t>
            </w:r>
            <w:r>
              <w:rPr>
                <w:rFonts w:hint="eastAsia"/>
                <w:bCs/>
                <w:color w:val="auto"/>
                <w:sz w:val="24"/>
                <w:szCs w:val="28"/>
              </w:rPr>
              <w:t>总投资1</w:t>
            </w:r>
            <w:r>
              <w:rPr>
                <w:bCs/>
                <w:color w:val="auto"/>
                <w:sz w:val="24"/>
                <w:szCs w:val="28"/>
              </w:rPr>
              <w:t>.</w:t>
            </w:r>
            <w:r>
              <w:rPr>
                <w:rFonts w:hint="eastAsia"/>
                <w:bCs/>
                <w:color w:val="auto"/>
                <w:sz w:val="24"/>
                <w:szCs w:val="28"/>
              </w:rPr>
              <w:t>76</w:t>
            </w:r>
            <w:r>
              <w:rPr>
                <w:bCs/>
                <w:color w:val="auto"/>
                <w:sz w:val="24"/>
                <w:szCs w:val="28"/>
              </w:rPr>
              <w:t>1</w:t>
            </w:r>
            <w:r>
              <w:rPr>
                <w:rFonts w:hint="eastAsia"/>
                <w:bCs/>
                <w:color w:val="auto"/>
                <w:sz w:val="24"/>
                <w:szCs w:val="28"/>
              </w:rPr>
              <w:t>亿元。</w:t>
            </w:r>
          </w:p>
          <w:p>
            <w:pPr>
              <w:adjustRightInd w:val="0"/>
              <w:snapToGrid w:val="0"/>
              <w:ind w:firstLine="482"/>
              <w:rPr>
                <w:b/>
                <w:bCs/>
                <w:color w:val="auto"/>
                <w:sz w:val="24"/>
                <w:szCs w:val="28"/>
              </w:rPr>
            </w:pPr>
            <w:r>
              <w:rPr>
                <w:rFonts w:hint="eastAsia"/>
                <w:b/>
                <w:bCs/>
                <w:color w:val="auto"/>
                <w:sz w:val="24"/>
                <w:szCs w:val="28"/>
              </w:rPr>
              <w:t>西山大桥</w:t>
            </w:r>
            <w:r>
              <w:rPr>
                <w:rFonts w:hint="eastAsia"/>
                <w:bCs/>
                <w:color w:val="auto"/>
                <w:sz w:val="24"/>
                <w:szCs w:val="28"/>
              </w:rPr>
              <w:t>。起点位于西山大街与派山西路的交点，采用桥梁跨越大沙河，终点交于苍山西路。道路设计总长为2305.584米，规划红线宽度24米；西山大桥全长470米。项目</w:t>
            </w:r>
            <w:r>
              <w:rPr>
                <w:rFonts w:hint="eastAsia"/>
                <w:color w:val="auto"/>
                <w:sz w:val="24"/>
                <w:szCs w:val="28"/>
              </w:rPr>
              <w:t>估算</w:t>
            </w:r>
            <w:r>
              <w:rPr>
                <w:rFonts w:hint="eastAsia"/>
                <w:bCs/>
                <w:color w:val="auto"/>
                <w:sz w:val="24"/>
                <w:szCs w:val="28"/>
              </w:rPr>
              <w:t>总投资2</w:t>
            </w:r>
            <w:r>
              <w:rPr>
                <w:bCs/>
                <w:color w:val="auto"/>
                <w:sz w:val="24"/>
                <w:szCs w:val="28"/>
              </w:rPr>
              <w:t>.</w:t>
            </w:r>
            <w:r>
              <w:rPr>
                <w:rFonts w:hint="eastAsia"/>
                <w:bCs/>
                <w:color w:val="auto"/>
                <w:sz w:val="24"/>
                <w:szCs w:val="28"/>
              </w:rPr>
              <w:t>582亿元。</w:t>
            </w:r>
          </w:p>
          <w:p>
            <w:pPr>
              <w:adjustRightInd w:val="0"/>
              <w:snapToGrid w:val="0"/>
              <w:ind w:firstLine="482"/>
              <w:rPr>
                <w:bCs/>
                <w:color w:val="auto"/>
                <w:sz w:val="24"/>
                <w:szCs w:val="28"/>
              </w:rPr>
            </w:pPr>
            <w:r>
              <w:rPr>
                <w:rFonts w:hint="eastAsia"/>
                <w:b/>
                <w:bCs/>
                <w:color w:val="auto"/>
                <w:sz w:val="24"/>
                <w:szCs w:val="28"/>
              </w:rPr>
              <w:t>苍山东路（二标段）</w:t>
            </w:r>
            <w:r>
              <w:rPr>
                <w:rFonts w:hint="eastAsia"/>
                <w:bCs/>
                <w:color w:val="auto"/>
                <w:sz w:val="24"/>
                <w:szCs w:val="28"/>
              </w:rPr>
              <w:t>。西起方太口南桥与苍山东路交口处，东至董家口大桥。路线全长约5400米，规划红线宽度26米。项目</w:t>
            </w:r>
            <w:r>
              <w:rPr>
                <w:rFonts w:hint="eastAsia"/>
                <w:color w:val="auto"/>
                <w:sz w:val="24"/>
                <w:szCs w:val="28"/>
              </w:rPr>
              <w:t>估算</w:t>
            </w:r>
            <w:r>
              <w:rPr>
                <w:rFonts w:hint="eastAsia"/>
                <w:bCs/>
                <w:color w:val="auto"/>
                <w:sz w:val="24"/>
                <w:szCs w:val="28"/>
              </w:rPr>
              <w:t>总投资约2</w:t>
            </w:r>
            <w:r>
              <w:rPr>
                <w:bCs/>
                <w:color w:val="auto"/>
                <w:sz w:val="24"/>
                <w:szCs w:val="28"/>
              </w:rPr>
              <w:t>.</w:t>
            </w:r>
            <w:r>
              <w:rPr>
                <w:rFonts w:hint="eastAsia"/>
                <w:bCs/>
                <w:color w:val="auto"/>
                <w:sz w:val="24"/>
                <w:szCs w:val="28"/>
              </w:rPr>
              <w:t>3亿元。</w:t>
            </w:r>
          </w:p>
          <w:p>
            <w:pPr>
              <w:adjustRightInd w:val="0"/>
              <w:snapToGrid w:val="0"/>
              <w:ind w:firstLine="482"/>
              <w:rPr>
                <w:color w:val="auto"/>
                <w:sz w:val="24"/>
                <w:szCs w:val="28"/>
              </w:rPr>
            </w:pPr>
            <w:r>
              <w:rPr>
                <w:rFonts w:hint="eastAsia"/>
                <w:b/>
                <w:color w:val="auto"/>
                <w:sz w:val="24"/>
                <w:szCs w:val="28"/>
              </w:rPr>
              <w:t>照旺台北大街</w:t>
            </w:r>
            <w:r>
              <w:rPr>
                <w:rFonts w:hint="eastAsia"/>
                <w:color w:val="auto"/>
                <w:sz w:val="24"/>
                <w:szCs w:val="28"/>
              </w:rPr>
              <w:t>。西起照旺台南大街与景苑路交叉口，东至保阜高速东出口，路线全长2001.7米，道路红线宽20米。同时进行给排水工程、照明工程等附属工程建设</w:t>
            </w:r>
            <w:r>
              <w:rPr>
                <w:rFonts w:hint="eastAsia"/>
                <w:bCs/>
                <w:color w:val="auto"/>
                <w:sz w:val="24"/>
                <w:szCs w:val="28"/>
              </w:rPr>
              <w:t>。项目</w:t>
            </w:r>
            <w:r>
              <w:rPr>
                <w:rFonts w:hint="eastAsia"/>
                <w:color w:val="auto"/>
                <w:sz w:val="24"/>
                <w:szCs w:val="28"/>
              </w:rPr>
              <w:t>估算总投资0.662亿元。</w:t>
            </w:r>
          </w:p>
          <w:p>
            <w:pPr>
              <w:adjustRightInd w:val="0"/>
              <w:snapToGrid w:val="0"/>
              <w:ind w:firstLine="482"/>
              <w:rPr>
                <w:color w:val="auto"/>
                <w:sz w:val="24"/>
                <w:szCs w:val="28"/>
              </w:rPr>
            </w:pPr>
            <w:r>
              <w:rPr>
                <w:rFonts w:hint="eastAsia"/>
                <w:b/>
                <w:color w:val="auto"/>
                <w:sz w:val="24"/>
                <w:szCs w:val="28"/>
              </w:rPr>
              <w:t>恒山路</w:t>
            </w:r>
            <w:r>
              <w:rPr>
                <w:rFonts w:hint="eastAsia"/>
                <w:color w:val="auto"/>
                <w:sz w:val="24"/>
                <w:szCs w:val="28"/>
              </w:rPr>
              <w:t>。设计为城市主干路</w:t>
            </w:r>
            <w:r>
              <w:rPr>
                <w:rFonts w:hint="eastAsia"/>
                <w:bCs/>
                <w:color w:val="auto"/>
                <w:sz w:val="24"/>
                <w:szCs w:val="28"/>
              </w:rPr>
              <w:t>。</w:t>
            </w:r>
            <w:r>
              <w:rPr>
                <w:rFonts w:hint="eastAsia"/>
                <w:color w:val="auto"/>
                <w:sz w:val="24"/>
                <w:szCs w:val="28"/>
              </w:rPr>
              <w:t>恒山中路西起东关大桥，东至青沿大桥，路线全长2966米，道路红线宽30米；恒山东路西起青沿大桥，东至鹞子河西街路线全长2345米，道路红线宽30米。</w:t>
            </w:r>
            <w:r>
              <w:rPr>
                <w:rFonts w:hint="eastAsia"/>
                <w:bCs/>
                <w:color w:val="auto"/>
                <w:sz w:val="24"/>
                <w:szCs w:val="28"/>
              </w:rPr>
              <w:t>项目</w:t>
            </w:r>
            <w:r>
              <w:rPr>
                <w:rFonts w:hint="eastAsia"/>
                <w:color w:val="auto"/>
                <w:sz w:val="24"/>
                <w:szCs w:val="28"/>
              </w:rPr>
              <w:t>估算建安费约2</w:t>
            </w:r>
            <w:r>
              <w:rPr>
                <w:color w:val="auto"/>
                <w:sz w:val="24"/>
                <w:szCs w:val="28"/>
              </w:rPr>
              <w:t>.</w:t>
            </w:r>
            <w:r>
              <w:rPr>
                <w:rFonts w:hint="eastAsia"/>
                <w:color w:val="auto"/>
                <w:sz w:val="24"/>
                <w:szCs w:val="28"/>
              </w:rPr>
              <w:t>62亿元（不含征地拆迁及服务费）。</w:t>
            </w:r>
          </w:p>
          <w:p>
            <w:pPr>
              <w:adjustRightInd w:val="0"/>
              <w:snapToGrid w:val="0"/>
              <w:ind w:firstLine="482"/>
              <w:rPr>
                <w:color w:val="auto"/>
                <w:sz w:val="24"/>
                <w:szCs w:val="28"/>
              </w:rPr>
            </w:pPr>
            <w:r>
              <w:rPr>
                <w:rFonts w:hint="eastAsia"/>
                <w:b/>
                <w:color w:val="auto"/>
                <w:sz w:val="24"/>
                <w:szCs w:val="28"/>
              </w:rPr>
              <w:t>四里庄街</w:t>
            </w:r>
            <w:r>
              <w:rPr>
                <w:rFonts w:hint="eastAsia"/>
                <w:color w:val="auto"/>
                <w:sz w:val="24"/>
                <w:szCs w:val="28"/>
              </w:rPr>
              <w:t>。全长约1200米，红线宽度20米</w:t>
            </w:r>
            <w:r>
              <w:rPr>
                <w:rFonts w:hint="eastAsia"/>
                <w:bCs/>
                <w:color w:val="auto"/>
                <w:sz w:val="24"/>
                <w:szCs w:val="28"/>
              </w:rPr>
              <w:t>。项目</w:t>
            </w:r>
            <w:r>
              <w:rPr>
                <w:rFonts w:hint="eastAsia"/>
                <w:color w:val="auto"/>
                <w:sz w:val="24"/>
                <w:szCs w:val="28"/>
              </w:rPr>
              <w:t>估算投资0.26亿元。</w:t>
            </w:r>
          </w:p>
          <w:p>
            <w:pPr>
              <w:adjustRightInd w:val="0"/>
              <w:snapToGrid w:val="0"/>
              <w:ind w:firstLine="482"/>
              <w:rPr>
                <w:color w:val="auto"/>
                <w:sz w:val="24"/>
                <w:szCs w:val="28"/>
              </w:rPr>
            </w:pPr>
            <w:r>
              <w:rPr>
                <w:rFonts w:hint="eastAsia"/>
                <w:b/>
                <w:color w:val="auto"/>
                <w:sz w:val="24"/>
                <w:szCs w:val="28"/>
              </w:rPr>
              <w:t>英姿路</w:t>
            </w:r>
            <w:r>
              <w:rPr>
                <w:rFonts w:hint="eastAsia"/>
                <w:color w:val="auto"/>
                <w:sz w:val="24"/>
                <w:szCs w:val="28"/>
              </w:rPr>
              <w:t>。全长593米，红线宽度18米</w:t>
            </w:r>
            <w:r>
              <w:rPr>
                <w:rFonts w:hint="eastAsia"/>
                <w:bCs/>
                <w:color w:val="auto"/>
                <w:sz w:val="24"/>
                <w:szCs w:val="28"/>
              </w:rPr>
              <w:t>。项目</w:t>
            </w:r>
            <w:r>
              <w:rPr>
                <w:rFonts w:hint="eastAsia"/>
                <w:color w:val="auto"/>
                <w:sz w:val="24"/>
                <w:szCs w:val="28"/>
              </w:rPr>
              <w:t>估算投资0.12亿元。</w:t>
            </w:r>
          </w:p>
          <w:p>
            <w:pPr>
              <w:adjustRightInd w:val="0"/>
              <w:snapToGrid w:val="0"/>
              <w:ind w:firstLine="482"/>
              <w:rPr>
                <w:color w:val="auto"/>
                <w:sz w:val="24"/>
                <w:szCs w:val="28"/>
              </w:rPr>
            </w:pPr>
            <w:r>
              <w:rPr>
                <w:rFonts w:hint="eastAsia"/>
                <w:b/>
                <w:color w:val="auto"/>
                <w:sz w:val="24"/>
                <w:szCs w:val="28"/>
              </w:rPr>
              <w:t>北环路改造提升</w:t>
            </w:r>
            <w:r>
              <w:rPr>
                <w:rFonts w:hint="eastAsia"/>
                <w:color w:val="auto"/>
                <w:sz w:val="24"/>
                <w:szCs w:val="28"/>
              </w:rPr>
              <w:t>。长度2960米，起点为207国道（阜盛南大街），终点阜平西高速引线（恒山西路），道路红线宽24米，其中主路面宽15米（已建成），每侧扩建4.5米人行道及10米绿化带</w:t>
            </w:r>
            <w:r>
              <w:rPr>
                <w:rFonts w:hint="eastAsia"/>
                <w:bCs/>
                <w:color w:val="auto"/>
                <w:sz w:val="24"/>
                <w:szCs w:val="28"/>
              </w:rPr>
              <w:t>。项目</w:t>
            </w:r>
            <w:r>
              <w:rPr>
                <w:rFonts w:hint="eastAsia"/>
                <w:color w:val="auto"/>
                <w:sz w:val="24"/>
                <w:szCs w:val="28"/>
              </w:rPr>
              <w:t>估算投资0.6亿元。</w:t>
            </w:r>
          </w:p>
          <w:p>
            <w:pPr>
              <w:adjustRightInd w:val="0"/>
              <w:snapToGrid w:val="0"/>
              <w:ind w:firstLine="482"/>
              <w:rPr>
                <w:bCs/>
                <w:color w:val="auto"/>
                <w:sz w:val="24"/>
                <w:szCs w:val="28"/>
              </w:rPr>
            </w:pPr>
            <w:r>
              <w:rPr>
                <w:rFonts w:hint="eastAsia"/>
                <w:b/>
                <w:bCs/>
                <w:color w:val="auto"/>
                <w:sz w:val="24"/>
                <w:szCs w:val="28"/>
              </w:rPr>
              <w:t>阜盛北大街、阜盛南大街及综合管廊</w:t>
            </w:r>
            <w:r>
              <w:rPr>
                <w:rFonts w:hint="eastAsia"/>
                <w:bCs/>
                <w:color w:val="auto"/>
                <w:sz w:val="24"/>
                <w:szCs w:val="28"/>
              </w:rPr>
              <w:t>。道路总长3532.9米，包含道路两侧做5-8米绿化景观及雨、污水、照明工程。项目</w:t>
            </w:r>
            <w:r>
              <w:rPr>
                <w:rFonts w:hint="eastAsia"/>
                <w:color w:val="auto"/>
                <w:sz w:val="24"/>
                <w:szCs w:val="28"/>
              </w:rPr>
              <w:t>估算总投资</w:t>
            </w:r>
            <w:r>
              <w:rPr>
                <w:color w:val="auto"/>
                <w:sz w:val="24"/>
                <w:szCs w:val="28"/>
              </w:rPr>
              <w:t>2.718</w:t>
            </w:r>
            <w:r>
              <w:rPr>
                <w:rFonts w:hint="eastAsia"/>
                <w:color w:val="auto"/>
                <w:sz w:val="24"/>
                <w:szCs w:val="28"/>
              </w:rPr>
              <w:t>亿元。</w:t>
            </w:r>
          </w:p>
          <w:p>
            <w:pPr>
              <w:adjustRightInd w:val="0"/>
              <w:snapToGrid w:val="0"/>
              <w:ind w:firstLine="482"/>
              <w:rPr>
                <w:color w:val="auto"/>
                <w:sz w:val="24"/>
                <w:szCs w:val="28"/>
              </w:rPr>
            </w:pPr>
            <w:r>
              <w:rPr>
                <w:rFonts w:hint="eastAsia"/>
                <w:b/>
                <w:bCs/>
                <w:color w:val="auto"/>
                <w:sz w:val="24"/>
                <w:szCs w:val="28"/>
              </w:rPr>
              <w:t>双庙大街及综合管廊</w:t>
            </w:r>
            <w:r>
              <w:rPr>
                <w:rFonts w:hint="eastAsia"/>
                <w:bCs/>
                <w:color w:val="auto"/>
                <w:sz w:val="24"/>
                <w:szCs w:val="28"/>
              </w:rPr>
              <w:t>。道路总长1130米，道路等级城市主干路道路红线宽度为20米，主要建设内容包括道路工程、雨、污水工程、给水工程、交通工程、照明工程。项目</w:t>
            </w:r>
            <w:r>
              <w:rPr>
                <w:rFonts w:hint="eastAsia"/>
                <w:color w:val="auto"/>
                <w:sz w:val="24"/>
                <w:szCs w:val="28"/>
              </w:rPr>
              <w:t>估算总投资</w:t>
            </w:r>
            <w:r>
              <w:rPr>
                <w:color w:val="auto"/>
                <w:sz w:val="24"/>
                <w:szCs w:val="28"/>
              </w:rPr>
              <w:t>1.565</w:t>
            </w:r>
            <w:r>
              <w:rPr>
                <w:rFonts w:hint="eastAsia"/>
                <w:color w:val="auto"/>
                <w:sz w:val="24"/>
                <w:szCs w:val="28"/>
              </w:rPr>
              <w:t>亿元。</w:t>
            </w:r>
          </w:p>
          <w:p>
            <w:pPr>
              <w:adjustRightInd w:val="0"/>
              <w:snapToGrid w:val="0"/>
              <w:ind w:firstLine="482"/>
              <w:rPr>
                <w:b/>
                <w:color w:val="auto"/>
                <w:sz w:val="24"/>
                <w:szCs w:val="28"/>
              </w:rPr>
            </w:pPr>
            <w:r>
              <w:rPr>
                <w:b/>
                <w:color w:val="auto"/>
                <w:sz w:val="24"/>
                <w:szCs w:val="28"/>
              </w:rPr>
              <w:t>2</w:t>
            </w:r>
            <w:r>
              <w:rPr>
                <w:rFonts w:hint="eastAsia"/>
                <w:b/>
                <w:color w:val="auto"/>
                <w:sz w:val="24"/>
                <w:szCs w:val="28"/>
              </w:rPr>
              <w:t>.公园绿化工程</w:t>
            </w:r>
          </w:p>
          <w:p>
            <w:pPr>
              <w:adjustRightInd w:val="0"/>
              <w:snapToGrid w:val="0"/>
              <w:ind w:firstLine="482"/>
              <w:rPr>
                <w:b/>
                <w:color w:val="auto"/>
                <w:sz w:val="24"/>
                <w:szCs w:val="28"/>
              </w:rPr>
            </w:pPr>
            <w:r>
              <w:rPr>
                <w:rFonts w:hint="eastAsia"/>
                <w:b/>
                <w:color w:val="auto"/>
                <w:sz w:val="24"/>
                <w:szCs w:val="28"/>
              </w:rPr>
              <w:t>阜平公园</w:t>
            </w:r>
            <w:r>
              <w:rPr>
                <w:rFonts w:hint="eastAsia"/>
                <w:color w:val="auto"/>
                <w:sz w:val="24"/>
                <w:szCs w:val="28"/>
              </w:rPr>
              <w:t>。建设面积为160亩左右，</w:t>
            </w:r>
            <w:r>
              <w:rPr>
                <w:rFonts w:hint="eastAsia"/>
                <w:bCs/>
                <w:color w:val="auto"/>
                <w:sz w:val="24"/>
                <w:szCs w:val="28"/>
              </w:rPr>
              <w:t>项目</w:t>
            </w:r>
            <w:r>
              <w:rPr>
                <w:rFonts w:hint="eastAsia"/>
                <w:color w:val="auto"/>
                <w:sz w:val="24"/>
                <w:szCs w:val="28"/>
              </w:rPr>
              <w:t>计划投资0.18亿元（不含征迁）。</w:t>
            </w:r>
          </w:p>
          <w:p>
            <w:pPr>
              <w:adjustRightInd w:val="0"/>
              <w:snapToGrid w:val="0"/>
              <w:ind w:firstLine="482"/>
              <w:rPr>
                <w:color w:val="auto"/>
                <w:sz w:val="24"/>
                <w:szCs w:val="28"/>
              </w:rPr>
            </w:pPr>
            <w:r>
              <w:rPr>
                <w:rFonts w:hint="eastAsia"/>
                <w:b/>
                <w:color w:val="auto"/>
                <w:sz w:val="24"/>
                <w:szCs w:val="28"/>
              </w:rPr>
              <w:t>照旺台公园</w:t>
            </w:r>
            <w:r>
              <w:rPr>
                <w:rFonts w:hint="eastAsia"/>
                <w:color w:val="auto"/>
                <w:sz w:val="24"/>
                <w:szCs w:val="28"/>
              </w:rPr>
              <w:t>。占地面积21亩，</w:t>
            </w:r>
            <w:r>
              <w:rPr>
                <w:rFonts w:hint="eastAsia"/>
                <w:bCs/>
                <w:color w:val="auto"/>
                <w:sz w:val="24"/>
                <w:szCs w:val="28"/>
              </w:rPr>
              <w:t>项目</w:t>
            </w:r>
            <w:r>
              <w:rPr>
                <w:rFonts w:hint="eastAsia"/>
                <w:color w:val="auto"/>
                <w:sz w:val="24"/>
                <w:szCs w:val="28"/>
              </w:rPr>
              <w:t>计划投资0.082亿元。</w:t>
            </w:r>
          </w:p>
          <w:p>
            <w:pPr>
              <w:adjustRightInd w:val="0"/>
              <w:snapToGrid w:val="0"/>
              <w:ind w:firstLine="482"/>
              <w:rPr>
                <w:b/>
                <w:color w:val="auto"/>
                <w:sz w:val="24"/>
                <w:szCs w:val="28"/>
              </w:rPr>
            </w:pPr>
            <w:r>
              <w:rPr>
                <w:rFonts w:hint="eastAsia"/>
                <w:b/>
                <w:color w:val="auto"/>
                <w:sz w:val="24"/>
                <w:szCs w:val="28"/>
              </w:rPr>
              <w:t>照旺台桥以南北沟河段绿化工程</w:t>
            </w:r>
            <w:r>
              <w:rPr>
                <w:rFonts w:hint="eastAsia"/>
                <w:color w:val="auto"/>
                <w:sz w:val="24"/>
                <w:szCs w:val="28"/>
              </w:rPr>
              <w:t>。在照旺台桥以南北沟河西侧进行绿化建设，绿化面积约36亩，</w:t>
            </w:r>
            <w:r>
              <w:rPr>
                <w:rFonts w:hint="eastAsia"/>
                <w:bCs/>
                <w:color w:val="auto"/>
                <w:sz w:val="24"/>
                <w:szCs w:val="28"/>
              </w:rPr>
              <w:t>项目</w:t>
            </w:r>
            <w:r>
              <w:rPr>
                <w:rFonts w:hint="eastAsia"/>
                <w:color w:val="auto"/>
                <w:sz w:val="24"/>
                <w:szCs w:val="28"/>
              </w:rPr>
              <w:t>计划投资0.12亿元。</w:t>
            </w:r>
          </w:p>
          <w:p>
            <w:pPr>
              <w:adjustRightInd w:val="0"/>
              <w:snapToGrid w:val="0"/>
              <w:ind w:firstLine="482"/>
              <w:rPr>
                <w:b/>
                <w:color w:val="auto"/>
                <w:sz w:val="24"/>
                <w:szCs w:val="28"/>
              </w:rPr>
            </w:pPr>
            <w:r>
              <w:rPr>
                <w:b/>
                <w:color w:val="auto"/>
                <w:sz w:val="24"/>
                <w:szCs w:val="28"/>
              </w:rPr>
              <w:t>3.</w:t>
            </w:r>
            <w:r>
              <w:rPr>
                <w:rFonts w:hint="eastAsia"/>
                <w:b/>
                <w:color w:val="auto"/>
                <w:sz w:val="24"/>
                <w:szCs w:val="28"/>
              </w:rPr>
              <w:t>城市</w:t>
            </w:r>
            <w:r>
              <w:rPr>
                <w:b/>
                <w:color w:val="auto"/>
                <w:sz w:val="24"/>
                <w:szCs w:val="28"/>
              </w:rPr>
              <w:t>功能提升工程</w:t>
            </w:r>
          </w:p>
          <w:p>
            <w:pPr>
              <w:adjustRightInd w:val="0"/>
              <w:snapToGrid w:val="0"/>
              <w:ind w:firstLine="482"/>
              <w:rPr>
                <w:color w:val="auto"/>
                <w:sz w:val="24"/>
                <w:szCs w:val="28"/>
              </w:rPr>
            </w:pPr>
            <w:r>
              <w:rPr>
                <w:rFonts w:hint="eastAsia"/>
                <w:b/>
                <w:color w:val="auto"/>
                <w:sz w:val="24"/>
                <w:szCs w:val="28"/>
              </w:rPr>
              <w:t>小街小巷拓宽改造工程</w:t>
            </w:r>
            <w:r>
              <w:rPr>
                <w:rFonts w:hint="eastAsia"/>
                <w:color w:val="auto"/>
                <w:sz w:val="24"/>
                <w:szCs w:val="28"/>
              </w:rPr>
              <w:t>。对市场街、大元路、小白河村、照旺台南大街、府前街南延、法华路西延、杨树林巷、山河街、白云东街、赵家沟路、陵园路、胡子沟路、光明街、农行西巷1</w:t>
            </w:r>
            <w:r>
              <w:rPr>
                <w:color w:val="auto"/>
                <w:sz w:val="24"/>
                <w:szCs w:val="28"/>
              </w:rPr>
              <w:t>4</w:t>
            </w:r>
            <w:r>
              <w:rPr>
                <w:rFonts w:hint="eastAsia"/>
                <w:color w:val="auto"/>
                <w:sz w:val="24"/>
                <w:szCs w:val="28"/>
              </w:rPr>
              <w:t>条小街巷拓宽改造，项目估算总投资0.468亿元。</w:t>
            </w:r>
          </w:p>
          <w:p>
            <w:pPr>
              <w:adjustRightInd w:val="0"/>
              <w:snapToGrid w:val="0"/>
              <w:ind w:firstLine="482"/>
              <w:rPr>
                <w:rFonts w:ascii="仿宋_GB2312" w:hAnsi="仿宋_GB2312" w:eastAsia="仿宋_GB2312" w:cs="仿宋_GB2312"/>
                <w:color w:val="auto"/>
                <w:sz w:val="24"/>
                <w:szCs w:val="28"/>
              </w:rPr>
            </w:pPr>
            <w:r>
              <w:rPr>
                <w:rFonts w:hint="eastAsia" w:ascii="仿宋_GB2312" w:eastAsia="仿宋_GB2312"/>
                <w:b/>
                <w:bCs/>
                <w:color w:val="auto"/>
                <w:sz w:val="24"/>
                <w:szCs w:val="28"/>
              </w:rPr>
              <w:t>停车场实施</w:t>
            </w:r>
            <w:r>
              <w:rPr>
                <w:rFonts w:ascii="仿宋_GB2312" w:eastAsia="仿宋_GB2312"/>
                <w:b/>
                <w:bCs/>
                <w:color w:val="auto"/>
                <w:sz w:val="24"/>
                <w:szCs w:val="28"/>
              </w:rPr>
              <w:t>工程</w:t>
            </w:r>
            <w:r>
              <w:rPr>
                <w:rFonts w:hint="eastAsia" w:ascii="仿宋_GB2312" w:eastAsia="仿宋_GB2312"/>
                <w:b/>
                <w:bCs/>
                <w:color w:val="auto"/>
                <w:sz w:val="24"/>
                <w:szCs w:val="28"/>
              </w:rPr>
              <w:t>。</w:t>
            </w:r>
            <w:r>
              <w:rPr>
                <w:rFonts w:hint="eastAsia" w:ascii="仿宋_GB2312" w:hAnsi="仿宋_GB2312" w:eastAsia="仿宋_GB2312" w:cs="仿宋_GB2312"/>
                <w:color w:val="auto"/>
                <w:sz w:val="24"/>
                <w:szCs w:val="28"/>
              </w:rPr>
              <w:t>在城区胭脂街、阜照二街、四里庄街、山河街、城南庄路、汽车站、馨达康城、西山大街、阜盛北大街、苍山西路、火车站等地新建11座停车场，总占地50154平方米，提供车位3431个。项目估算总投资1.217亿元。</w:t>
            </w:r>
          </w:p>
          <w:p>
            <w:pPr>
              <w:adjustRightInd w:val="0"/>
              <w:snapToGrid w:val="0"/>
              <w:ind w:firstLine="482"/>
              <w:rPr>
                <w:color w:val="auto"/>
                <w:sz w:val="24"/>
                <w:szCs w:val="28"/>
              </w:rPr>
            </w:pPr>
            <w:r>
              <w:rPr>
                <w:rFonts w:hint="eastAsia"/>
                <w:b/>
                <w:color w:val="auto"/>
                <w:sz w:val="24"/>
                <w:szCs w:val="28"/>
              </w:rPr>
              <w:t>公厕</w:t>
            </w:r>
            <w:r>
              <w:rPr>
                <w:b/>
                <w:color w:val="auto"/>
                <w:sz w:val="24"/>
                <w:szCs w:val="28"/>
              </w:rPr>
              <w:t>建设</w:t>
            </w:r>
            <w:r>
              <w:rPr>
                <w:rFonts w:hint="eastAsia"/>
                <w:b/>
                <w:color w:val="auto"/>
                <w:sz w:val="24"/>
                <w:szCs w:val="28"/>
              </w:rPr>
              <w:t>提升</w:t>
            </w:r>
            <w:r>
              <w:rPr>
                <w:b/>
                <w:color w:val="auto"/>
                <w:sz w:val="24"/>
                <w:szCs w:val="28"/>
              </w:rPr>
              <w:t>工程</w:t>
            </w:r>
            <w:r>
              <w:rPr>
                <w:rFonts w:hint="eastAsia"/>
                <w:b/>
                <w:color w:val="auto"/>
                <w:sz w:val="24"/>
                <w:szCs w:val="28"/>
              </w:rPr>
              <w:t>。</w:t>
            </w:r>
            <w:r>
              <w:rPr>
                <w:rFonts w:hint="eastAsia"/>
                <w:bCs/>
                <w:color w:val="auto"/>
                <w:sz w:val="24"/>
                <w:szCs w:val="28"/>
              </w:rPr>
              <w:t>在中心城区规划新建34座配有管理间、第三卫生间、残疾人专用厕位和环卫工休息室的公厕，每座公厕占地120平方米。项目</w:t>
            </w:r>
            <w:r>
              <w:rPr>
                <w:rFonts w:hint="eastAsia"/>
                <w:color w:val="auto"/>
                <w:sz w:val="24"/>
                <w:szCs w:val="28"/>
              </w:rPr>
              <w:t>估算总投资</w:t>
            </w:r>
            <w:r>
              <w:rPr>
                <w:color w:val="auto"/>
                <w:sz w:val="24"/>
                <w:szCs w:val="28"/>
              </w:rPr>
              <w:t>0.204</w:t>
            </w:r>
            <w:r>
              <w:rPr>
                <w:rFonts w:hint="eastAsia"/>
                <w:color w:val="auto"/>
                <w:sz w:val="24"/>
                <w:szCs w:val="28"/>
              </w:rPr>
              <w:t>亿元。</w:t>
            </w:r>
          </w:p>
          <w:p>
            <w:pPr>
              <w:adjustRightInd w:val="0"/>
              <w:snapToGrid w:val="0"/>
              <w:ind w:firstLine="482"/>
              <w:rPr>
                <w:bCs/>
                <w:color w:val="auto"/>
                <w:sz w:val="24"/>
                <w:szCs w:val="28"/>
              </w:rPr>
            </w:pPr>
            <w:r>
              <w:rPr>
                <w:rFonts w:hint="eastAsia"/>
                <w:b/>
                <w:color w:val="auto"/>
                <w:sz w:val="24"/>
                <w:szCs w:val="28"/>
              </w:rPr>
              <w:t>农贸市场改造提升工程</w:t>
            </w:r>
            <w:r>
              <w:rPr>
                <w:rFonts w:hint="eastAsia"/>
                <w:color w:val="auto"/>
                <w:sz w:val="24"/>
                <w:szCs w:val="28"/>
              </w:rPr>
              <w:t>。对太行农贸市场进行提升改造；在高阜口、大道、龙门小区、马驹石、方太口、北二环、南湾、照旺台等</w:t>
            </w:r>
            <w:r>
              <w:rPr>
                <w:color w:val="auto"/>
                <w:sz w:val="24"/>
                <w:szCs w:val="28"/>
              </w:rPr>
              <w:t>区域择址</w:t>
            </w:r>
            <w:r>
              <w:rPr>
                <w:rFonts w:hint="eastAsia"/>
                <w:color w:val="auto"/>
                <w:sz w:val="24"/>
                <w:szCs w:val="28"/>
              </w:rPr>
              <w:t>建设10座农贸市场，包括商贸区、办公区和服务区。</w:t>
            </w:r>
            <w:r>
              <w:rPr>
                <w:rFonts w:hint="eastAsia"/>
                <w:bCs/>
                <w:color w:val="auto"/>
                <w:sz w:val="24"/>
                <w:szCs w:val="28"/>
              </w:rPr>
              <w:t>项目</w:t>
            </w:r>
            <w:r>
              <w:rPr>
                <w:rFonts w:hint="eastAsia"/>
                <w:color w:val="auto"/>
                <w:sz w:val="24"/>
                <w:szCs w:val="28"/>
              </w:rPr>
              <w:t>估算总投资</w:t>
            </w:r>
            <w:r>
              <w:rPr>
                <w:color w:val="auto"/>
                <w:sz w:val="24"/>
                <w:szCs w:val="28"/>
              </w:rPr>
              <w:t>0.465</w:t>
            </w:r>
            <w:r>
              <w:rPr>
                <w:rFonts w:hint="eastAsia"/>
                <w:color w:val="auto"/>
                <w:sz w:val="24"/>
                <w:szCs w:val="28"/>
              </w:rPr>
              <w:t>亿元。</w:t>
            </w:r>
          </w:p>
        </w:tc>
      </w:tr>
    </w:tbl>
    <w:p>
      <w:pPr>
        <w:pStyle w:val="3"/>
        <w:spacing w:before="204"/>
        <w:ind w:firstLine="560" w:firstLineChars="200"/>
        <w:rPr>
          <w:color w:val="auto"/>
          <w:szCs w:val="30"/>
        </w:rPr>
      </w:pPr>
      <w:bookmarkStart w:id="17" w:name="_Toc62244270"/>
      <w:r>
        <w:rPr>
          <w:color w:val="auto"/>
          <w:szCs w:val="30"/>
        </w:rPr>
        <w:t>第</w:t>
      </w:r>
      <w:r>
        <w:rPr>
          <w:rFonts w:hint="eastAsia"/>
          <w:color w:val="auto"/>
          <w:szCs w:val="30"/>
        </w:rPr>
        <w:t>二</w:t>
      </w:r>
      <w:r>
        <w:rPr>
          <w:color w:val="auto"/>
          <w:szCs w:val="30"/>
        </w:rPr>
        <w:t>节</w:t>
      </w:r>
      <w:r>
        <w:rPr>
          <w:rFonts w:hint="eastAsia"/>
          <w:color w:val="auto"/>
          <w:szCs w:val="30"/>
        </w:rPr>
        <w:t xml:space="preserve">  因地制宜推进特色小镇建设</w:t>
      </w:r>
      <w:bookmarkEnd w:id="17"/>
    </w:p>
    <w:p>
      <w:pPr>
        <w:ind w:firstLine="560"/>
        <w:rPr>
          <w:color w:val="auto"/>
        </w:rPr>
      </w:pPr>
      <w:r>
        <w:rPr>
          <w:rFonts w:hint="eastAsia"/>
          <w:color w:val="auto"/>
        </w:rPr>
        <w:t>贯彻“一镇一主业、一镇一风格”发展思路，打造</w:t>
      </w:r>
      <w:r>
        <w:rPr>
          <w:color w:val="auto"/>
        </w:rPr>
        <w:t>一批</w:t>
      </w:r>
      <w:r>
        <w:rPr>
          <w:rFonts w:hint="eastAsia"/>
          <w:color w:val="auto"/>
        </w:rPr>
        <w:t>产业特而强、功能聚而合、形态精而美、机制活而新的精品特色小镇，为全县坚定实施扩大内需战略和新型城镇化战略提供支撑。</w:t>
      </w:r>
    </w:p>
    <w:p>
      <w:pPr>
        <w:pStyle w:val="4"/>
        <w:numPr>
          <w:ilvl w:val="0"/>
          <w:numId w:val="0"/>
        </w:numPr>
        <w:ind w:left="643"/>
        <w:rPr>
          <w:color w:val="auto"/>
        </w:rPr>
      </w:pPr>
      <w:r>
        <w:rPr>
          <w:rFonts w:hint="eastAsia"/>
          <w:color w:val="auto"/>
        </w:rPr>
        <w:t>一</w:t>
      </w:r>
      <w:r>
        <w:rPr>
          <w:color w:val="auto"/>
        </w:rPr>
        <w:t>、</w:t>
      </w:r>
      <w:r>
        <w:rPr>
          <w:rFonts w:hint="eastAsia"/>
          <w:color w:val="auto"/>
        </w:rPr>
        <w:t>有序打造高质量特色小镇</w:t>
      </w:r>
    </w:p>
    <w:p>
      <w:pPr>
        <w:ind w:firstLine="562"/>
        <w:rPr>
          <w:color w:val="auto"/>
        </w:rPr>
      </w:pPr>
      <w:r>
        <w:rPr>
          <w:rFonts w:hint="eastAsia"/>
          <w:b/>
          <w:color w:val="auto"/>
        </w:rPr>
        <w:t>准确定位优化空间布局</w:t>
      </w:r>
      <w:r>
        <w:rPr>
          <w:rFonts w:hint="eastAsia"/>
          <w:color w:val="auto"/>
        </w:rPr>
        <w:t>。以“全国重点镇”和全省“百镇建设”为抓手，加快完善设施建设，鼓励引导资金、技术、人才等要素向北果园镇、龙泉关镇、城南庄镇等中心镇集聚，打造一批</w:t>
      </w:r>
      <w:r>
        <w:rPr>
          <w:color w:val="auto"/>
        </w:rPr>
        <w:t>作为新型</w:t>
      </w:r>
      <w:r>
        <w:rPr>
          <w:rFonts w:hint="eastAsia"/>
          <w:color w:val="auto"/>
        </w:rPr>
        <w:t>城镇化重要载体的特色小镇，形成功能复合型小而精的公共组团，增强对农村腹地的带动作用。以顾家台</w:t>
      </w:r>
      <w:r>
        <w:rPr>
          <w:color w:val="auto"/>
        </w:rPr>
        <w:t>、骆驼湾</w:t>
      </w:r>
      <w:r>
        <w:rPr>
          <w:rFonts w:hint="eastAsia"/>
          <w:color w:val="auto"/>
        </w:rPr>
        <w:t>脱贫攻坚</w:t>
      </w:r>
      <w:r>
        <w:rPr>
          <w:color w:val="auto"/>
        </w:rPr>
        <w:t>成果展示</w:t>
      </w:r>
      <w:r>
        <w:rPr>
          <w:rFonts w:hint="eastAsia"/>
          <w:color w:val="auto"/>
        </w:rPr>
        <w:t>为</w:t>
      </w:r>
      <w:r>
        <w:rPr>
          <w:color w:val="auto"/>
        </w:rPr>
        <w:t>窗口，继续完善区域化基础设施，</w:t>
      </w:r>
      <w:r>
        <w:rPr>
          <w:rFonts w:hint="eastAsia"/>
          <w:color w:val="auto"/>
        </w:rPr>
        <w:t>提炼彰显</w:t>
      </w:r>
      <w:r>
        <w:rPr>
          <w:color w:val="auto"/>
        </w:rPr>
        <w:t>人文和区域</w:t>
      </w:r>
      <w:r>
        <w:rPr>
          <w:rFonts w:hint="eastAsia"/>
          <w:color w:val="auto"/>
        </w:rPr>
        <w:t>特色</w:t>
      </w:r>
      <w:r>
        <w:rPr>
          <w:color w:val="auto"/>
        </w:rPr>
        <w:t>风貌，提升现代化服务能力和水平，丰富</w:t>
      </w:r>
      <w:r>
        <w:rPr>
          <w:rFonts w:hint="eastAsia"/>
          <w:color w:val="auto"/>
        </w:rPr>
        <w:t>多元化</w:t>
      </w:r>
      <w:r>
        <w:rPr>
          <w:color w:val="auto"/>
        </w:rPr>
        <w:t>感知和体验元素，</w:t>
      </w:r>
      <w:r>
        <w:rPr>
          <w:rFonts w:hint="eastAsia"/>
          <w:color w:val="auto"/>
        </w:rPr>
        <w:t>着力</w:t>
      </w:r>
      <w:r>
        <w:rPr>
          <w:color w:val="auto"/>
        </w:rPr>
        <w:t>打造</w:t>
      </w:r>
      <w:r>
        <w:rPr>
          <w:rFonts w:hint="eastAsia"/>
          <w:color w:val="auto"/>
        </w:rPr>
        <w:t>圆梦民俗</w:t>
      </w:r>
      <w:r>
        <w:rPr>
          <w:color w:val="auto"/>
        </w:rPr>
        <w:t>小镇</w:t>
      </w:r>
      <w:r>
        <w:rPr>
          <w:rFonts w:hint="eastAsia"/>
          <w:color w:val="auto"/>
        </w:rPr>
        <w:t>；以红色</w:t>
      </w:r>
      <w:r>
        <w:rPr>
          <w:color w:val="auto"/>
        </w:rPr>
        <w:t>文化</w:t>
      </w:r>
      <w:r>
        <w:rPr>
          <w:rFonts w:hint="eastAsia"/>
          <w:color w:val="auto"/>
        </w:rPr>
        <w:t>、红色旅游、红色教育</w:t>
      </w:r>
      <w:r>
        <w:rPr>
          <w:color w:val="auto"/>
        </w:rPr>
        <w:t>资源为核心，</w:t>
      </w:r>
      <w:r>
        <w:rPr>
          <w:rFonts w:hint="eastAsia"/>
          <w:color w:val="auto"/>
        </w:rPr>
        <w:t>完善遗存建设，融合</w:t>
      </w:r>
      <w:r>
        <w:rPr>
          <w:color w:val="auto"/>
        </w:rPr>
        <w:t>科技</w:t>
      </w:r>
      <w:r>
        <w:rPr>
          <w:rFonts w:hint="eastAsia"/>
          <w:color w:val="auto"/>
        </w:rPr>
        <w:t>手段，丰富</w:t>
      </w:r>
      <w:r>
        <w:rPr>
          <w:color w:val="auto"/>
        </w:rPr>
        <w:t>教育</w:t>
      </w:r>
      <w:r>
        <w:rPr>
          <w:rFonts w:hint="eastAsia"/>
          <w:color w:val="auto"/>
        </w:rPr>
        <w:t>功能，加强</w:t>
      </w:r>
      <w:r>
        <w:rPr>
          <w:color w:val="auto"/>
        </w:rPr>
        <w:t>感受体验</w:t>
      </w:r>
      <w:r>
        <w:rPr>
          <w:rFonts w:hint="eastAsia"/>
          <w:color w:val="auto"/>
        </w:rPr>
        <w:t>，着力</w:t>
      </w:r>
      <w:r>
        <w:rPr>
          <w:color w:val="auto"/>
        </w:rPr>
        <w:t>打造</w:t>
      </w:r>
      <w:r>
        <w:rPr>
          <w:rFonts w:hint="eastAsia"/>
          <w:color w:val="auto"/>
        </w:rPr>
        <w:t>国防</w:t>
      </w:r>
      <w:r>
        <w:rPr>
          <w:color w:val="auto"/>
        </w:rPr>
        <w:t>小镇</w:t>
      </w:r>
      <w:r>
        <w:rPr>
          <w:rFonts w:hint="eastAsia"/>
          <w:color w:val="auto"/>
        </w:rPr>
        <w:t>。</w:t>
      </w:r>
    </w:p>
    <w:p>
      <w:pPr>
        <w:ind w:firstLine="562"/>
        <w:rPr>
          <w:color w:val="auto"/>
        </w:rPr>
      </w:pPr>
      <w:r>
        <w:rPr>
          <w:rFonts w:hint="eastAsia"/>
          <w:b/>
          <w:color w:val="auto"/>
        </w:rPr>
        <w:t>聚焦</w:t>
      </w:r>
      <w:r>
        <w:rPr>
          <w:b/>
          <w:color w:val="auto"/>
        </w:rPr>
        <w:t>产</w:t>
      </w:r>
      <w:r>
        <w:rPr>
          <w:rFonts w:hint="eastAsia"/>
          <w:b/>
          <w:color w:val="auto"/>
        </w:rPr>
        <w:t>城</w:t>
      </w:r>
      <w:r>
        <w:rPr>
          <w:b/>
          <w:color w:val="auto"/>
        </w:rPr>
        <w:t>人文融合发展</w:t>
      </w:r>
      <w:r>
        <w:rPr>
          <w:rFonts w:hint="eastAsia"/>
          <w:color w:val="auto"/>
        </w:rPr>
        <w:t>。科学定位、聚力发展主导产业，健全公共性、平台性产业配套设施，完善电子商务硬件设施及软件系统，配建技术研发转化设施；吸引先进要素集聚发展，助推产业基础高级化和产业链现代化，切实</w:t>
      </w:r>
      <w:r>
        <w:rPr>
          <w:color w:val="auto"/>
        </w:rPr>
        <w:t>提升</w:t>
      </w:r>
      <w:r>
        <w:rPr>
          <w:rFonts w:hint="eastAsia"/>
          <w:color w:val="auto"/>
        </w:rPr>
        <w:t>产业质量效益。推进特色小镇多元功能聚合，叠加现代社区功能，提供完整优质公共服务；叠加文化功能，促进现代生活相互交融；叠加旅游功能，加强遗产遗迹保护、生态环境修复，促进产城人文融合，打造宜业宜居宜游新型空间。</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4-2 </w:t>
            </w:r>
            <w:r>
              <w:rPr>
                <w:rFonts w:hint="eastAsia" w:ascii="黑体" w:hAnsi="黑体" w:eastAsia="黑体"/>
                <w:color w:val="auto"/>
                <w:sz w:val="24"/>
                <w:szCs w:val="28"/>
              </w:rPr>
              <w:t>特色小镇示范</w:t>
            </w:r>
            <w:r>
              <w:rPr>
                <w:rFonts w:ascii="黑体" w:hAnsi="黑体" w:eastAsia="黑体"/>
                <w:color w:val="auto"/>
                <w:sz w:val="24"/>
                <w:szCs w:val="28"/>
              </w:rPr>
              <w:t>建设工程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1．国防小镇</w:t>
            </w:r>
            <w:r>
              <w:rPr>
                <w:rFonts w:hint="eastAsia" w:ascii="仿宋_GB2312" w:eastAsia="仿宋_GB2312"/>
                <w:bCs/>
                <w:color w:val="auto"/>
                <w:sz w:val="24"/>
                <w:szCs w:val="28"/>
              </w:rPr>
              <w:t>。位于阜平县店房村，按国家4A级旅游景区规划建设，</w:t>
            </w:r>
            <w:r>
              <w:rPr>
                <w:rFonts w:ascii="仿宋_GB2312" w:eastAsia="仿宋_GB2312"/>
                <w:bCs/>
                <w:color w:val="auto"/>
                <w:sz w:val="24"/>
                <w:szCs w:val="28"/>
              </w:rPr>
              <w:t>打造</w:t>
            </w:r>
            <w:r>
              <w:rPr>
                <w:rFonts w:hint="eastAsia" w:ascii="仿宋_GB2312" w:eastAsia="仿宋_GB2312"/>
                <w:bCs/>
                <w:color w:val="auto"/>
                <w:sz w:val="24"/>
                <w:szCs w:val="28"/>
              </w:rPr>
              <w:t>国防教育、爱国主义教育为主体的综合性特色小镇，项目包含军旅体验民宿、国防旅游服务综合楼、国防体验训练场、国防装备展示园、国防战时场景打造及4A级景区配套的游息设施，建成后可实现国防教育、爱国主义教育研学基地功能，军旅体验型旅游景区功能，国防材料影视拍摄基地功能，打造教育、旅游、影视一体化国防主题小镇。项目总占地3.5平方公里，估算总投资12亿元。</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2.顾家台、骆驼湾圆梦小镇。</w:t>
            </w:r>
            <w:r>
              <w:rPr>
                <w:rFonts w:hint="eastAsia" w:ascii="仿宋_GB2312" w:eastAsia="仿宋_GB2312"/>
                <w:bCs/>
                <w:color w:val="auto"/>
                <w:sz w:val="24"/>
                <w:szCs w:val="28"/>
              </w:rPr>
              <w:t>位于龙泉关镇骆驼湾村、顾家台村，功能定位为红色文化、康养、休闲旅游等。项目规划总投资10亿元。</w:t>
            </w:r>
          </w:p>
        </w:tc>
      </w:tr>
    </w:tbl>
    <w:p>
      <w:pPr>
        <w:pStyle w:val="4"/>
        <w:numPr>
          <w:ilvl w:val="0"/>
          <w:numId w:val="0"/>
        </w:numPr>
        <w:ind w:left="643"/>
        <w:rPr>
          <w:color w:val="auto"/>
        </w:rPr>
      </w:pPr>
      <w:r>
        <w:rPr>
          <w:rFonts w:hint="eastAsia"/>
          <w:color w:val="auto"/>
        </w:rPr>
        <w:t>二</w:t>
      </w:r>
      <w:r>
        <w:rPr>
          <w:color w:val="auto"/>
        </w:rPr>
        <w:t>、</w:t>
      </w:r>
      <w:r>
        <w:rPr>
          <w:rFonts w:hint="eastAsia"/>
          <w:color w:val="auto"/>
        </w:rPr>
        <w:t>探索</w:t>
      </w:r>
      <w:r>
        <w:rPr>
          <w:color w:val="auto"/>
        </w:rPr>
        <w:t>创新</w:t>
      </w:r>
      <w:r>
        <w:rPr>
          <w:rFonts w:hint="eastAsia"/>
          <w:color w:val="auto"/>
        </w:rPr>
        <w:t>融合发展路径</w:t>
      </w:r>
    </w:p>
    <w:p>
      <w:pPr>
        <w:ind w:firstLine="562"/>
        <w:rPr>
          <w:color w:val="auto"/>
        </w:rPr>
      </w:pPr>
      <w:r>
        <w:rPr>
          <w:rFonts w:hint="eastAsia"/>
          <w:b/>
          <w:color w:val="auto"/>
        </w:rPr>
        <w:t>构建</w:t>
      </w:r>
      <w:r>
        <w:rPr>
          <w:b/>
          <w:color w:val="auto"/>
        </w:rPr>
        <w:t>市场化运作机制</w:t>
      </w:r>
      <w:r>
        <w:rPr>
          <w:color w:val="auto"/>
        </w:rPr>
        <w:t>。</w:t>
      </w:r>
      <w:r>
        <w:rPr>
          <w:rFonts w:hint="eastAsia"/>
          <w:color w:val="auto"/>
        </w:rPr>
        <w:t>突出企业主体地位，以企业投入为主、政府有效精准投资为辅，探索建立多元主体参与的特色小镇投资运营模式。引入培育一批投资运营优质企业，吸引有条件、有经验的大中型企业发展</w:t>
      </w:r>
      <w:r>
        <w:rPr>
          <w:color w:val="auto"/>
        </w:rPr>
        <w:t>建设</w:t>
      </w:r>
      <w:r>
        <w:rPr>
          <w:rFonts w:hint="eastAsia"/>
          <w:color w:val="auto"/>
        </w:rPr>
        <w:t>，鼓励带动中小微企业联动发展。提高特色小镇就业吸纳能力，分类培育创新创业生态，科学</w:t>
      </w:r>
      <w:r>
        <w:rPr>
          <w:color w:val="auto"/>
        </w:rPr>
        <w:t>布局</w:t>
      </w:r>
      <w:r>
        <w:rPr>
          <w:rFonts w:hint="eastAsia"/>
          <w:color w:val="auto"/>
        </w:rPr>
        <w:t>创业孵化器等众创空间；鼓励金融</w:t>
      </w:r>
      <w:r>
        <w:rPr>
          <w:color w:val="auto"/>
        </w:rPr>
        <w:t>机构</w:t>
      </w:r>
      <w:r>
        <w:rPr>
          <w:rFonts w:hint="eastAsia"/>
          <w:color w:val="auto"/>
        </w:rPr>
        <w:t>入驻或延伸服务，创新金融产品和服务模式；引导入驻企业与电商平台深化合作，拓宽新工艺、新产品、新模式的商业渠道。</w:t>
      </w:r>
    </w:p>
    <w:p>
      <w:pPr>
        <w:pStyle w:val="3"/>
        <w:spacing w:before="204"/>
        <w:ind w:firstLine="560" w:firstLineChars="200"/>
        <w:rPr>
          <w:color w:val="auto"/>
          <w:szCs w:val="30"/>
        </w:rPr>
      </w:pPr>
      <w:bookmarkStart w:id="18" w:name="_Toc62244271"/>
      <w:r>
        <w:rPr>
          <w:rFonts w:hint="eastAsia"/>
          <w:color w:val="auto"/>
          <w:szCs w:val="30"/>
        </w:rPr>
        <w:t>第三节  分区</w:t>
      </w:r>
      <w:r>
        <w:rPr>
          <w:color w:val="auto"/>
          <w:szCs w:val="30"/>
        </w:rPr>
        <w:t>分类</w:t>
      </w:r>
      <w:r>
        <w:rPr>
          <w:rFonts w:hint="eastAsia"/>
          <w:color w:val="auto"/>
          <w:szCs w:val="30"/>
        </w:rPr>
        <w:t>实施村庄差异</w:t>
      </w:r>
      <w:r>
        <w:rPr>
          <w:color w:val="auto"/>
          <w:szCs w:val="30"/>
        </w:rPr>
        <w:t>发展</w:t>
      </w:r>
      <w:bookmarkEnd w:id="18"/>
    </w:p>
    <w:p>
      <w:pPr>
        <w:ind w:firstLine="560"/>
        <w:rPr>
          <w:color w:val="auto"/>
        </w:rPr>
      </w:pPr>
      <w:r>
        <w:rPr>
          <w:rFonts w:hint="eastAsia"/>
          <w:color w:val="auto"/>
        </w:rPr>
        <w:t>全面</w:t>
      </w:r>
      <w:r>
        <w:rPr>
          <w:color w:val="auto"/>
        </w:rPr>
        <w:t>推动乡村风貌规划，</w:t>
      </w:r>
      <w:r>
        <w:rPr>
          <w:rFonts w:hint="eastAsia"/>
          <w:color w:val="auto"/>
        </w:rPr>
        <w:t>大力</w:t>
      </w:r>
      <w:r>
        <w:rPr>
          <w:color w:val="auto"/>
        </w:rPr>
        <w:t>实施乡村建设行动</w:t>
      </w:r>
      <w:r>
        <w:rPr>
          <w:rFonts w:hint="eastAsia"/>
          <w:color w:val="auto"/>
        </w:rPr>
        <w:t>，</w:t>
      </w:r>
      <w:r>
        <w:rPr>
          <w:color w:val="auto"/>
        </w:rPr>
        <w:t>加强产业支撑、环境整治</w:t>
      </w:r>
      <w:r>
        <w:rPr>
          <w:rFonts w:hint="eastAsia"/>
          <w:color w:val="auto"/>
        </w:rPr>
        <w:t>，加快</w:t>
      </w:r>
      <w:r>
        <w:rPr>
          <w:color w:val="auto"/>
        </w:rPr>
        <w:t>建设美丽乡村示范区。</w:t>
      </w:r>
    </w:p>
    <w:p>
      <w:pPr>
        <w:pStyle w:val="4"/>
        <w:numPr>
          <w:ilvl w:val="0"/>
          <w:numId w:val="0"/>
        </w:numPr>
        <w:ind w:left="643"/>
        <w:rPr>
          <w:color w:val="auto"/>
        </w:rPr>
      </w:pPr>
      <w:r>
        <w:rPr>
          <w:rFonts w:hint="eastAsia"/>
          <w:color w:val="auto"/>
        </w:rPr>
        <w:t>一</w:t>
      </w:r>
      <w:r>
        <w:rPr>
          <w:color w:val="auto"/>
        </w:rPr>
        <w:t>、</w:t>
      </w:r>
      <w:r>
        <w:rPr>
          <w:rFonts w:hint="eastAsia"/>
          <w:color w:val="auto"/>
        </w:rPr>
        <w:t>优化生产生活</w:t>
      </w:r>
      <w:r>
        <w:rPr>
          <w:color w:val="auto"/>
        </w:rPr>
        <w:t>空间</w:t>
      </w:r>
      <w:r>
        <w:rPr>
          <w:rFonts w:hint="eastAsia"/>
          <w:color w:val="auto"/>
        </w:rPr>
        <w:t>布局</w:t>
      </w:r>
    </w:p>
    <w:p>
      <w:pPr>
        <w:ind w:firstLine="562"/>
        <w:rPr>
          <w:color w:val="auto"/>
        </w:rPr>
      </w:pPr>
      <w:r>
        <w:rPr>
          <w:rFonts w:hint="eastAsia"/>
          <w:b/>
          <w:color w:val="auto"/>
        </w:rPr>
        <w:t>分区实施生产空间布局</w:t>
      </w:r>
      <w:r>
        <w:rPr>
          <w:rFonts w:hint="eastAsia"/>
          <w:color w:val="auto"/>
        </w:rPr>
        <w:t>。结合</w:t>
      </w:r>
      <w:r>
        <w:rPr>
          <w:color w:val="auto"/>
        </w:rPr>
        <w:t>全</w:t>
      </w:r>
      <w:r>
        <w:rPr>
          <w:rFonts w:hint="eastAsia"/>
          <w:color w:val="auto"/>
        </w:rPr>
        <w:t>县土地功能评价分析和功能主导区划分</w:t>
      </w:r>
      <w:r>
        <w:rPr>
          <w:color w:val="auto"/>
        </w:rPr>
        <w:t>，</w:t>
      </w:r>
      <w:r>
        <w:rPr>
          <w:rFonts w:hint="eastAsia"/>
          <w:color w:val="auto"/>
        </w:rPr>
        <w:t>科学划定粮食生产功能区、重要农产品生产保护区、特色农产品优势发展区、景观生态功能主导区等，按照“详细规划+规划许可”和“约束指标+分区准入”方式</w:t>
      </w:r>
      <w:r>
        <w:rPr>
          <w:color w:val="auto"/>
        </w:rPr>
        <w:t>实施</w:t>
      </w:r>
      <w:r>
        <w:rPr>
          <w:rFonts w:hint="eastAsia"/>
          <w:color w:val="auto"/>
        </w:rPr>
        <w:t>管控，严格保护农业生产空间。立足全县海拔及其分异规律下形成的生态要素和人文的地带性变化特色，合理优化和</w:t>
      </w:r>
      <w:r>
        <w:rPr>
          <w:color w:val="auto"/>
        </w:rPr>
        <w:t>高效利用</w:t>
      </w:r>
      <w:r>
        <w:rPr>
          <w:rFonts w:hint="eastAsia"/>
          <w:color w:val="auto"/>
        </w:rPr>
        <w:t>空间布局，以全域视角发展多功能农业，实现乡村振兴的“</w:t>
      </w:r>
      <w:r>
        <w:rPr>
          <w:color w:val="auto"/>
        </w:rPr>
        <w:t>阜平</w:t>
      </w:r>
      <w:r>
        <w:rPr>
          <w:rFonts w:hint="eastAsia"/>
          <w:color w:val="auto"/>
        </w:rPr>
        <w:t>模式”。明确界定乡村经济发展片区，统筹推进农业产业园、科技园、创业园等各类园区建设。</w:t>
      </w:r>
    </w:p>
    <w:p>
      <w:pPr>
        <w:ind w:firstLine="562"/>
        <w:rPr>
          <w:color w:val="auto"/>
        </w:rPr>
      </w:pPr>
      <w:r>
        <w:rPr>
          <w:rFonts w:hint="eastAsia"/>
          <w:b/>
          <w:color w:val="auto"/>
        </w:rPr>
        <w:t>分类优化乡村聚落空间</w:t>
      </w:r>
      <w:r>
        <w:rPr>
          <w:rFonts w:hint="eastAsia"/>
          <w:color w:val="auto"/>
        </w:rPr>
        <w:t>。遵循乡村发展客观规律，依据县域城乡条件，将全县209个行政村划分为集聚提升、城郊融合、特色保护、保留改善和搬迁撤并五种类型，科学制定差异化实施路径，分类推进居民点布局调整。遵循乡村传统肌理和格局，引导生活空间尺度适宜、布局协调、多样</w:t>
      </w:r>
      <w:r>
        <w:rPr>
          <w:color w:val="auto"/>
        </w:rPr>
        <w:t>呈现、</w:t>
      </w:r>
      <w:r>
        <w:rPr>
          <w:rFonts w:hint="eastAsia"/>
          <w:color w:val="auto"/>
        </w:rPr>
        <w:t>功能齐全，兼顾</w:t>
      </w:r>
      <w:r>
        <w:rPr>
          <w:color w:val="auto"/>
        </w:rPr>
        <w:t>太行山区特色风貌、</w:t>
      </w:r>
      <w:r>
        <w:rPr>
          <w:rFonts w:hint="eastAsia"/>
          <w:color w:val="auto"/>
        </w:rPr>
        <w:t>人文历史特殊</w:t>
      </w:r>
      <w:r>
        <w:rPr>
          <w:color w:val="auto"/>
        </w:rPr>
        <w:t>遗留和现代生活特</w:t>
      </w:r>
      <w:r>
        <w:rPr>
          <w:rFonts w:hint="eastAsia"/>
          <w:color w:val="auto"/>
        </w:rPr>
        <w:t>有</w:t>
      </w:r>
      <w:r>
        <w:rPr>
          <w:color w:val="auto"/>
        </w:rPr>
        <w:t>方式，因地制宜</w:t>
      </w:r>
      <w:r>
        <w:rPr>
          <w:rFonts w:hint="eastAsia"/>
          <w:color w:val="auto"/>
        </w:rPr>
        <w:t>构建乡村生活圈、服务圈，进一步优化乡村空间品质。</w:t>
      </w:r>
    </w:p>
    <w:p>
      <w:pPr>
        <w:pStyle w:val="4"/>
        <w:numPr>
          <w:ilvl w:val="0"/>
          <w:numId w:val="0"/>
        </w:numPr>
        <w:ind w:left="643"/>
        <w:rPr>
          <w:color w:val="auto"/>
        </w:rPr>
      </w:pPr>
      <w:r>
        <w:rPr>
          <w:rFonts w:hint="eastAsia"/>
          <w:color w:val="auto"/>
        </w:rPr>
        <w:t>二</w:t>
      </w:r>
      <w:r>
        <w:rPr>
          <w:color w:val="auto"/>
        </w:rPr>
        <w:t>、</w:t>
      </w:r>
      <w:r>
        <w:rPr>
          <w:rFonts w:hint="eastAsia"/>
          <w:color w:val="auto"/>
        </w:rPr>
        <w:t>重点</w:t>
      </w:r>
      <w:r>
        <w:rPr>
          <w:color w:val="auto"/>
        </w:rPr>
        <w:t>建设</w:t>
      </w:r>
      <w:r>
        <w:rPr>
          <w:rFonts w:hint="eastAsia"/>
          <w:color w:val="auto"/>
        </w:rPr>
        <w:t>特色美丽乡村</w:t>
      </w:r>
    </w:p>
    <w:p>
      <w:pPr>
        <w:ind w:firstLine="562"/>
        <w:rPr>
          <w:color w:val="auto"/>
        </w:rPr>
      </w:pPr>
      <w:r>
        <w:rPr>
          <w:rFonts w:hint="eastAsia"/>
          <w:b/>
          <w:color w:val="auto"/>
        </w:rPr>
        <w:t>提升精品示范标准</w:t>
      </w:r>
      <w:r>
        <w:rPr>
          <w:rFonts w:hint="eastAsia"/>
          <w:color w:val="auto"/>
        </w:rPr>
        <w:t>。全面实施“一户一处景，</w:t>
      </w:r>
      <w:r>
        <w:rPr>
          <w:color w:val="auto"/>
        </w:rPr>
        <w:t>一村一幅画</w:t>
      </w:r>
      <w:r>
        <w:rPr>
          <w:rFonts w:hint="eastAsia"/>
          <w:color w:val="auto"/>
        </w:rPr>
        <w:t>，</w:t>
      </w:r>
      <w:r>
        <w:rPr>
          <w:color w:val="auto"/>
        </w:rPr>
        <w:t>一线一风景</w:t>
      </w:r>
      <w:r>
        <w:rPr>
          <w:rFonts w:hint="eastAsia"/>
          <w:color w:val="auto"/>
        </w:rPr>
        <w:t>”的美丽乡村建设</w:t>
      </w:r>
      <w:r>
        <w:rPr>
          <w:color w:val="auto"/>
        </w:rPr>
        <w:t>工程。</w:t>
      </w:r>
      <w:r>
        <w:rPr>
          <w:rFonts w:hint="eastAsia"/>
          <w:color w:val="auto"/>
        </w:rPr>
        <w:t>结合县域农村土地全域综合整治，深入</w:t>
      </w:r>
      <w:r>
        <w:rPr>
          <w:color w:val="auto"/>
        </w:rPr>
        <w:t>实施农村</w:t>
      </w:r>
      <w:r>
        <w:rPr>
          <w:rFonts w:hint="eastAsia"/>
          <w:color w:val="auto"/>
        </w:rPr>
        <w:t>人居</w:t>
      </w:r>
      <w:r>
        <w:rPr>
          <w:color w:val="auto"/>
        </w:rPr>
        <w:t>环境提升行动，</w:t>
      </w:r>
      <w:r>
        <w:rPr>
          <w:rFonts w:hint="eastAsia"/>
          <w:color w:val="auto"/>
        </w:rPr>
        <w:t>高水平建设全域美丽乡村，到</w:t>
      </w:r>
      <w:r>
        <w:rPr>
          <w:color w:val="auto"/>
        </w:rPr>
        <w:t>2023年，生活污水无害化处理设施实现全覆盖</w:t>
      </w:r>
      <w:r>
        <w:rPr>
          <w:rFonts w:hint="eastAsia"/>
          <w:color w:val="auto"/>
        </w:rPr>
        <w:t>；</w:t>
      </w:r>
      <w:r>
        <w:rPr>
          <w:color w:val="auto"/>
        </w:rPr>
        <w:t>到2025年，农村户厕实现应改尽改，生活垃圾分类全面推行，新农村建设任务全面完成</w:t>
      </w:r>
      <w:r>
        <w:rPr>
          <w:rFonts w:hint="eastAsia"/>
          <w:color w:val="auto"/>
        </w:rPr>
        <w:t>。积极</w:t>
      </w:r>
      <w:r>
        <w:rPr>
          <w:color w:val="auto"/>
        </w:rPr>
        <w:t>推进绿色生态村庄建设，实施村庄、庭院绿化工程，</w:t>
      </w:r>
      <w:r>
        <w:rPr>
          <w:rFonts w:hint="eastAsia"/>
          <w:color w:val="auto"/>
        </w:rPr>
        <w:t>高标准推进村庄清洁行动，全面实施标准化运维管理。挖掘传承阜平县</w:t>
      </w:r>
      <w:r>
        <w:rPr>
          <w:color w:val="auto"/>
        </w:rPr>
        <w:t>太行山区</w:t>
      </w:r>
      <w:r>
        <w:rPr>
          <w:rFonts w:hint="eastAsia"/>
          <w:color w:val="auto"/>
        </w:rPr>
        <w:t>特点、水乡特质、田园特色元素，统筹自然绿色廊道、生态路径、村庄公共空间，彰显特质风貌，积极打造美丽乡村精品线、特色精品村以及一批“农业生态园”，树立山区水乡美丽乡村样板，全面提升农村人居环境和群众生活品质。</w:t>
      </w:r>
    </w:p>
    <w:p>
      <w:pPr>
        <w:ind w:firstLine="562"/>
        <w:rPr>
          <w:color w:val="auto"/>
        </w:rPr>
      </w:pPr>
      <w:r>
        <w:rPr>
          <w:rFonts w:hint="eastAsia"/>
          <w:b/>
          <w:color w:val="auto"/>
        </w:rPr>
        <w:t>建设新时代</w:t>
      </w:r>
      <w:r>
        <w:rPr>
          <w:b/>
          <w:color w:val="auto"/>
        </w:rPr>
        <w:t>美丽乡村</w:t>
      </w:r>
      <w:r>
        <w:rPr>
          <w:color w:val="auto"/>
        </w:rPr>
        <w:t>。</w:t>
      </w:r>
      <w:r>
        <w:rPr>
          <w:rFonts w:hint="eastAsia"/>
          <w:color w:val="auto"/>
        </w:rPr>
        <w:t>结合乡村旅游要素，依托搬迁安置区和提升改造村资源优势，以农民为主体，深入挖掘红、绿文化内涵，建成一批特色鲜明、生态宜居的新时代美丽乡村。构建乡村产业新体系，做强传统优势产业，持续推进粮食生产功能区提标改造和现代农业园区、特色农业强镇（乡）建设，重点打造现代种养、农产品加工、乡村商贸流通、休闲农业和乡村旅游等产业；推进产村融合发展，依托大道农业示范园区、黑崖沟樱桃园、龙王庙食用菌文化体验园等</w:t>
      </w:r>
      <w:r>
        <w:rPr>
          <w:color w:val="auto"/>
        </w:rPr>
        <w:t>现代农业园区，</w:t>
      </w:r>
      <w:r>
        <w:rPr>
          <w:rFonts w:hint="eastAsia"/>
          <w:color w:val="auto"/>
        </w:rPr>
        <w:t>积极整合农文旅资源，开发乡村休闲旅游精品线路，提档发展全域旅游；培育壮大美丽经济，以景区村庄和特色产业为依托，跨区域开展美丽乡村组团联建；大力引进社会资本创新经营，加快培育创意农业、民居民宿、健康养老、非遗产业等农村多元化业态。</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4-3 </w:t>
            </w:r>
            <w:r>
              <w:rPr>
                <w:rFonts w:hint="eastAsia" w:ascii="黑体" w:hAnsi="黑体" w:eastAsia="黑体"/>
                <w:color w:val="auto"/>
                <w:sz w:val="24"/>
                <w:szCs w:val="28"/>
              </w:rPr>
              <w:t>乡村空间</w:t>
            </w:r>
            <w:r>
              <w:rPr>
                <w:rFonts w:ascii="黑体" w:hAnsi="黑体" w:eastAsia="黑体"/>
                <w:color w:val="auto"/>
                <w:sz w:val="24"/>
                <w:szCs w:val="28"/>
              </w:rPr>
              <w:t>分类优化行动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eastAsia="仿宋_GB2312"/>
                <w:b/>
                <w:bCs/>
                <w:color w:val="auto"/>
                <w:sz w:val="24"/>
                <w:szCs w:val="28"/>
              </w:rPr>
            </w:pPr>
            <w:r>
              <w:rPr>
                <w:rFonts w:hint="eastAsia" w:ascii="仿宋_GB2312" w:eastAsia="仿宋_GB2312"/>
                <w:b/>
                <w:bCs/>
                <w:color w:val="auto"/>
                <w:sz w:val="24"/>
                <w:szCs w:val="28"/>
              </w:rPr>
              <w:t>1．乡村聚落</w:t>
            </w:r>
            <w:r>
              <w:rPr>
                <w:rFonts w:ascii="仿宋_GB2312" w:eastAsia="仿宋_GB2312"/>
                <w:b/>
                <w:bCs/>
                <w:color w:val="auto"/>
                <w:sz w:val="24"/>
                <w:szCs w:val="28"/>
              </w:rPr>
              <w:t>体系</w:t>
            </w:r>
            <w:r>
              <w:rPr>
                <w:rFonts w:hint="eastAsia" w:ascii="仿宋_GB2312" w:eastAsia="仿宋_GB2312"/>
                <w:b/>
                <w:bCs/>
                <w:color w:val="auto"/>
                <w:sz w:val="24"/>
                <w:szCs w:val="28"/>
              </w:rPr>
              <w:t>提升</w:t>
            </w:r>
            <w:r>
              <w:rPr>
                <w:rFonts w:ascii="仿宋_GB2312" w:eastAsia="仿宋_GB2312"/>
                <w:b/>
                <w:bCs/>
                <w:color w:val="auto"/>
                <w:sz w:val="24"/>
                <w:szCs w:val="28"/>
              </w:rPr>
              <w:t>行动</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集聚提升类：乡村</w:t>
            </w:r>
            <w:r>
              <w:rPr>
                <w:rFonts w:ascii="仿宋_GB2312" w:eastAsia="仿宋_GB2312"/>
                <w:bCs/>
                <w:color w:val="auto"/>
                <w:sz w:val="24"/>
                <w:szCs w:val="28"/>
              </w:rPr>
              <w:t>振兴</w:t>
            </w:r>
            <w:r>
              <w:rPr>
                <w:rFonts w:hint="eastAsia" w:ascii="仿宋_GB2312" w:eastAsia="仿宋_GB2312"/>
                <w:bCs/>
                <w:color w:val="auto"/>
                <w:sz w:val="24"/>
                <w:szCs w:val="28"/>
              </w:rPr>
              <w:t>主要支撑</w:t>
            </w:r>
            <w:r>
              <w:rPr>
                <w:rFonts w:ascii="仿宋_GB2312" w:eastAsia="仿宋_GB2312"/>
                <w:bCs/>
                <w:color w:val="auto"/>
                <w:sz w:val="24"/>
                <w:szCs w:val="28"/>
              </w:rPr>
              <w:t>，涉及</w:t>
            </w:r>
            <w:r>
              <w:rPr>
                <w:rFonts w:hint="eastAsia" w:ascii="仿宋_GB2312" w:eastAsia="仿宋_GB2312"/>
                <w:bCs/>
                <w:color w:val="auto"/>
                <w:sz w:val="24"/>
                <w:szCs w:val="28"/>
              </w:rPr>
              <w:t>63个</w:t>
            </w:r>
            <w:r>
              <w:rPr>
                <w:rFonts w:ascii="仿宋_GB2312" w:eastAsia="仿宋_GB2312"/>
                <w:bCs/>
                <w:color w:val="auto"/>
                <w:sz w:val="24"/>
                <w:szCs w:val="28"/>
              </w:rPr>
              <w:t>村庄，</w:t>
            </w:r>
            <w:r>
              <w:rPr>
                <w:rFonts w:hint="eastAsia" w:ascii="仿宋_GB2312" w:eastAsia="仿宋_GB2312"/>
                <w:bCs/>
                <w:color w:val="auto"/>
                <w:sz w:val="24"/>
                <w:szCs w:val="28"/>
              </w:rPr>
              <w:t>发挥自身比较优势，明确村庄发展方向，统筹</w:t>
            </w:r>
            <w:r>
              <w:rPr>
                <w:rFonts w:ascii="仿宋_GB2312" w:eastAsia="仿宋_GB2312"/>
                <w:bCs/>
                <w:color w:val="auto"/>
                <w:sz w:val="24"/>
                <w:szCs w:val="28"/>
              </w:rPr>
              <w:t>实施</w:t>
            </w:r>
            <w:r>
              <w:rPr>
                <w:rFonts w:hint="eastAsia" w:ascii="仿宋_GB2312" w:eastAsia="仿宋_GB2312"/>
                <w:bCs/>
                <w:color w:val="auto"/>
                <w:sz w:val="24"/>
                <w:szCs w:val="28"/>
              </w:rPr>
              <w:t>改造提升，形成产业、集聚人气、活化村落，重点</w:t>
            </w:r>
            <w:r>
              <w:rPr>
                <w:rFonts w:ascii="仿宋_GB2312" w:eastAsia="仿宋_GB2312"/>
                <w:bCs/>
                <w:color w:val="auto"/>
                <w:sz w:val="24"/>
                <w:szCs w:val="28"/>
              </w:rPr>
              <w:t>培育</w:t>
            </w:r>
            <w:r>
              <w:rPr>
                <w:rFonts w:hint="eastAsia" w:ascii="仿宋_GB2312" w:eastAsia="仿宋_GB2312"/>
                <w:bCs/>
                <w:color w:val="auto"/>
                <w:sz w:val="24"/>
                <w:szCs w:val="28"/>
              </w:rPr>
              <w:t>一批</w:t>
            </w:r>
            <w:r>
              <w:rPr>
                <w:rFonts w:ascii="仿宋_GB2312" w:eastAsia="仿宋_GB2312"/>
                <w:bCs/>
                <w:color w:val="auto"/>
                <w:sz w:val="24"/>
                <w:szCs w:val="28"/>
              </w:rPr>
              <w:t>或农、或</w:t>
            </w:r>
            <w:r>
              <w:rPr>
                <w:rFonts w:hint="eastAsia" w:ascii="仿宋_GB2312" w:eastAsia="仿宋_GB2312"/>
                <w:bCs/>
                <w:color w:val="auto"/>
                <w:sz w:val="24"/>
                <w:szCs w:val="28"/>
              </w:rPr>
              <w:t>游</w:t>
            </w:r>
            <w:r>
              <w:rPr>
                <w:rFonts w:ascii="仿宋_GB2312" w:eastAsia="仿宋_GB2312"/>
                <w:bCs/>
                <w:color w:val="auto"/>
                <w:sz w:val="24"/>
                <w:szCs w:val="28"/>
              </w:rPr>
              <w:t>、或商的</w:t>
            </w:r>
            <w:r>
              <w:rPr>
                <w:rFonts w:hint="eastAsia" w:ascii="仿宋_GB2312" w:eastAsia="仿宋_GB2312"/>
                <w:bCs/>
                <w:color w:val="auto"/>
                <w:sz w:val="24"/>
                <w:szCs w:val="28"/>
              </w:rPr>
              <w:t>专业化村庄；</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城郊融合类：融合转型关键位置</w:t>
            </w:r>
            <w:r>
              <w:rPr>
                <w:rFonts w:ascii="仿宋_GB2312" w:eastAsia="仿宋_GB2312"/>
                <w:bCs/>
                <w:color w:val="auto"/>
                <w:sz w:val="24"/>
                <w:szCs w:val="28"/>
              </w:rPr>
              <w:t>，涉及15</w:t>
            </w:r>
            <w:r>
              <w:rPr>
                <w:rFonts w:hint="eastAsia" w:ascii="仿宋_GB2312" w:eastAsia="仿宋_GB2312"/>
                <w:bCs/>
                <w:color w:val="auto"/>
                <w:sz w:val="24"/>
                <w:szCs w:val="28"/>
              </w:rPr>
              <w:t>个</w:t>
            </w:r>
            <w:r>
              <w:rPr>
                <w:rFonts w:ascii="仿宋_GB2312" w:eastAsia="仿宋_GB2312"/>
                <w:bCs/>
                <w:color w:val="auto"/>
                <w:sz w:val="24"/>
                <w:szCs w:val="28"/>
              </w:rPr>
              <w:t>村庄，</w:t>
            </w:r>
            <w:r>
              <w:rPr>
                <w:rFonts w:hint="eastAsia" w:ascii="仿宋_GB2312" w:eastAsia="仿宋_GB2312"/>
                <w:bCs/>
                <w:color w:val="auto"/>
                <w:sz w:val="24"/>
                <w:szCs w:val="28"/>
              </w:rPr>
              <w:t>加强</w:t>
            </w:r>
            <w:r>
              <w:rPr>
                <w:rFonts w:ascii="仿宋_GB2312" w:eastAsia="仿宋_GB2312"/>
                <w:bCs/>
                <w:color w:val="auto"/>
                <w:sz w:val="24"/>
                <w:szCs w:val="28"/>
              </w:rPr>
              <w:t>基础设施</w:t>
            </w:r>
            <w:r>
              <w:rPr>
                <w:rFonts w:hint="eastAsia" w:ascii="仿宋_GB2312" w:eastAsia="仿宋_GB2312"/>
                <w:bCs/>
                <w:color w:val="auto"/>
                <w:sz w:val="24"/>
                <w:szCs w:val="28"/>
              </w:rPr>
              <w:t>建设</w:t>
            </w:r>
            <w:r>
              <w:rPr>
                <w:rFonts w:ascii="仿宋_GB2312" w:eastAsia="仿宋_GB2312"/>
                <w:bCs/>
                <w:color w:val="auto"/>
                <w:sz w:val="24"/>
                <w:szCs w:val="28"/>
              </w:rPr>
              <w:t>和公共服务提升，</w:t>
            </w:r>
            <w:r>
              <w:rPr>
                <w:rFonts w:hint="eastAsia" w:ascii="仿宋_GB2312" w:eastAsia="仿宋_GB2312"/>
                <w:bCs/>
                <w:color w:val="auto"/>
                <w:sz w:val="24"/>
                <w:szCs w:val="28"/>
              </w:rPr>
              <w:t>重点</w:t>
            </w:r>
            <w:r>
              <w:rPr>
                <w:rFonts w:ascii="仿宋_GB2312" w:eastAsia="仿宋_GB2312"/>
                <w:bCs/>
                <w:color w:val="auto"/>
                <w:sz w:val="24"/>
                <w:szCs w:val="28"/>
              </w:rPr>
              <w:t>打造</w:t>
            </w:r>
            <w:r>
              <w:rPr>
                <w:rFonts w:hint="eastAsia" w:ascii="仿宋_GB2312" w:eastAsia="仿宋_GB2312"/>
                <w:bCs/>
                <w:color w:val="auto"/>
                <w:sz w:val="24"/>
                <w:szCs w:val="28"/>
              </w:rPr>
              <w:t>一批融合发展</w:t>
            </w:r>
            <w:r>
              <w:rPr>
                <w:rFonts w:ascii="仿宋_GB2312" w:eastAsia="仿宋_GB2312"/>
                <w:bCs/>
                <w:color w:val="auto"/>
                <w:sz w:val="24"/>
                <w:szCs w:val="28"/>
              </w:rPr>
              <w:t>示范村，</w:t>
            </w:r>
            <w:r>
              <w:rPr>
                <w:rFonts w:hint="eastAsia" w:ascii="仿宋_GB2312" w:eastAsia="仿宋_GB2312"/>
                <w:bCs/>
                <w:color w:val="auto"/>
                <w:sz w:val="24"/>
                <w:szCs w:val="28"/>
              </w:rPr>
              <w:t>引入</w:t>
            </w:r>
            <w:r>
              <w:rPr>
                <w:rFonts w:ascii="仿宋_GB2312" w:eastAsia="仿宋_GB2312"/>
                <w:bCs/>
                <w:color w:val="auto"/>
                <w:sz w:val="24"/>
                <w:szCs w:val="28"/>
              </w:rPr>
              <w:t>新的经济活力和生活方式，</w:t>
            </w:r>
            <w:r>
              <w:rPr>
                <w:rFonts w:hint="eastAsia" w:ascii="仿宋_GB2312" w:eastAsia="仿宋_GB2312"/>
                <w:bCs/>
                <w:color w:val="auto"/>
                <w:sz w:val="24"/>
                <w:szCs w:val="28"/>
              </w:rPr>
              <w:t>带动实现</w:t>
            </w:r>
            <w:r>
              <w:rPr>
                <w:rFonts w:ascii="仿宋_GB2312" w:eastAsia="仿宋_GB2312"/>
                <w:bCs/>
                <w:color w:val="auto"/>
                <w:sz w:val="24"/>
                <w:szCs w:val="28"/>
              </w:rPr>
              <w:t>城-镇-村三级</w:t>
            </w:r>
            <w:r>
              <w:rPr>
                <w:rFonts w:hint="eastAsia" w:ascii="仿宋_GB2312" w:eastAsia="仿宋_GB2312"/>
                <w:bCs/>
                <w:color w:val="auto"/>
                <w:sz w:val="24"/>
                <w:szCs w:val="28"/>
              </w:rPr>
              <w:t>融合；</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特色保护类：优势发挥主导</w:t>
            </w:r>
            <w:r>
              <w:rPr>
                <w:rFonts w:ascii="仿宋_GB2312" w:eastAsia="仿宋_GB2312"/>
                <w:bCs/>
                <w:color w:val="auto"/>
                <w:sz w:val="24"/>
                <w:szCs w:val="28"/>
              </w:rPr>
              <w:t>资源，涉及27</w:t>
            </w:r>
            <w:r>
              <w:rPr>
                <w:rFonts w:hint="eastAsia" w:ascii="仿宋_GB2312" w:eastAsia="仿宋_GB2312"/>
                <w:bCs/>
                <w:color w:val="auto"/>
                <w:sz w:val="24"/>
                <w:szCs w:val="28"/>
              </w:rPr>
              <w:t>个</w:t>
            </w:r>
            <w:r>
              <w:rPr>
                <w:rFonts w:ascii="仿宋_GB2312" w:eastAsia="仿宋_GB2312"/>
                <w:bCs/>
                <w:color w:val="auto"/>
                <w:sz w:val="24"/>
                <w:szCs w:val="28"/>
              </w:rPr>
              <w:t>村庄，</w:t>
            </w:r>
            <w:r>
              <w:rPr>
                <w:rFonts w:hint="eastAsia" w:ascii="仿宋_GB2312" w:eastAsia="仿宋_GB2312"/>
                <w:bCs/>
                <w:color w:val="auto"/>
                <w:sz w:val="24"/>
                <w:szCs w:val="28"/>
              </w:rPr>
              <w:t>力争</w:t>
            </w:r>
            <w:r>
              <w:rPr>
                <w:rFonts w:ascii="仿宋_GB2312" w:eastAsia="仿宋_GB2312"/>
                <w:bCs/>
                <w:color w:val="auto"/>
                <w:sz w:val="24"/>
                <w:szCs w:val="28"/>
              </w:rPr>
              <w:t>完整呈现</w:t>
            </w:r>
            <w:r>
              <w:rPr>
                <w:rFonts w:hint="eastAsia" w:ascii="仿宋_GB2312" w:eastAsia="仿宋_GB2312"/>
                <w:bCs/>
                <w:color w:val="auto"/>
                <w:sz w:val="24"/>
                <w:szCs w:val="28"/>
              </w:rPr>
              <w:t>村庄的真实性、特殊性</w:t>
            </w:r>
            <w:r>
              <w:rPr>
                <w:rFonts w:ascii="仿宋_GB2312" w:eastAsia="仿宋_GB2312"/>
                <w:bCs/>
                <w:color w:val="auto"/>
                <w:sz w:val="24"/>
                <w:szCs w:val="28"/>
              </w:rPr>
              <w:t>和</w:t>
            </w:r>
            <w:r>
              <w:rPr>
                <w:rFonts w:hint="eastAsia" w:ascii="仿宋_GB2312" w:eastAsia="仿宋_GB2312"/>
                <w:bCs/>
                <w:color w:val="auto"/>
                <w:sz w:val="24"/>
                <w:szCs w:val="28"/>
              </w:rPr>
              <w:t>延续性，合理利用特色资源发展乡村旅游和特色产业，探索形成保护</w:t>
            </w:r>
            <w:r>
              <w:rPr>
                <w:rFonts w:ascii="仿宋_GB2312" w:eastAsia="仿宋_GB2312"/>
                <w:bCs/>
                <w:color w:val="auto"/>
                <w:sz w:val="24"/>
                <w:szCs w:val="28"/>
              </w:rPr>
              <w:t>、</w:t>
            </w:r>
            <w:r>
              <w:rPr>
                <w:rFonts w:hint="eastAsia" w:ascii="仿宋_GB2312" w:eastAsia="仿宋_GB2312"/>
                <w:bCs/>
                <w:color w:val="auto"/>
                <w:sz w:val="24"/>
                <w:szCs w:val="28"/>
              </w:rPr>
              <w:t>传承</w:t>
            </w:r>
            <w:r>
              <w:rPr>
                <w:rFonts w:ascii="仿宋_GB2312" w:eastAsia="仿宋_GB2312"/>
                <w:bCs/>
                <w:color w:val="auto"/>
                <w:sz w:val="24"/>
                <w:szCs w:val="28"/>
              </w:rPr>
              <w:t>和</w:t>
            </w:r>
            <w:r>
              <w:rPr>
                <w:rFonts w:hint="eastAsia" w:ascii="仿宋_GB2312" w:eastAsia="仿宋_GB2312"/>
                <w:bCs/>
                <w:color w:val="auto"/>
                <w:sz w:val="24"/>
                <w:szCs w:val="28"/>
              </w:rPr>
              <w:t>利用</w:t>
            </w:r>
            <w:r>
              <w:rPr>
                <w:rFonts w:ascii="仿宋_GB2312" w:eastAsia="仿宋_GB2312"/>
                <w:bCs/>
                <w:color w:val="auto"/>
                <w:sz w:val="24"/>
                <w:szCs w:val="28"/>
              </w:rPr>
              <w:t>的</w:t>
            </w:r>
            <w:r>
              <w:rPr>
                <w:rFonts w:hint="eastAsia" w:ascii="仿宋_GB2312" w:eastAsia="仿宋_GB2312"/>
                <w:bCs/>
                <w:color w:val="auto"/>
                <w:sz w:val="24"/>
                <w:szCs w:val="28"/>
              </w:rPr>
              <w:t>良性互促发展</w:t>
            </w:r>
            <w:r>
              <w:rPr>
                <w:rFonts w:ascii="仿宋_GB2312" w:eastAsia="仿宋_GB2312"/>
                <w:bCs/>
                <w:color w:val="auto"/>
                <w:sz w:val="24"/>
                <w:szCs w:val="28"/>
              </w:rPr>
              <w:t>模式</w:t>
            </w:r>
            <w:r>
              <w:rPr>
                <w:rFonts w:hint="eastAsia" w:ascii="仿宋_GB2312" w:eastAsia="仿宋_GB2312"/>
                <w:bCs/>
                <w:color w:val="auto"/>
                <w:sz w:val="24"/>
                <w:szCs w:val="28"/>
              </w:rPr>
              <w:t>；</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保留改善类：稳定</w:t>
            </w:r>
            <w:r>
              <w:rPr>
                <w:rFonts w:ascii="仿宋_GB2312" w:eastAsia="仿宋_GB2312"/>
                <w:bCs/>
                <w:color w:val="auto"/>
                <w:sz w:val="24"/>
                <w:szCs w:val="28"/>
              </w:rPr>
              <w:t>发展</w:t>
            </w:r>
            <w:r>
              <w:rPr>
                <w:rFonts w:hint="eastAsia" w:ascii="仿宋_GB2312" w:eastAsia="仿宋_GB2312"/>
                <w:bCs/>
                <w:color w:val="auto"/>
                <w:sz w:val="24"/>
                <w:szCs w:val="28"/>
              </w:rPr>
              <w:t>重点</w:t>
            </w:r>
            <w:r>
              <w:rPr>
                <w:rFonts w:ascii="仿宋_GB2312" w:eastAsia="仿宋_GB2312"/>
                <w:bCs/>
                <w:color w:val="auto"/>
                <w:sz w:val="24"/>
                <w:szCs w:val="28"/>
              </w:rPr>
              <w:t>区域，涉及54</w:t>
            </w:r>
            <w:r>
              <w:rPr>
                <w:rFonts w:hint="eastAsia" w:ascii="仿宋_GB2312" w:eastAsia="仿宋_GB2312"/>
                <w:bCs/>
                <w:color w:val="auto"/>
                <w:sz w:val="24"/>
                <w:szCs w:val="28"/>
              </w:rPr>
              <w:t>个</w:t>
            </w:r>
            <w:r>
              <w:rPr>
                <w:rFonts w:ascii="仿宋_GB2312" w:eastAsia="仿宋_GB2312"/>
                <w:bCs/>
                <w:color w:val="auto"/>
                <w:sz w:val="24"/>
                <w:szCs w:val="28"/>
              </w:rPr>
              <w:t>村庄，</w:t>
            </w:r>
            <w:r>
              <w:rPr>
                <w:rFonts w:hint="eastAsia" w:ascii="仿宋_GB2312" w:eastAsia="仿宋_GB2312"/>
                <w:bCs/>
                <w:color w:val="auto"/>
                <w:sz w:val="24"/>
                <w:szCs w:val="28"/>
              </w:rPr>
              <w:t>在保护传统格局和特色风貌的基础上，坚持节约集约用地原则，统筹布局</w:t>
            </w:r>
            <w:r>
              <w:rPr>
                <w:rFonts w:ascii="仿宋_GB2312" w:eastAsia="仿宋_GB2312"/>
                <w:bCs/>
                <w:color w:val="auto"/>
                <w:sz w:val="24"/>
                <w:szCs w:val="28"/>
              </w:rPr>
              <w:t>，因地制宜</w:t>
            </w:r>
            <w:r>
              <w:rPr>
                <w:rFonts w:hint="eastAsia" w:ascii="仿宋_GB2312" w:eastAsia="仿宋_GB2312"/>
                <w:bCs/>
                <w:color w:val="auto"/>
                <w:sz w:val="24"/>
                <w:szCs w:val="28"/>
              </w:rPr>
              <w:t>安排人居环境整治、基础设施、公共服务设施、土地整治、生态保护与修复等各项建设。</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搬迁撤并类：城乡协同重大</w:t>
            </w:r>
            <w:r>
              <w:rPr>
                <w:rFonts w:ascii="仿宋_GB2312" w:eastAsia="仿宋_GB2312"/>
                <w:bCs/>
                <w:color w:val="auto"/>
                <w:sz w:val="24"/>
                <w:szCs w:val="28"/>
              </w:rPr>
              <w:t>工作，涉及50</w:t>
            </w:r>
            <w:r>
              <w:rPr>
                <w:rFonts w:hint="eastAsia" w:ascii="仿宋_GB2312" w:eastAsia="仿宋_GB2312"/>
                <w:bCs/>
                <w:color w:val="auto"/>
                <w:sz w:val="24"/>
                <w:szCs w:val="28"/>
              </w:rPr>
              <w:t>个</w:t>
            </w:r>
            <w:r>
              <w:rPr>
                <w:rFonts w:ascii="仿宋_GB2312" w:eastAsia="仿宋_GB2312"/>
                <w:bCs/>
                <w:color w:val="auto"/>
                <w:sz w:val="24"/>
                <w:szCs w:val="28"/>
              </w:rPr>
              <w:t>村庄，</w:t>
            </w:r>
            <w:r>
              <w:rPr>
                <w:rFonts w:hint="eastAsia" w:ascii="仿宋_GB2312" w:eastAsia="仿宋_GB2312"/>
                <w:bCs/>
                <w:color w:val="auto"/>
                <w:sz w:val="24"/>
                <w:szCs w:val="28"/>
              </w:rPr>
              <w:t>坚持新型城镇化</w:t>
            </w:r>
            <w:r>
              <w:rPr>
                <w:rFonts w:ascii="仿宋_GB2312" w:eastAsia="仿宋_GB2312"/>
                <w:bCs/>
                <w:color w:val="auto"/>
                <w:sz w:val="24"/>
                <w:szCs w:val="28"/>
              </w:rPr>
              <w:t>和城乡融合发展原则，</w:t>
            </w:r>
            <w:r>
              <w:rPr>
                <w:rFonts w:hint="eastAsia" w:ascii="仿宋_GB2312" w:eastAsia="仿宋_GB2312"/>
                <w:bCs/>
                <w:color w:val="auto"/>
                <w:sz w:val="24"/>
                <w:szCs w:val="28"/>
              </w:rPr>
              <w:t>在</w:t>
            </w:r>
            <w:r>
              <w:rPr>
                <w:rFonts w:ascii="仿宋_GB2312" w:eastAsia="仿宋_GB2312"/>
                <w:bCs/>
                <w:color w:val="auto"/>
                <w:sz w:val="24"/>
                <w:szCs w:val="28"/>
              </w:rPr>
              <w:t>尊重农民意愿前提下，</w:t>
            </w:r>
            <w:r>
              <w:rPr>
                <w:rFonts w:hint="eastAsia" w:ascii="仿宋_GB2312" w:eastAsia="仿宋_GB2312"/>
                <w:bCs/>
                <w:color w:val="auto"/>
                <w:sz w:val="24"/>
                <w:szCs w:val="28"/>
              </w:rPr>
              <w:t>依托适宜区域建设与安置，</w:t>
            </w:r>
            <w:r>
              <w:rPr>
                <w:rFonts w:ascii="仿宋_GB2312" w:eastAsia="仿宋_GB2312"/>
                <w:bCs/>
                <w:color w:val="auto"/>
                <w:sz w:val="24"/>
                <w:szCs w:val="28"/>
              </w:rPr>
              <w:t>并加强产业</w:t>
            </w:r>
            <w:r>
              <w:rPr>
                <w:rFonts w:hint="eastAsia" w:ascii="仿宋_GB2312" w:eastAsia="仿宋_GB2312"/>
                <w:bCs/>
                <w:color w:val="auto"/>
                <w:sz w:val="24"/>
                <w:szCs w:val="28"/>
              </w:rPr>
              <w:t>配套与服务引导；村庄原址，因地制宜复垦或还绿，增加乡村生产生态空间。</w:t>
            </w:r>
          </w:p>
          <w:p>
            <w:pPr>
              <w:adjustRightInd w:val="0"/>
              <w:snapToGrid w:val="0"/>
              <w:ind w:firstLine="482"/>
              <w:rPr>
                <w:rFonts w:ascii="仿宋_GB2312" w:eastAsia="仿宋_GB2312"/>
                <w:b/>
                <w:bCs/>
                <w:color w:val="auto"/>
                <w:sz w:val="24"/>
                <w:szCs w:val="28"/>
              </w:rPr>
            </w:pPr>
            <w:r>
              <w:rPr>
                <w:rFonts w:hint="eastAsia" w:ascii="仿宋_GB2312" w:eastAsia="仿宋_GB2312"/>
                <w:b/>
                <w:bCs/>
                <w:color w:val="auto"/>
                <w:sz w:val="24"/>
                <w:szCs w:val="28"/>
              </w:rPr>
              <w:t>2．乡村</w:t>
            </w:r>
            <w:r>
              <w:rPr>
                <w:rFonts w:ascii="仿宋_GB2312" w:eastAsia="仿宋_GB2312"/>
                <w:b/>
                <w:bCs/>
                <w:color w:val="auto"/>
                <w:sz w:val="24"/>
                <w:szCs w:val="28"/>
              </w:rPr>
              <w:t>人居环境提升</w:t>
            </w:r>
            <w:r>
              <w:rPr>
                <w:rFonts w:hint="eastAsia" w:ascii="仿宋_GB2312" w:eastAsia="仿宋_GB2312"/>
                <w:b/>
                <w:bCs/>
                <w:color w:val="auto"/>
                <w:sz w:val="24"/>
                <w:szCs w:val="28"/>
              </w:rPr>
              <w:t>行动</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“十四五”期间，重点</w:t>
            </w:r>
            <w:r>
              <w:rPr>
                <w:rFonts w:ascii="仿宋_GB2312" w:eastAsia="仿宋_GB2312"/>
                <w:bCs/>
                <w:color w:val="auto"/>
                <w:sz w:val="24"/>
                <w:szCs w:val="28"/>
              </w:rPr>
              <w:t>乡镇</w:t>
            </w:r>
            <w:r>
              <w:rPr>
                <w:rFonts w:hint="eastAsia" w:ascii="仿宋_GB2312" w:eastAsia="仿宋_GB2312"/>
                <w:bCs/>
                <w:color w:val="auto"/>
                <w:sz w:val="24"/>
                <w:szCs w:val="28"/>
              </w:rPr>
              <w:t>各村实现户户通硬化全覆盖，各自然村实现亮化全覆盖；垃圾处理逐步实现分类处置；文化墙因村绘制，弘扬村民文明、健康、积极向上的文化风气；各村基本建成村情村史馆。估算</w:t>
            </w:r>
            <w:r>
              <w:rPr>
                <w:rFonts w:ascii="仿宋_GB2312" w:eastAsia="仿宋_GB2312"/>
                <w:bCs/>
                <w:color w:val="auto"/>
                <w:sz w:val="24"/>
                <w:szCs w:val="28"/>
              </w:rPr>
              <w:t>总投资</w:t>
            </w:r>
            <w:r>
              <w:rPr>
                <w:rFonts w:hint="eastAsia" w:ascii="仿宋_GB2312" w:eastAsia="仿宋_GB2312"/>
                <w:bCs/>
                <w:color w:val="auto"/>
                <w:sz w:val="24"/>
                <w:szCs w:val="28"/>
              </w:rPr>
              <w:t>1.5亿元</w:t>
            </w:r>
            <w:r>
              <w:rPr>
                <w:rFonts w:ascii="仿宋_GB2312" w:eastAsia="仿宋_GB2312"/>
                <w:bCs/>
                <w:color w:val="auto"/>
                <w:sz w:val="24"/>
                <w:szCs w:val="28"/>
              </w:rPr>
              <w:t>。</w:t>
            </w:r>
          </w:p>
        </w:tc>
      </w:tr>
    </w:tbl>
    <w:p>
      <w:pPr>
        <w:pStyle w:val="3"/>
        <w:spacing w:before="204"/>
        <w:ind w:firstLine="560" w:firstLineChars="200"/>
        <w:rPr>
          <w:color w:val="auto"/>
          <w:szCs w:val="30"/>
        </w:rPr>
      </w:pPr>
      <w:bookmarkStart w:id="19" w:name="_Toc62244272"/>
      <w:r>
        <w:rPr>
          <w:rFonts w:hint="eastAsia"/>
          <w:color w:val="auto"/>
          <w:szCs w:val="30"/>
        </w:rPr>
        <w:t>第四节  构筑共建共享城乡统筹格局</w:t>
      </w:r>
      <w:bookmarkEnd w:id="19"/>
    </w:p>
    <w:p>
      <w:pPr>
        <w:pStyle w:val="4"/>
        <w:numPr>
          <w:ilvl w:val="0"/>
          <w:numId w:val="0"/>
        </w:numPr>
        <w:ind w:left="643"/>
        <w:rPr>
          <w:color w:val="auto"/>
        </w:rPr>
      </w:pPr>
      <w:r>
        <w:rPr>
          <w:rFonts w:hint="eastAsia"/>
          <w:color w:val="auto"/>
        </w:rPr>
        <w:t>一</w:t>
      </w:r>
      <w:r>
        <w:rPr>
          <w:color w:val="auto"/>
        </w:rPr>
        <w:t>、</w:t>
      </w:r>
      <w:r>
        <w:rPr>
          <w:rFonts w:hint="eastAsia"/>
          <w:color w:val="auto"/>
        </w:rPr>
        <w:t>优化镇村体系空间格局</w:t>
      </w:r>
    </w:p>
    <w:p>
      <w:pPr>
        <w:ind w:firstLine="562"/>
        <w:rPr>
          <w:color w:val="auto"/>
        </w:rPr>
      </w:pPr>
      <w:r>
        <w:rPr>
          <w:rFonts w:hint="eastAsia"/>
          <w:b/>
          <w:color w:val="auto"/>
        </w:rPr>
        <w:t>彰显阜平</w:t>
      </w:r>
      <w:r>
        <w:rPr>
          <w:b/>
          <w:color w:val="auto"/>
        </w:rPr>
        <w:t>山区</w:t>
      </w:r>
      <w:r>
        <w:rPr>
          <w:rFonts w:hint="eastAsia"/>
          <w:b/>
          <w:color w:val="auto"/>
        </w:rPr>
        <w:t>发展特色</w:t>
      </w:r>
      <w:r>
        <w:rPr>
          <w:rFonts w:hint="eastAsia"/>
          <w:color w:val="auto"/>
        </w:rPr>
        <w:t>。探索镇村协同发展模式，分类引导特色镇村体系构建，实现根植于本土而彰显于时代。打造具有“山区特点、老区特色、时代特征”的城乡融合发展的“阜平模式”。立足依山傍水的山区地势特点，因势利导构建太行山区绿色生态镇村格局；围绕红色革命老区特色，统筹城市设计，发展特色魅力城镇。</w:t>
      </w:r>
    </w:p>
    <w:p>
      <w:pPr>
        <w:ind w:firstLine="562"/>
        <w:rPr>
          <w:color w:val="auto"/>
        </w:rPr>
      </w:pPr>
      <w:r>
        <w:rPr>
          <w:rFonts w:hint="eastAsia"/>
          <w:b/>
          <w:color w:val="auto"/>
        </w:rPr>
        <w:t>统筹</w:t>
      </w:r>
      <w:r>
        <w:rPr>
          <w:b/>
          <w:color w:val="auto"/>
        </w:rPr>
        <w:t>调整</w:t>
      </w:r>
      <w:r>
        <w:rPr>
          <w:rFonts w:hint="eastAsia"/>
          <w:b/>
          <w:color w:val="auto"/>
        </w:rPr>
        <w:t>城乡</w:t>
      </w:r>
      <w:r>
        <w:rPr>
          <w:b/>
          <w:color w:val="auto"/>
        </w:rPr>
        <w:t>建设用地</w:t>
      </w:r>
      <w:r>
        <w:rPr>
          <w:color w:val="auto"/>
        </w:rPr>
        <w:t>。</w:t>
      </w:r>
      <w:r>
        <w:rPr>
          <w:rFonts w:hint="eastAsia"/>
          <w:color w:val="auto"/>
        </w:rPr>
        <w:t>合理规划实施城乡建设用地增减挂钩和城镇低效用地再开发，通过将位置偏远、生境恶劣、基础设施缺乏的村庄用地腾退，以及中心城区、镇区范围的低效村庄用地更新、改造，结合新增建设用地规模的科学布局，实现城乡建设用地布局优化。</w:t>
      </w:r>
    </w:p>
    <w:p>
      <w:pPr>
        <w:ind w:firstLine="562"/>
        <w:rPr>
          <w:color w:val="auto"/>
        </w:rPr>
      </w:pPr>
      <w:r>
        <w:rPr>
          <w:rFonts w:hint="eastAsia"/>
          <w:b/>
          <w:color w:val="auto"/>
        </w:rPr>
        <w:t>优化城乡发展空间</w:t>
      </w:r>
      <w:r>
        <w:rPr>
          <w:rFonts w:hint="eastAsia"/>
          <w:color w:val="auto"/>
        </w:rPr>
        <w:t>。尊重自然地理和人文历史格局，打造服务旅游和促进全域平衡发展的镇村体系，强化镇与村、镇村与县城之间的一体化协调发展，着力提升城与村的纽带功能，促进镇村就地城镇化和美丽乡村多维发展。构建“县城、中心镇、一般镇、中心村、基层村”的镇村体系结构，形成“一主、六副、多节点”的镇村体系格局。</w:t>
      </w:r>
    </w:p>
    <w:p>
      <w:pPr>
        <w:spacing w:line="240" w:lineRule="auto"/>
        <w:ind w:firstLine="0" w:firstLineChars="0"/>
        <w:jc w:val="center"/>
        <w:rPr>
          <w:rFonts w:ascii="黑体" w:hAnsi="黑体" w:eastAsia="黑体" w:cstheme="majorBidi"/>
          <w:color w:val="auto"/>
          <w:sz w:val="22"/>
        </w:rPr>
      </w:pPr>
      <w:r>
        <w:rPr>
          <w:rFonts w:hint="eastAsia" w:ascii="黑体" w:hAnsi="黑体" w:eastAsia="黑体" w:cstheme="majorBidi"/>
          <w:color w:val="auto"/>
          <w:sz w:val="22"/>
        </w:rPr>
        <w:t>表4-</w:t>
      </w:r>
      <w:r>
        <w:rPr>
          <w:rFonts w:ascii="黑体" w:hAnsi="黑体" w:eastAsia="黑体" w:cstheme="majorBidi"/>
          <w:color w:val="auto"/>
          <w:sz w:val="22"/>
        </w:rPr>
        <w:fldChar w:fldCharType="begin"/>
      </w:r>
      <w:r>
        <w:rPr>
          <w:rFonts w:ascii="黑体" w:hAnsi="黑体" w:eastAsia="黑体" w:cstheme="majorBidi"/>
          <w:color w:val="auto"/>
          <w:sz w:val="22"/>
        </w:rPr>
        <w:instrText xml:space="preserve"> </w:instrText>
      </w:r>
      <w:r>
        <w:rPr>
          <w:rFonts w:hint="eastAsia" w:ascii="黑体" w:hAnsi="黑体" w:eastAsia="黑体" w:cstheme="majorBidi"/>
          <w:color w:val="auto"/>
          <w:sz w:val="22"/>
        </w:rPr>
        <w:instrText xml:space="preserve">SEQ 表 \* ARABIC</w:instrText>
      </w:r>
      <w:r>
        <w:rPr>
          <w:rFonts w:ascii="黑体" w:hAnsi="黑体" w:eastAsia="黑体" w:cstheme="majorBidi"/>
          <w:color w:val="auto"/>
          <w:sz w:val="22"/>
        </w:rPr>
        <w:instrText xml:space="preserve"> </w:instrText>
      </w:r>
      <w:r>
        <w:rPr>
          <w:rFonts w:ascii="黑体" w:hAnsi="黑体" w:eastAsia="黑体" w:cstheme="majorBidi"/>
          <w:color w:val="auto"/>
          <w:sz w:val="22"/>
        </w:rPr>
        <w:fldChar w:fldCharType="separate"/>
      </w:r>
      <w:r>
        <w:rPr>
          <w:rFonts w:ascii="黑体" w:hAnsi="黑体" w:eastAsia="黑体" w:cstheme="majorBidi"/>
          <w:color w:val="auto"/>
          <w:sz w:val="22"/>
        </w:rPr>
        <w:t>1</w:t>
      </w:r>
      <w:r>
        <w:rPr>
          <w:rFonts w:ascii="黑体" w:hAnsi="黑体" w:eastAsia="黑体" w:cstheme="majorBidi"/>
          <w:color w:val="auto"/>
          <w:sz w:val="22"/>
        </w:rPr>
        <w:fldChar w:fldCharType="end"/>
      </w:r>
      <w:r>
        <w:rPr>
          <w:rFonts w:ascii="黑体" w:hAnsi="黑体" w:eastAsia="黑体" w:cstheme="majorBidi"/>
          <w:color w:val="auto"/>
          <w:sz w:val="22"/>
        </w:rPr>
        <w:t xml:space="preserve"> </w:t>
      </w:r>
      <w:r>
        <w:rPr>
          <w:rFonts w:hint="eastAsia" w:ascii="黑体" w:hAnsi="黑体" w:eastAsia="黑体" w:cstheme="majorBidi"/>
          <w:color w:val="auto"/>
          <w:sz w:val="22"/>
        </w:rPr>
        <w:t>阜平县镇村体系结构</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1"/>
        <w:gridCol w:w="836"/>
        <w:gridCol w:w="1380"/>
        <w:gridCol w:w="1523"/>
        <w:gridCol w:w="3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tcBorders>
              <w:bottom w:val="nil"/>
            </w:tcBorders>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等级</w:t>
            </w:r>
          </w:p>
        </w:tc>
        <w:tc>
          <w:tcPr>
            <w:tcW w:w="836" w:type="dxa"/>
            <w:tcBorders>
              <w:bottom w:val="nil"/>
            </w:tcBorders>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个数</w:t>
            </w:r>
          </w:p>
        </w:tc>
        <w:tc>
          <w:tcPr>
            <w:tcW w:w="1380" w:type="dxa"/>
            <w:tcBorders>
              <w:bottom w:val="nil"/>
            </w:tcBorders>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名称</w:t>
            </w:r>
          </w:p>
        </w:tc>
        <w:tc>
          <w:tcPr>
            <w:tcW w:w="1523" w:type="dxa"/>
            <w:tcBorders>
              <w:bottom w:val="nil"/>
            </w:tcBorders>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人口规模</w:t>
            </w:r>
          </w:p>
        </w:tc>
        <w:tc>
          <w:tcPr>
            <w:tcW w:w="3346" w:type="dxa"/>
            <w:tcBorders>
              <w:bottom w:val="nil"/>
            </w:tcBorders>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职能分类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211" w:type="dxa"/>
            <w:tcBorders>
              <w:top w:val="nil"/>
              <w:bottom w:val="nil"/>
            </w:tcBorders>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县城</w:t>
            </w:r>
          </w:p>
        </w:tc>
        <w:tc>
          <w:tcPr>
            <w:tcW w:w="836"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1</w:t>
            </w:r>
          </w:p>
        </w:tc>
        <w:tc>
          <w:tcPr>
            <w:tcW w:w="1380"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中心城区</w:t>
            </w:r>
          </w:p>
        </w:tc>
        <w:tc>
          <w:tcPr>
            <w:tcW w:w="1523"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1</w:t>
            </w:r>
            <w:r>
              <w:rPr>
                <w:rFonts w:eastAsia="仿宋_GB2312"/>
                <w:bCs/>
                <w:color w:val="auto"/>
                <w:kern w:val="0"/>
                <w:sz w:val="21"/>
                <w:szCs w:val="21"/>
              </w:rPr>
              <w:t>0</w:t>
            </w:r>
            <w:r>
              <w:rPr>
                <w:rFonts w:hint="eastAsia" w:eastAsia="仿宋_GB2312"/>
                <w:bCs/>
                <w:color w:val="auto"/>
                <w:kern w:val="0"/>
                <w:sz w:val="21"/>
                <w:szCs w:val="21"/>
              </w:rPr>
              <w:t>万以上</w:t>
            </w:r>
          </w:p>
        </w:tc>
        <w:tc>
          <w:tcPr>
            <w:tcW w:w="3346"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综合型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restart"/>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中心镇</w:t>
            </w:r>
          </w:p>
        </w:tc>
        <w:tc>
          <w:tcPr>
            <w:tcW w:w="836" w:type="dxa"/>
            <w:vMerge w:val="restart"/>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6</w:t>
            </w:r>
          </w:p>
        </w:tc>
        <w:tc>
          <w:tcPr>
            <w:tcW w:w="1380"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平阳镇</w:t>
            </w:r>
          </w:p>
        </w:tc>
        <w:tc>
          <w:tcPr>
            <w:tcW w:w="1523"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.5-1</w:t>
            </w:r>
            <w:r>
              <w:rPr>
                <w:rFonts w:hint="eastAsia" w:eastAsia="仿宋_GB2312"/>
                <w:bCs/>
                <w:color w:val="auto"/>
                <w:kern w:val="0"/>
                <w:sz w:val="21"/>
                <w:szCs w:val="21"/>
              </w:rPr>
              <w:t>万</w:t>
            </w:r>
          </w:p>
        </w:tc>
        <w:tc>
          <w:tcPr>
            <w:tcW w:w="3346"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现代农业型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tcBorders>
              <w:top w:val="nil"/>
              <w:bottom w:val="nil"/>
            </w:tcBorders>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tcBorders>
              <w:top w:val="nil"/>
              <w:bottom w:val="nil"/>
            </w:tcBorders>
            <w:vAlign w:val="center"/>
          </w:tcPr>
          <w:p>
            <w:pPr>
              <w:spacing w:line="240" w:lineRule="auto"/>
              <w:ind w:firstLine="0" w:firstLineChars="0"/>
              <w:jc w:val="center"/>
              <w:rPr>
                <w:rFonts w:eastAsia="仿宋_GB2312"/>
                <w:bCs/>
                <w:color w:val="auto"/>
                <w:kern w:val="0"/>
                <w:sz w:val="21"/>
                <w:szCs w:val="21"/>
              </w:rPr>
            </w:pPr>
          </w:p>
        </w:tc>
        <w:tc>
          <w:tcPr>
            <w:tcW w:w="1380"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城南庄镇</w:t>
            </w:r>
          </w:p>
        </w:tc>
        <w:tc>
          <w:tcPr>
            <w:tcW w:w="1523"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.5-1</w:t>
            </w:r>
            <w:r>
              <w:rPr>
                <w:rFonts w:hint="eastAsia" w:eastAsia="仿宋_GB2312"/>
                <w:bCs/>
                <w:color w:val="auto"/>
                <w:kern w:val="0"/>
                <w:sz w:val="21"/>
                <w:szCs w:val="21"/>
              </w:rPr>
              <w:t>万</w:t>
            </w:r>
          </w:p>
        </w:tc>
        <w:tc>
          <w:tcPr>
            <w:tcW w:w="3346"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特色保护型、现代农业型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vAlign w:val="center"/>
          </w:tcPr>
          <w:p>
            <w:pPr>
              <w:spacing w:line="240" w:lineRule="auto"/>
              <w:ind w:firstLine="0" w:firstLineChars="0"/>
              <w:jc w:val="center"/>
              <w:rPr>
                <w:rFonts w:eastAsia="仿宋_GB2312"/>
                <w:bCs/>
                <w:color w:val="auto"/>
                <w:kern w:val="0"/>
                <w:sz w:val="21"/>
                <w:szCs w:val="21"/>
              </w:rPr>
            </w:pPr>
          </w:p>
        </w:tc>
        <w:tc>
          <w:tcPr>
            <w:tcW w:w="1380"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天生桥镇</w:t>
            </w:r>
          </w:p>
        </w:tc>
        <w:tc>
          <w:tcPr>
            <w:tcW w:w="1523"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.5-1</w:t>
            </w:r>
            <w:r>
              <w:rPr>
                <w:rFonts w:hint="eastAsia" w:eastAsia="仿宋_GB2312"/>
                <w:bCs/>
                <w:color w:val="auto"/>
                <w:kern w:val="0"/>
                <w:sz w:val="21"/>
                <w:szCs w:val="21"/>
              </w:rPr>
              <w:t>万</w:t>
            </w:r>
          </w:p>
        </w:tc>
        <w:tc>
          <w:tcPr>
            <w:tcW w:w="3346"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资源生态型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tcBorders>
              <w:top w:val="nil"/>
              <w:bottom w:val="nil"/>
            </w:tcBorders>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tcBorders>
              <w:top w:val="nil"/>
              <w:bottom w:val="nil"/>
            </w:tcBorders>
            <w:vAlign w:val="center"/>
          </w:tcPr>
          <w:p>
            <w:pPr>
              <w:spacing w:line="240" w:lineRule="auto"/>
              <w:ind w:firstLine="0" w:firstLineChars="0"/>
              <w:jc w:val="center"/>
              <w:rPr>
                <w:rFonts w:eastAsia="仿宋_GB2312"/>
                <w:bCs/>
                <w:color w:val="auto"/>
                <w:kern w:val="0"/>
                <w:sz w:val="21"/>
                <w:szCs w:val="21"/>
              </w:rPr>
            </w:pPr>
          </w:p>
        </w:tc>
        <w:tc>
          <w:tcPr>
            <w:tcW w:w="1380"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龙泉关镇</w:t>
            </w:r>
          </w:p>
        </w:tc>
        <w:tc>
          <w:tcPr>
            <w:tcW w:w="1523"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.5-1</w:t>
            </w:r>
            <w:r>
              <w:rPr>
                <w:rFonts w:hint="eastAsia" w:eastAsia="仿宋_GB2312"/>
                <w:bCs/>
                <w:color w:val="auto"/>
                <w:kern w:val="0"/>
                <w:sz w:val="21"/>
                <w:szCs w:val="21"/>
              </w:rPr>
              <w:t>万</w:t>
            </w:r>
          </w:p>
        </w:tc>
        <w:tc>
          <w:tcPr>
            <w:tcW w:w="3346"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资源生态型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vAlign w:val="center"/>
          </w:tcPr>
          <w:p>
            <w:pPr>
              <w:spacing w:line="240" w:lineRule="auto"/>
              <w:ind w:firstLine="0" w:firstLineChars="0"/>
              <w:jc w:val="center"/>
              <w:rPr>
                <w:rFonts w:eastAsia="仿宋_GB2312"/>
                <w:bCs/>
                <w:color w:val="auto"/>
                <w:kern w:val="0"/>
                <w:sz w:val="21"/>
                <w:szCs w:val="21"/>
              </w:rPr>
            </w:pPr>
          </w:p>
        </w:tc>
        <w:tc>
          <w:tcPr>
            <w:tcW w:w="1380"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砂窝镇</w:t>
            </w:r>
          </w:p>
        </w:tc>
        <w:tc>
          <w:tcPr>
            <w:tcW w:w="1523"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.5-1</w:t>
            </w:r>
            <w:r>
              <w:rPr>
                <w:rFonts w:hint="eastAsia" w:eastAsia="仿宋_GB2312"/>
                <w:bCs/>
                <w:color w:val="auto"/>
                <w:kern w:val="0"/>
                <w:sz w:val="21"/>
                <w:szCs w:val="21"/>
              </w:rPr>
              <w:t>万</w:t>
            </w:r>
          </w:p>
        </w:tc>
        <w:tc>
          <w:tcPr>
            <w:tcW w:w="3346"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资源生态型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tcBorders>
              <w:top w:val="nil"/>
              <w:bottom w:val="nil"/>
            </w:tcBorders>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tcBorders>
              <w:top w:val="nil"/>
              <w:bottom w:val="nil"/>
            </w:tcBorders>
            <w:vAlign w:val="center"/>
          </w:tcPr>
          <w:p>
            <w:pPr>
              <w:spacing w:line="240" w:lineRule="auto"/>
              <w:ind w:firstLine="0" w:firstLineChars="0"/>
              <w:jc w:val="center"/>
              <w:rPr>
                <w:rFonts w:eastAsia="仿宋_GB2312"/>
                <w:bCs/>
                <w:color w:val="auto"/>
                <w:kern w:val="0"/>
                <w:sz w:val="21"/>
                <w:szCs w:val="21"/>
              </w:rPr>
            </w:pPr>
          </w:p>
        </w:tc>
        <w:tc>
          <w:tcPr>
            <w:tcW w:w="1380"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大台乡</w:t>
            </w:r>
          </w:p>
        </w:tc>
        <w:tc>
          <w:tcPr>
            <w:tcW w:w="1523"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.1-0.5</w:t>
            </w:r>
            <w:r>
              <w:rPr>
                <w:rFonts w:hint="eastAsia" w:eastAsia="仿宋_GB2312"/>
                <w:bCs/>
                <w:color w:val="auto"/>
                <w:kern w:val="0"/>
                <w:sz w:val="21"/>
                <w:szCs w:val="21"/>
              </w:rPr>
              <w:t>万</w:t>
            </w:r>
          </w:p>
        </w:tc>
        <w:tc>
          <w:tcPr>
            <w:tcW w:w="3346"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特色保护型、现代农业型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restart"/>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一般镇</w:t>
            </w:r>
          </w:p>
        </w:tc>
        <w:tc>
          <w:tcPr>
            <w:tcW w:w="836" w:type="dxa"/>
            <w:vMerge w:val="restart"/>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6</w:t>
            </w:r>
          </w:p>
        </w:tc>
        <w:tc>
          <w:tcPr>
            <w:tcW w:w="1380"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王林口镇</w:t>
            </w:r>
          </w:p>
        </w:tc>
        <w:tc>
          <w:tcPr>
            <w:tcW w:w="1523"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.5-1</w:t>
            </w:r>
            <w:r>
              <w:rPr>
                <w:rFonts w:hint="eastAsia" w:eastAsia="仿宋_GB2312"/>
                <w:bCs/>
                <w:color w:val="auto"/>
                <w:kern w:val="0"/>
                <w:sz w:val="21"/>
                <w:szCs w:val="21"/>
              </w:rPr>
              <w:t>万</w:t>
            </w:r>
          </w:p>
        </w:tc>
        <w:tc>
          <w:tcPr>
            <w:tcW w:w="3346"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城郊服务型、工贸带动型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tcBorders>
              <w:top w:val="nil"/>
              <w:bottom w:val="nil"/>
            </w:tcBorders>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tcBorders>
              <w:top w:val="nil"/>
              <w:bottom w:val="nil"/>
            </w:tcBorders>
            <w:vAlign w:val="center"/>
          </w:tcPr>
          <w:p>
            <w:pPr>
              <w:spacing w:line="240" w:lineRule="auto"/>
              <w:ind w:firstLine="0" w:firstLineChars="0"/>
              <w:jc w:val="center"/>
              <w:rPr>
                <w:rFonts w:eastAsia="仿宋_GB2312"/>
                <w:bCs/>
                <w:color w:val="auto"/>
                <w:kern w:val="0"/>
                <w:sz w:val="21"/>
                <w:szCs w:val="21"/>
              </w:rPr>
            </w:pPr>
          </w:p>
        </w:tc>
        <w:tc>
          <w:tcPr>
            <w:tcW w:w="1380"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吴王口乡</w:t>
            </w:r>
          </w:p>
        </w:tc>
        <w:tc>
          <w:tcPr>
            <w:tcW w:w="1523"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.1-0.5</w:t>
            </w:r>
            <w:r>
              <w:rPr>
                <w:rFonts w:hint="eastAsia" w:eastAsia="仿宋_GB2312"/>
                <w:bCs/>
                <w:color w:val="auto"/>
                <w:kern w:val="0"/>
                <w:sz w:val="21"/>
                <w:szCs w:val="21"/>
              </w:rPr>
              <w:t>万</w:t>
            </w:r>
          </w:p>
        </w:tc>
        <w:tc>
          <w:tcPr>
            <w:tcW w:w="3346"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资源生态型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vAlign w:val="center"/>
          </w:tcPr>
          <w:p>
            <w:pPr>
              <w:spacing w:line="240" w:lineRule="auto"/>
              <w:ind w:firstLine="0" w:firstLineChars="0"/>
              <w:jc w:val="center"/>
              <w:rPr>
                <w:rFonts w:eastAsia="仿宋_GB2312"/>
                <w:bCs/>
                <w:color w:val="auto"/>
                <w:kern w:val="0"/>
                <w:sz w:val="21"/>
                <w:szCs w:val="21"/>
              </w:rPr>
            </w:pPr>
          </w:p>
        </w:tc>
        <w:tc>
          <w:tcPr>
            <w:tcW w:w="1380"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夏庄乡</w:t>
            </w:r>
          </w:p>
        </w:tc>
        <w:tc>
          <w:tcPr>
            <w:tcW w:w="1523"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.1-0.5</w:t>
            </w:r>
            <w:r>
              <w:rPr>
                <w:rFonts w:hint="eastAsia" w:eastAsia="仿宋_GB2312"/>
                <w:bCs/>
                <w:color w:val="auto"/>
                <w:kern w:val="0"/>
                <w:sz w:val="21"/>
                <w:szCs w:val="21"/>
              </w:rPr>
              <w:t>万</w:t>
            </w:r>
          </w:p>
        </w:tc>
        <w:tc>
          <w:tcPr>
            <w:tcW w:w="3346"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资源生态型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tcBorders>
              <w:top w:val="nil"/>
              <w:bottom w:val="nil"/>
            </w:tcBorders>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tcBorders>
              <w:top w:val="nil"/>
              <w:bottom w:val="nil"/>
            </w:tcBorders>
            <w:vAlign w:val="center"/>
          </w:tcPr>
          <w:p>
            <w:pPr>
              <w:spacing w:line="240" w:lineRule="auto"/>
              <w:ind w:firstLine="0" w:firstLineChars="0"/>
              <w:jc w:val="center"/>
              <w:rPr>
                <w:rFonts w:eastAsia="仿宋_GB2312"/>
                <w:bCs/>
                <w:color w:val="auto"/>
                <w:kern w:val="0"/>
                <w:sz w:val="21"/>
                <w:szCs w:val="21"/>
              </w:rPr>
            </w:pPr>
          </w:p>
        </w:tc>
        <w:tc>
          <w:tcPr>
            <w:tcW w:w="1380"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北果园镇</w:t>
            </w:r>
          </w:p>
        </w:tc>
        <w:tc>
          <w:tcPr>
            <w:tcW w:w="1523"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.1-0.5</w:t>
            </w:r>
            <w:r>
              <w:rPr>
                <w:rFonts w:hint="eastAsia" w:eastAsia="仿宋_GB2312"/>
                <w:bCs/>
                <w:color w:val="auto"/>
                <w:kern w:val="0"/>
                <w:sz w:val="21"/>
                <w:szCs w:val="21"/>
              </w:rPr>
              <w:t>万</w:t>
            </w:r>
          </w:p>
        </w:tc>
        <w:tc>
          <w:tcPr>
            <w:tcW w:w="3346"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现代农业型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vAlign w:val="center"/>
          </w:tcPr>
          <w:p>
            <w:pPr>
              <w:spacing w:line="240" w:lineRule="auto"/>
              <w:ind w:firstLine="0" w:firstLineChars="0"/>
              <w:jc w:val="center"/>
              <w:rPr>
                <w:rFonts w:eastAsia="仿宋_GB2312"/>
                <w:bCs/>
                <w:color w:val="auto"/>
                <w:kern w:val="0"/>
                <w:sz w:val="21"/>
                <w:szCs w:val="21"/>
              </w:rPr>
            </w:pPr>
          </w:p>
        </w:tc>
        <w:tc>
          <w:tcPr>
            <w:tcW w:w="1380"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史家寨乡</w:t>
            </w:r>
          </w:p>
        </w:tc>
        <w:tc>
          <w:tcPr>
            <w:tcW w:w="1523"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.1-0.5</w:t>
            </w:r>
            <w:r>
              <w:rPr>
                <w:rFonts w:hint="eastAsia" w:eastAsia="仿宋_GB2312"/>
                <w:bCs/>
                <w:color w:val="auto"/>
                <w:kern w:val="0"/>
                <w:sz w:val="21"/>
                <w:szCs w:val="21"/>
              </w:rPr>
              <w:t>万</w:t>
            </w:r>
          </w:p>
        </w:tc>
        <w:tc>
          <w:tcPr>
            <w:tcW w:w="3346"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现代农业型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Merge w:val="continue"/>
            <w:tcBorders>
              <w:top w:val="nil"/>
              <w:bottom w:val="nil"/>
            </w:tcBorders>
            <w:vAlign w:val="center"/>
          </w:tcPr>
          <w:p>
            <w:pPr>
              <w:spacing w:line="240" w:lineRule="auto"/>
              <w:ind w:firstLine="0" w:firstLineChars="0"/>
              <w:jc w:val="center"/>
              <w:rPr>
                <w:rFonts w:eastAsia="仿宋_GB2312"/>
                <w:b w:val="0"/>
                <w:bCs w:val="0"/>
                <w:color w:val="auto"/>
                <w:kern w:val="0"/>
                <w:sz w:val="21"/>
                <w:szCs w:val="21"/>
              </w:rPr>
            </w:pPr>
          </w:p>
        </w:tc>
        <w:tc>
          <w:tcPr>
            <w:tcW w:w="836" w:type="dxa"/>
            <w:vMerge w:val="continue"/>
            <w:tcBorders>
              <w:top w:val="nil"/>
              <w:bottom w:val="nil"/>
            </w:tcBorders>
            <w:vAlign w:val="center"/>
          </w:tcPr>
          <w:p>
            <w:pPr>
              <w:spacing w:line="240" w:lineRule="auto"/>
              <w:ind w:firstLine="0" w:firstLineChars="0"/>
              <w:jc w:val="center"/>
              <w:rPr>
                <w:rFonts w:eastAsia="仿宋_GB2312"/>
                <w:bCs/>
                <w:color w:val="auto"/>
                <w:kern w:val="0"/>
                <w:sz w:val="21"/>
                <w:szCs w:val="21"/>
              </w:rPr>
            </w:pPr>
          </w:p>
        </w:tc>
        <w:tc>
          <w:tcPr>
            <w:tcW w:w="1380"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台峪乡</w:t>
            </w:r>
          </w:p>
        </w:tc>
        <w:tc>
          <w:tcPr>
            <w:tcW w:w="1523"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0</w:t>
            </w:r>
            <w:r>
              <w:rPr>
                <w:rFonts w:eastAsia="仿宋_GB2312"/>
                <w:bCs/>
                <w:color w:val="auto"/>
                <w:kern w:val="0"/>
                <w:sz w:val="21"/>
                <w:szCs w:val="21"/>
              </w:rPr>
              <w:t>.1-0.5</w:t>
            </w:r>
            <w:r>
              <w:rPr>
                <w:rFonts w:hint="eastAsia" w:eastAsia="仿宋_GB2312"/>
                <w:bCs/>
                <w:color w:val="auto"/>
                <w:kern w:val="0"/>
                <w:sz w:val="21"/>
                <w:szCs w:val="21"/>
              </w:rPr>
              <w:t>万</w:t>
            </w:r>
          </w:p>
        </w:tc>
        <w:tc>
          <w:tcPr>
            <w:tcW w:w="3346" w:type="dxa"/>
            <w:tcBorders>
              <w:top w:val="nil"/>
              <w:bottom w:val="nil"/>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现代农业型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中心村</w:t>
            </w:r>
          </w:p>
        </w:tc>
        <w:tc>
          <w:tcPr>
            <w:tcW w:w="836" w:type="dxa"/>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3</w:t>
            </w:r>
            <w:r>
              <w:rPr>
                <w:rFonts w:eastAsia="仿宋_GB2312"/>
                <w:bCs/>
                <w:color w:val="auto"/>
                <w:kern w:val="0"/>
                <w:sz w:val="21"/>
                <w:szCs w:val="21"/>
              </w:rPr>
              <w:t>4</w:t>
            </w:r>
          </w:p>
        </w:tc>
        <w:tc>
          <w:tcPr>
            <w:tcW w:w="1380" w:type="dxa"/>
            <w:vAlign w:val="center"/>
          </w:tcPr>
          <w:p>
            <w:pPr>
              <w:spacing w:line="240" w:lineRule="auto"/>
              <w:ind w:firstLine="0" w:firstLineChars="0"/>
              <w:jc w:val="center"/>
              <w:rPr>
                <w:rFonts w:eastAsia="仿宋_GB2312"/>
                <w:bCs/>
                <w:color w:val="auto"/>
                <w:kern w:val="0"/>
                <w:sz w:val="21"/>
                <w:szCs w:val="21"/>
              </w:rPr>
            </w:pPr>
          </w:p>
        </w:tc>
        <w:tc>
          <w:tcPr>
            <w:tcW w:w="1523" w:type="dxa"/>
            <w:vAlign w:val="center"/>
          </w:tcPr>
          <w:p>
            <w:pPr>
              <w:spacing w:line="240" w:lineRule="auto"/>
              <w:ind w:firstLine="0" w:firstLineChars="0"/>
              <w:jc w:val="center"/>
              <w:rPr>
                <w:rFonts w:eastAsia="仿宋_GB2312"/>
                <w:bCs/>
                <w:color w:val="auto"/>
                <w:kern w:val="0"/>
                <w:sz w:val="21"/>
                <w:szCs w:val="21"/>
              </w:rPr>
            </w:pPr>
          </w:p>
        </w:tc>
        <w:tc>
          <w:tcPr>
            <w:tcW w:w="3346" w:type="dxa"/>
            <w:vAlign w:val="center"/>
          </w:tcPr>
          <w:p>
            <w:pPr>
              <w:spacing w:line="240" w:lineRule="auto"/>
              <w:ind w:firstLine="0" w:firstLineChars="0"/>
              <w:jc w:val="center"/>
              <w:rPr>
                <w:rFonts w:eastAsia="仿宋_GB2312"/>
                <w:bCs/>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1211" w:type="dxa"/>
            <w:tcBorders>
              <w:top w:val="nil"/>
              <w:bottom w:val="single" w:color="auto" w:sz="4" w:space="0"/>
            </w:tcBorders>
            <w:vAlign w:val="center"/>
          </w:tcPr>
          <w:p>
            <w:pPr>
              <w:spacing w:line="240" w:lineRule="auto"/>
              <w:ind w:firstLine="0" w:firstLineChars="0"/>
              <w:jc w:val="center"/>
              <w:rPr>
                <w:rFonts w:eastAsia="仿宋_GB2312"/>
                <w:b w:val="0"/>
                <w:bCs w:val="0"/>
                <w:color w:val="auto"/>
                <w:kern w:val="0"/>
                <w:sz w:val="21"/>
                <w:szCs w:val="21"/>
              </w:rPr>
            </w:pPr>
            <w:r>
              <w:rPr>
                <w:rFonts w:hint="eastAsia" w:eastAsia="仿宋_GB2312"/>
                <w:b/>
                <w:bCs/>
                <w:color w:val="auto"/>
                <w:kern w:val="0"/>
                <w:sz w:val="21"/>
                <w:szCs w:val="21"/>
              </w:rPr>
              <w:t>基层村</w:t>
            </w:r>
          </w:p>
        </w:tc>
        <w:tc>
          <w:tcPr>
            <w:tcW w:w="836" w:type="dxa"/>
            <w:tcBorders>
              <w:top w:val="nil"/>
              <w:bottom w:val="single" w:color="auto" w:sz="4" w:space="0"/>
            </w:tcBorders>
            <w:vAlign w:val="center"/>
          </w:tcPr>
          <w:p>
            <w:pPr>
              <w:spacing w:line="240" w:lineRule="auto"/>
              <w:ind w:firstLine="0" w:firstLineChars="0"/>
              <w:jc w:val="center"/>
              <w:rPr>
                <w:rFonts w:eastAsia="仿宋_GB2312"/>
                <w:bCs/>
                <w:color w:val="auto"/>
                <w:kern w:val="0"/>
                <w:sz w:val="21"/>
                <w:szCs w:val="21"/>
              </w:rPr>
            </w:pPr>
            <w:r>
              <w:rPr>
                <w:rFonts w:hint="eastAsia" w:eastAsia="仿宋_GB2312"/>
                <w:bCs/>
                <w:color w:val="auto"/>
                <w:kern w:val="0"/>
                <w:sz w:val="21"/>
                <w:szCs w:val="21"/>
              </w:rPr>
              <w:t>9</w:t>
            </w:r>
            <w:r>
              <w:rPr>
                <w:rFonts w:eastAsia="仿宋_GB2312"/>
                <w:bCs/>
                <w:color w:val="auto"/>
                <w:kern w:val="0"/>
                <w:sz w:val="21"/>
                <w:szCs w:val="21"/>
              </w:rPr>
              <w:t>9</w:t>
            </w:r>
          </w:p>
        </w:tc>
        <w:tc>
          <w:tcPr>
            <w:tcW w:w="1380" w:type="dxa"/>
            <w:tcBorders>
              <w:top w:val="nil"/>
              <w:bottom w:val="single" w:color="auto" w:sz="4" w:space="0"/>
            </w:tcBorders>
            <w:vAlign w:val="center"/>
          </w:tcPr>
          <w:p>
            <w:pPr>
              <w:spacing w:line="240" w:lineRule="auto"/>
              <w:ind w:firstLine="0" w:firstLineChars="0"/>
              <w:jc w:val="center"/>
              <w:rPr>
                <w:rFonts w:eastAsia="仿宋_GB2312"/>
                <w:bCs/>
                <w:color w:val="auto"/>
                <w:kern w:val="0"/>
                <w:sz w:val="21"/>
                <w:szCs w:val="21"/>
              </w:rPr>
            </w:pPr>
          </w:p>
        </w:tc>
        <w:tc>
          <w:tcPr>
            <w:tcW w:w="1523" w:type="dxa"/>
            <w:tcBorders>
              <w:top w:val="nil"/>
              <w:bottom w:val="single" w:color="auto" w:sz="4" w:space="0"/>
            </w:tcBorders>
            <w:vAlign w:val="center"/>
          </w:tcPr>
          <w:p>
            <w:pPr>
              <w:spacing w:line="240" w:lineRule="auto"/>
              <w:ind w:firstLine="0" w:firstLineChars="0"/>
              <w:jc w:val="center"/>
              <w:rPr>
                <w:rFonts w:eastAsia="仿宋_GB2312"/>
                <w:bCs/>
                <w:color w:val="auto"/>
                <w:kern w:val="0"/>
                <w:sz w:val="21"/>
                <w:szCs w:val="21"/>
              </w:rPr>
            </w:pPr>
          </w:p>
        </w:tc>
        <w:tc>
          <w:tcPr>
            <w:tcW w:w="3346" w:type="dxa"/>
            <w:tcBorders>
              <w:top w:val="nil"/>
              <w:bottom w:val="single" w:color="auto" w:sz="4" w:space="0"/>
            </w:tcBorders>
            <w:vAlign w:val="center"/>
          </w:tcPr>
          <w:p>
            <w:pPr>
              <w:spacing w:line="240" w:lineRule="auto"/>
              <w:ind w:firstLine="0" w:firstLineChars="0"/>
              <w:jc w:val="center"/>
              <w:rPr>
                <w:rFonts w:eastAsia="仿宋_GB2312"/>
                <w:bCs/>
                <w:color w:val="auto"/>
                <w:kern w:val="0"/>
                <w:sz w:val="21"/>
                <w:szCs w:val="21"/>
              </w:rPr>
            </w:pPr>
          </w:p>
        </w:tc>
      </w:tr>
    </w:tbl>
    <w:p>
      <w:pPr>
        <w:spacing w:line="240" w:lineRule="auto"/>
        <w:ind w:firstLine="0" w:firstLineChars="0"/>
        <w:jc w:val="center"/>
        <w:rPr>
          <w:color w:val="auto"/>
        </w:rPr>
      </w:pPr>
    </w:p>
    <w:p>
      <w:pPr>
        <w:spacing w:line="240" w:lineRule="auto"/>
        <w:ind w:firstLine="0" w:firstLineChars="0"/>
        <w:jc w:val="center"/>
        <w:rPr>
          <w:color w:val="auto"/>
        </w:rPr>
      </w:pPr>
      <w:r>
        <w:rPr>
          <w:b/>
          <w:bCs/>
          <w:color w:val="auto"/>
          <w:kern w:val="0"/>
          <w:sz w:val="32"/>
          <w:szCs w:val="32"/>
        </w:rPr>
        <w:drawing>
          <wp:inline distT="0" distB="0" distL="0" distR="0">
            <wp:extent cx="4672330" cy="3096895"/>
            <wp:effectExtent l="19050" t="19050" r="0" b="5080"/>
            <wp:docPr id="16" name="图片 2" descr="F:\阜平规划20200513\国土空间规划成果\阜平镇村体系布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F:\阜平规划20200513\国土空间规划成果\阜平镇村体系布局.jpg"/>
                    <pic:cNvPicPr>
                      <a:picLocks noChangeAspect="1" noChangeArrowheads="1"/>
                    </pic:cNvPicPr>
                  </pic:nvPicPr>
                  <pic:blipFill>
                    <a:blip r:embed="rId18" cstate="print"/>
                    <a:srcRect l="9509" t="13998" r="9549" b="10175"/>
                    <a:stretch>
                      <a:fillRect/>
                    </a:stretch>
                  </pic:blipFill>
                  <pic:spPr>
                    <a:xfrm>
                      <a:off x="0" y="0"/>
                      <a:ext cx="4672858" cy="3097331"/>
                    </a:xfrm>
                    <a:prstGeom prst="rect">
                      <a:avLst/>
                    </a:prstGeom>
                    <a:noFill/>
                    <a:ln w="6350">
                      <a:solidFill>
                        <a:schemeClr val="tx1">
                          <a:lumMod val="50000"/>
                          <a:lumOff val="50000"/>
                        </a:schemeClr>
                      </a:solidFill>
                    </a:ln>
                  </pic:spPr>
                </pic:pic>
              </a:graphicData>
            </a:graphic>
          </wp:inline>
        </w:drawing>
      </w:r>
    </w:p>
    <w:p>
      <w:pPr>
        <w:spacing w:line="240" w:lineRule="auto"/>
        <w:ind w:firstLine="0" w:firstLineChars="0"/>
        <w:jc w:val="center"/>
        <w:rPr>
          <w:rFonts w:eastAsia="黑体" w:asciiTheme="majorHAnsi" w:hAnsiTheme="majorHAnsi" w:cstheme="majorBidi"/>
          <w:color w:val="auto"/>
          <w:sz w:val="24"/>
          <w:szCs w:val="24"/>
        </w:rPr>
      </w:pPr>
      <w:r>
        <w:rPr>
          <w:rFonts w:hint="eastAsia" w:ascii="黑体" w:hAnsi="黑体" w:eastAsia="黑体" w:cstheme="majorBidi"/>
          <w:color w:val="auto"/>
          <w:sz w:val="22"/>
          <w:szCs w:val="24"/>
        </w:rPr>
        <w:t>图</w:t>
      </w:r>
      <w:r>
        <w:rPr>
          <w:rFonts w:ascii="黑体" w:hAnsi="黑体" w:eastAsia="黑体" w:cstheme="majorBidi"/>
          <w:color w:val="auto"/>
          <w:sz w:val="22"/>
          <w:szCs w:val="24"/>
        </w:rPr>
        <w:t xml:space="preserve">4-1 </w:t>
      </w:r>
      <w:r>
        <w:rPr>
          <w:rFonts w:hint="eastAsia" w:ascii="黑体" w:hAnsi="黑体" w:eastAsia="黑体" w:cstheme="majorBidi"/>
          <w:color w:val="auto"/>
          <w:sz w:val="22"/>
          <w:szCs w:val="24"/>
        </w:rPr>
        <w:t>“一主、六副、多节点”的镇村体系格局</w:t>
      </w:r>
    </w:p>
    <w:p>
      <w:pPr>
        <w:pStyle w:val="4"/>
        <w:numPr>
          <w:ilvl w:val="0"/>
          <w:numId w:val="0"/>
        </w:numPr>
        <w:ind w:left="643"/>
        <w:rPr>
          <w:color w:val="auto"/>
        </w:rPr>
      </w:pPr>
      <w:r>
        <w:rPr>
          <w:rFonts w:hint="eastAsia"/>
          <w:color w:val="auto"/>
        </w:rPr>
        <w:t>二</w:t>
      </w:r>
      <w:r>
        <w:rPr>
          <w:color w:val="auto"/>
        </w:rPr>
        <w:t>、</w:t>
      </w:r>
      <w:r>
        <w:rPr>
          <w:rFonts w:hint="eastAsia"/>
          <w:color w:val="auto"/>
        </w:rPr>
        <w:t>健全城乡融合发展</w:t>
      </w:r>
      <w:r>
        <w:rPr>
          <w:color w:val="auto"/>
        </w:rPr>
        <w:t>机制</w:t>
      </w:r>
    </w:p>
    <w:p>
      <w:pPr>
        <w:ind w:firstLine="562"/>
        <w:rPr>
          <w:color w:val="auto"/>
        </w:rPr>
      </w:pPr>
      <w:r>
        <w:rPr>
          <w:rFonts w:hint="eastAsia"/>
          <w:b/>
          <w:color w:val="auto"/>
        </w:rPr>
        <w:t>畅通城乡要素双向流动渠道</w:t>
      </w:r>
      <w:r>
        <w:rPr>
          <w:rFonts w:hint="eastAsia"/>
          <w:color w:val="auto"/>
        </w:rPr>
        <w:t>。大力</w:t>
      </w:r>
      <w:r>
        <w:rPr>
          <w:color w:val="auto"/>
        </w:rPr>
        <w:t>破除制约融合发展的市场、</w:t>
      </w:r>
      <w:r>
        <w:rPr>
          <w:rFonts w:hint="eastAsia"/>
          <w:color w:val="auto"/>
        </w:rPr>
        <w:t>金融</w:t>
      </w:r>
      <w:r>
        <w:rPr>
          <w:color w:val="auto"/>
        </w:rPr>
        <w:t>、土地等要素约束，</w:t>
      </w:r>
      <w:r>
        <w:rPr>
          <w:rFonts w:hint="eastAsia"/>
          <w:color w:val="auto"/>
        </w:rPr>
        <w:t>推动城乡要素平等交换、双向流动</w:t>
      </w:r>
      <w:r>
        <w:rPr>
          <w:color w:val="auto"/>
        </w:rPr>
        <w:t>。</w:t>
      </w:r>
      <w:r>
        <w:rPr>
          <w:rFonts w:hint="eastAsia"/>
          <w:color w:val="auto"/>
        </w:rPr>
        <w:t>健全</w:t>
      </w:r>
      <w:r>
        <w:rPr>
          <w:color w:val="auto"/>
        </w:rPr>
        <w:t>城乡统一的建设用地</w:t>
      </w:r>
      <w:r>
        <w:rPr>
          <w:rFonts w:hint="eastAsia"/>
          <w:color w:val="auto"/>
        </w:rPr>
        <w:t>市场</w:t>
      </w:r>
      <w:r>
        <w:rPr>
          <w:color w:val="auto"/>
        </w:rPr>
        <w:t>，</w:t>
      </w:r>
      <w:r>
        <w:rPr>
          <w:rFonts w:hint="eastAsia"/>
          <w:color w:val="auto"/>
        </w:rPr>
        <w:t>开展供地用地方式改革，深入探索</w:t>
      </w:r>
      <w:r>
        <w:rPr>
          <w:color w:val="auto"/>
        </w:rPr>
        <w:t>实施</w:t>
      </w:r>
      <w:r>
        <w:rPr>
          <w:rFonts w:hint="eastAsia"/>
          <w:color w:val="auto"/>
        </w:rPr>
        <w:t>集体性建设用地入市制度、城乡建设用地增减挂钩和指标交易制度，鼓励建设用地多功能复合利用，盘活存量建设用地和低效土地；</w:t>
      </w:r>
      <w:r>
        <w:rPr>
          <w:color w:val="auto"/>
        </w:rPr>
        <w:t>在符合国土空间规划、用途管制和依法取得前提下，</w:t>
      </w:r>
      <w:r>
        <w:rPr>
          <w:rFonts w:hint="eastAsia"/>
          <w:color w:val="auto"/>
        </w:rPr>
        <w:t>稳妥探索</w:t>
      </w:r>
      <w:r>
        <w:rPr>
          <w:color w:val="auto"/>
        </w:rPr>
        <w:t>农村集体经营性建设用地</w:t>
      </w:r>
      <w:r>
        <w:rPr>
          <w:rFonts w:hint="eastAsia"/>
          <w:color w:val="auto"/>
        </w:rPr>
        <w:t>直接</w:t>
      </w:r>
      <w:r>
        <w:rPr>
          <w:color w:val="auto"/>
        </w:rPr>
        <w:t>入市，</w:t>
      </w:r>
      <w:r>
        <w:rPr>
          <w:rFonts w:hint="eastAsia"/>
          <w:color w:val="auto"/>
        </w:rPr>
        <w:t>探索</w:t>
      </w:r>
      <w:r>
        <w:rPr>
          <w:color w:val="auto"/>
        </w:rPr>
        <w:t>宅基地</w:t>
      </w:r>
      <w:r>
        <w:rPr>
          <w:rFonts w:hint="eastAsia"/>
          <w:color w:val="auto"/>
        </w:rPr>
        <w:t>“三权分置”的创新</w:t>
      </w:r>
      <w:r>
        <w:rPr>
          <w:color w:val="auto"/>
        </w:rPr>
        <w:t>实践</w:t>
      </w:r>
      <w:r>
        <w:rPr>
          <w:rFonts w:hint="eastAsia"/>
          <w:color w:val="auto"/>
        </w:rPr>
        <w:t>。全面提升农业转移人口市民化质量，积极依托京津冀城市群</w:t>
      </w:r>
      <w:r>
        <w:rPr>
          <w:color w:val="auto"/>
        </w:rPr>
        <w:t>建设，</w:t>
      </w:r>
      <w:r>
        <w:rPr>
          <w:rFonts w:hint="eastAsia"/>
          <w:color w:val="auto"/>
        </w:rPr>
        <w:t>加快</w:t>
      </w:r>
      <w:r>
        <w:rPr>
          <w:color w:val="auto"/>
        </w:rPr>
        <w:t>完善县域综合服务功能，吸纳更多农民在地就业和就近市民化</w:t>
      </w:r>
      <w:r>
        <w:rPr>
          <w:rFonts w:hint="eastAsia"/>
          <w:color w:val="auto"/>
        </w:rPr>
        <w:t>；进一步深化户籍制度改革，</w:t>
      </w:r>
      <w:r>
        <w:rPr>
          <w:color w:val="auto"/>
        </w:rPr>
        <w:t>促进</w:t>
      </w:r>
      <w:r>
        <w:rPr>
          <w:rFonts w:hint="eastAsia"/>
          <w:color w:val="auto"/>
        </w:rPr>
        <w:t>符合条件的农业转移人口便捷落户、稳定落户；强化</w:t>
      </w:r>
      <w:r>
        <w:rPr>
          <w:color w:val="auto"/>
        </w:rPr>
        <w:t>基本公共服务保障，</w:t>
      </w:r>
      <w:r>
        <w:rPr>
          <w:rFonts w:hint="eastAsia"/>
          <w:color w:val="auto"/>
        </w:rPr>
        <w:t>扩大城镇基本公共服务覆盖面，切实提升人口城镇化质量与水平。吸引社会资本“下乡”，围绕乡村重点发展领域，精细化制定相对应的投资正负面清单</w:t>
      </w:r>
      <w:r>
        <w:rPr>
          <w:color w:val="auto"/>
        </w:rPr>
        <w:t>，分类引导</w:t>
      </w:r>
      <w:r>
        <w:rPr>
          <w:rFonts w:hint="eastAsia"/>
          <w:color w:val="auto"/>
        </w:rPr>
        <w:t>“自主参与</w:t>
      </w:r>
      <w:r>
        <w:rPr>
          <w:color w:val="auto"/>
        </w:rPr>
        <w:t>、合作参与、协同参与</w:t>
      </w:r>
      <w:r>
        <w:rPr>
          <w:rFonts w:hint="eastAsia"/>
          <w:color w:val="auto"/>
        </w:rPr>
        <w:t>”等</w:t>
      </w:r>
      <w:r>
        <w:rPr>
          <w:color w:val="auto"/>
        </w:rPr>
        <w:t>参与模式，灵活</w:t>
      </w:r>
      <w:r>
        <w:rPr>
          <w:rFonts w:hint="eastAsia"/>
          <w:color w:val="auto"/>
        </w:rPr>
        <w:t>丰富“投资</w:t>
      </w:r>
      <w:r>
        <w:rPr>
          <w:color w:val="auto"/>
        </w:rPr>
        <w:t>参与、</w:t>
      </w:r>
      <w:r>
        <w:rPr>
          <w:rFonts w:hint="eastAsia"/>
          <w:color w:val="auto"/>
        </w:rPr>
        <w:t>创业</w:t>
      </w:r>
      <w:r>
        <w:rPr>
          <w:color w:val="auto"/>
        </w:rPr>
        <w:t>参与、</w:t>
      </w:r>
      <w:r>
        <w:rPr>
          <w:rFonts w:hint="eastAsia"/>
          <w:color w:val="auto"/>
        </w:rPr>
        <w:t>服务</w:t>
      </w:r>
      <w:r>
        <w:rPr>
          <w:color w:val="auto"/>
        </w:rPr>
        <w:t>参与、援助参与</w:t>
      </w:r>
      <w:r>
        <w:rPr>
          <w:rFonts w:hint="eastAsia"/>
          <w:color w:val="auto"/>
        </w:rPr>
        <w:t>”等</w:t>
      </w:r>
      <w:r>
        <w:rPr>
          <w:color w:val="auto"/>
        </w:rPr>
        <w:t>内容形式</w:t>
      </w:r>
      <w:r>
        <w:rPr>
          <w:rFonts w:hint="eastAsia"/>
          <w:color w:val="auto"/>
        </w:rPr>
        <w:t>，建立</w:t>
      </w:r>
      <w:r>
        <w:rPr>
          <w:color w:val="auto"/>
        </w:rPr>
        <w:t>完善社会参与机制</w:t>
      </w:r>
      <w:r>
        <w:rPr>
          <w:rFonts w:hint="eastAsia"/>
          <w:color w:val="auto"/>
        </w:rPr>
        <w:t>。</w:t>
      </w:r>
    </w:p>
    <w:p>
      <w:pPr>
        <w:ind w:firstLine="562"/>
        <w:rPr>
          <w:color w:val="auto"/>
        </w:rPr>
      </w:pPr>
      <w:r>
        <w:rPr>
          <w:rFonts w:hint="eastAsia"/>
          <w:b/>
          <w:color w:val="auto"/>
        </w:rPr>
        <w:t>推进城乡基本公共服务均等化</w:t>
      </w:r>
      <w:r>
        <w:rPr>
          <w:rFonts w:hint="eastAsia"/>
          <w:color w:val="auto"/>
        </w:rPr>
        <w:t>。统筹</w:t>
      </w:r>
      <w:r>
        <w:rPr>
          <w:color w:val="auto"/>
        </w:rPr>
        <w:t>县域城镇和</w:t>
      </w:r>
      <w:r>
        <w:rPr>
          <w:rFonts w:hint="eastAsia"/>
          <w:color w:val="auto"/>
        </w:rPr>
        <w:t>村庄</w:t>
      </w:r>
      <w:r>
        <w:rPr>
          <w:color w:val="auto"/>
        </w:rPr>
        <w:t>规划建设，</w:t>
      </w:r>
      <w:r>
        <w:rPr>
          <w:rFonts w:hint="eastAsia"/>
          <w:color w:val="auto"/>
        </w:rPr>
        <w:t>积极探索基础设施</w:t>
      </w:r>
      <w:r>
        <w:rPr>
          <w:color w:val="auto"/>
        </w:rPr>
        <w:t>一体化规划、一体化建设、一体化管护的</w:t>
      </w:r>
      <w:r>
        <w:rPr>
          <w:rFonts w:hint="eastAsia"/>
          <w:color w:val="auto"/>
        </w:rPr>
        <w:t>长效</w:t>
      </w:r>
      <w:r>
        <w:rPr>
          <w:color w:val="auto"/>
        </w:rPr>
        <w:t>机制</w:t>
      </w:r>
      <w:r>
        <w:rPr>
          <w:rFonts w:hint="eastAsia"/>
          <w:color w:val="auto"/>
        </w:rPr>
        <w:t>。布局城乡一体的基础设施网络，加大乡村基础设施建设力度，构建分级分类投入机制，推动乡村基础设施由基本保障向优质供给转型，提高乡村供水、供电保障水平；建立城乡基础设施统一管理体系，明确统一管护运行模式，将公益性基础设施管控与运行投入纳入一般公共财政预算，明确乡村基础设施产权归属，落实管护责任。构建</w:t>
      </w:r>
      <w:r>
        <w:rPr>
          <w:color w:val="auto"/>
        </w:rPr>
        <w:t>多层次城乡住房供应体系，</w:t>
      </w:r>
      <w:r>
        <w:rPr>
          <w:rFonts w:hint="eastAsia"/>
          <w:color w:val="auto"/>
        </w:rPr>
        <w:t>坚持房子是用来住的、不是用来炒的定位，探索</w:t>
      </w:r>
      <w:r>
        <w:rPr>
          <w:color w:val="auto"/>
        </w:rPr>
        <w:t>实施</w:t>
      </w:r>
      <w:r>
        <w:rPr>
          <w:rFonts w:hint="eastAsia"/>
          <w:color w:val="auto"/>
        </w:rPr>
        <w:t>城乡“双轨制”“租购并举”等</w:t>
      </w:r>
      <w:r>
        <w:rPr>
          <w:color w:val="auto"/>
        </w:rPr>
        <w:t>供应制度及模式</w:t>
      </w:r>
      <w:r>
        <w:rPr>
          <w:rFonts w:hint="eastAsia"/>
          <w:color w:val="auto"/>
        </w:rPr>
        <w:t>，有效增加保障性住房供给，完善土地出让收入分配机制，探索支持利用集体建设用地按照规划建设租赁住房，完善长租房政策，扩大保障性租赁住房供给，促进房地产市场平稳健康发展。</w:t>
      </w:r>
    </w:p>
    <w:p>
      <w:pPr>
        <w:ind w:firstLine="560"/>
        <w:rPr>
          <w:color w:val="auto"/>
        </w:rPr>
      </w:pPr>
    </w:p>
    <w:p>
      <w:pPr>
        <w:pStyle w:val="2"/>
        <w:spacing w:line="240" w:lineRule="auto"/>
        <w:jc w:val="center"/>
        <w:rPr>
          <w:color w:val="auto"/>
        </w:rPr>
      </w:pPr>
      <w:bookmarkStart w:id="20" w:name="_Toc62244273"/>
      <w:r>
        <w:rPr>
          <w:rFonts w:hint="eastAsia"/>
          <w:color w:val="auto"/>
        </w:rPr>
        <w:t>第五章  深入</w:t>
      </w:r>
      <w:r>
        <w:rPr>
          <w:color w:val="auto"/>
        </w:rPr>
        <w:t>实施</w:t>
      </w:r>
      <w:r>
        <w:rPr>
          <w:rFonts w:hint="eastAsia"/>
          <w:color w:val="auto"/>
        </w:rPr>
        <w:t>乡村振兴战略</w:t>
      </w:r>
      <w:r>
        <w:rPr>
          <w:color w:val="auto"/>
        </w:rPr>
        <w:t>，</w:t>
      </w:r>
      <w:r>
        <w:rPr>
          <w:rFonts w:hint="eastAsia"/>
          <w:color w:val="auto"/>
        </w:rPr>
        <w:t>创建美丽</w:t>
      </w:r>
      <w:r>
        <w:rPr>
          <w:color w:val="auto"/>
        </w:rPr>
        <w:t>阜平</w:t>
      </w:r>
      <w:bookmarkEnd w:id="20"/>
    </w:p>
    <w:p>
      <w:pPr>
        <w:ind w:firstLine="560"/>
        <w:rPr>
          <w:color w:val="auto"/>
        </w:rPr>
      </w:pPr>
      <w:r>
        <w:rPr>
          <w:rFonts w:hint="eastAsia"/>
          <w:color w:val="auto"/>
        </w:rPr>
        <w:t>做好巩固拓展脱贫攻坚成果同乡村振兴有效衔接，按照“产业兴旺、生态宜居、乡风文明、治理有效、生活富裕”总体要求，深入</w:t>
      </w:r>
      <w:r>
        <w:rPr>
          <w:color w:val="auto"/>
        </w:rPr>
        <w:t>实施乡村振兴战略</w:t>
      </w:r>
      <w:r>
        <w:rPr>
          <w:rFonts w:hint="eastAsia"/>
          <w:color w:val="auto"/>
        </w:rPr>
        <w:t>，创新乡村振兴“阜平样板”，高质量打造乡村振兴示范先行区。到2025年，乡村振兴取得阶段性成果，全县农民人均纯收入达到全国平均水平，进一步缩小发展差距，区域发展与脱贫攻坚</w:t>
      </w:r>
      <w:r>
        <w:rPr>
          <w:color w:val="auto"/>
        </w:rPr>
        <w:t>成果</w:t>
      </w:r>
      <w:r>
        <w:rPr>
          <w:rFonts w:hint="eastAsia"/>
          <w:color w:val="auto"/>
        </w:rPr>
        <w:t>得到巩固拓展。</w:t>
      </w:r>
    </w:p>
    <w:p>
      <w:pPr>
        <w:pStyle w:val="3"/>
        <w:spacing w:before="204"/>
        <w:ind w:firstLine="560" w:firstLineChars="200"/>
        <w:rPr>
          <w:color w:val="auto"/>
          <w:szCs w:val="30"/>
        </w:rPr>
      </w:pPr>
      <w:bookmarkStart w:id="21" w:name="_Toc62244274"/>
      <w:r>
        <w:rPr>
          <w:rFonts w:hint="eastAsia"/>
          <w:color w:val="auto"/>
          <w:szCs w:val="30"/>
        </w:rPr>
        <w:t>第一节  多措并举巩固拓展脱贫成果</w:t>
      </w:r>
      <w:bookmarkEnd w:id="21"/>
    </w:p>
    <w:p>
      <w:pPr>
        <w:ind w:firstLine="560"/>
        <w:rPr>
          <w:color w:val="auto"/>
        </w:rPr>
      </w:pPr>
      <w:r>
        <w:rPr>
          <w:rFonts w:hint="eastAsia"/>
          <w:color w:val="auto"/>
        </w:rPr>
        <w:t>走中国特色社会主义乡村振兴道路，严格</w:t>
      </w:r>
      <w:r>
        <w:rPr>
          <w:color w:val="auto"/>
        </w:rPr>
        <w:t>落实</w:t>
      </w:r>
      <w:r>
        <w:rPr>
          <w:rFonts w:hint="eastAsia"/>
          <w:color w:val="auto"/>
        </w:rPr>
        <w:t>“四个不摘”要求，重点做好易地扶贫搬迁后续</w:t>
      </w:r>
      <w:r>
        <w:rPr>
          <w:color w:val="auto"/>
        </w:rPr>
        <w:t>扶持工作，</w:t>
      </w:r>
      <w:r>
        <w:rPr>
          <w:rFonts w:hint="eastAsia"/>
          <w:color w:val="auto"/>
        </w:rPr>
        <w:t>接力推进减贫治理与全县经济社会发展各领域工作相衔接，创新市场化、长效化扶贫机制。</w:t>
      </w:r>
    </w:p>
    <w:p>
      <w:pPr>
        <w:pStyle w:val="4"/>
        <w:numPr>
          <w:ilvl w:val="0"/>
          <w:numId w:val="0"/>
        </w:numPr>
        <w:ind w:left="643"/>
        <w:rPr>
          <w:color w:val="auto"/>
        </w:rPr>
      </w:pPr>
      <w:r>
        <w:rPr>
          <w:rFonts w:hint="eastAsia"/>
          <w:color w:val="auto"/>
        </w:rPr>
        <w:t>一</w:t>
      </w:r>
      <w:r>
        <w:rPr>
          <w:color w:val="auto"/>
        </w:rPr>
        <w:t>、</w:t>
      </w:r>
      <w:r>
        <w:rPr>
          <w:rFonts w:hint="eastAsia"/>
          <w:color w:val="auto"/>
        </w:rPr>
        <w:t>坚持产业和就业扶贫再推进</w:t>
      </w:r>
    </w:p>
    <w:p>
      <w:pPr>
        <w:ind w:firstLine="562"/>
        <w:rPr>
          <w:color w:val="auto"/>
        </w:rPr>
      </w:pPr>
      <w:r>
        <w:rPr>
          <w:rFonts w:hint="eastAsia"/>
          <w:b/>
          <w:color w:val="auto"/>
        </w:rPr>
        <w:t>继续</w:t>
      </w:r>
      <w:r>
        <w:rPr>
          <w:b/>
          <w:color w:val="auto"/>
        </w:rPr>
        <w:t>加强产业帮扶</w:t>
      </w:r>
      <w:r>
        <w:rPr>
          <w:rFonts w:hint="eastAsia"/>
          <w:color w:val="auto"/>
        </w:rPr>
        <w:t>。深入</w:t>
      </w:r>
      <w:r>
        <w:rPr>
          <w:color w:val="auto"/>
        </w:rPr>
        <w:t>实施</w:t>
      </w:r>
      <w:r>
        <w:rPr>
          <w:rFonts w:hint="eastAsia"/>
          <w:color w:val="auto"/>
        </w:rPr>
        <w:t>《阜平县脱贫攻坚与乡村振兴街接规划》，适时调整实施农业专项规划，</w:t>
      </w:r>
      <w:r>
        <w:rPr>
          <w:color w:val="auto"/>
        </w:rPr>
        <w:t>加快推动</w:t>
      </w:r>
      <w:r>
        <w:rPr>
          <w:rFonts w:hint="eastAsia"/>
          <w:color w:val="auto"/>
        </w:rPr>
        <w:t>脱贫摘帽后产业扶贫及后续街接，提升相对贫困人口的</w:t>
      </w:r>
      <w:r>
        <w:rPr>
          <w:color w:val="auto"/>
        </w:rPr>
        <w:t>持续</w:t>
      </w:r>
      <w:r>
        <w:rPr>
          <w:rFonts w:hint="eastAsia"/>
          <w:color w:val="auto"/>
        </w:rPr>
        <w:t>发展能力。产业扶贫政策措施由到村到户为主向到乡到村带户为主转变，支持具备产业发展条件和有劳动能力的帮扶对象，参加技能培训、发展相关产业；进一步完善“太行山驿站”建设，在科技创新、产业化经营、实施品牌战略等方面实施全产业链服务，增强科技支撑和产业发展后劲；探索实施特色产业奖补措施；巩固提升电子商务进农村综合示范成果，促进农产品网上销售，组织开展产销对接，切实解决生产发展和产品积压等难题，提升扶贫产业可持续发展能力；继续动员龙头企业、专业合作社、致富带头人等，统筹资产收益扶贫、消费扶贫、光伏扶贫等项目，带动建档立卡户和监测对象参与生产经营。</w:t>
      </w:r>
    </w:p>
    <w:p>
      <w:pPr>
        <w:ind w:firstLine="562"/>
        <w:rPr>
          <w:color w:val="auto"/>
        </w:rPr>
      </w:pPr>
      <w:r>
        <w:rPr>
          <w:rFonts w:hint="eastAsia"/>
          <w:b/>
          <w:color w:val="auto"/>
        </w:rPr>
        <w:t>继续促进就业帮扶</w:t>
      </w:r>
      <w:r>
        <w:rPr>
          <w:rFonts w:hint="eastAsia"/>
          <w:color w:val="auto"/>
        </w:rPr>
        <w:t>。拓宽发展劳务扶贫协作、扶贫产业园区、种养殖基地、扶贫车间和家庭手工业车间等，加快</w:t>
      </w:r>
      <w:r>
        <w:rPr>
          <w:color w:val="auto"/>
        </w:rPr>
        <w:t>建设</w:t>
      </w:r>
      <w:r>
        <w:rPr>
          <w:rFonts w:hint="eastAsia"/>
          <w:color w:val="auto"/>
        </w:rPr>
        <w:t>大教厂村</w:t>
      </w:r>
      <w:r>
        <w:rPr>
          <w:color w:val="auto"/>
        </w:rPr>
        <w:t>、天生桥村等手工业厂房二期</w:t>
      </w:r>
      <w:r>
        <w:rPr>
          <w:rFonts w:hint="eastAsia"/>
          <w:color w:val="auto"/>
        </w:rPr>
        <w:t>工程</w:t>
      </w:r>
      <w:r>
        <w:rPr>
          <w:color w:val="auto"/>
        </w:rPr>
        <w:t>，</w:t>
      </w:r>
      <w:r>
        <w:rPr>
          <w:rFonts w:hint="eastAsia"/>
          <w:color w:val="auto"/>
        </w:rPr>
        <w:t>推进手工业提档升级，支持现有扶贫车间做优做大做强，力争手工业车间覆盖每个村，把主要的手工业产品做成全国知名品牌。加强职业培训力度，通过校企对接，实施职业技能免费订单培训，实现就业增收；通过“请进来”和“走出去”方式，针对性邀请农业、林业、畜牧专家进行专题培训，深入田间地头，现场指导。充分利用京保协作优势，根据企业需求举办劳务协作培训班，对贫困户实施培训，精准对接北京企业用工需求，因人因需提供就业服务，开通劳务输转“快车道”。</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5-1 </w:t>
            </w:r>
            <w:r>
              <w:rPr>
                <w:rFonts w:hint="eastAsia" w:ascii="黑体" w:hAnsi="黑体" w:eastAsia="黑体"/>
                <w:color w:val="auto"/>
                <w:sz w:val="24"/>
                <w:szCs w:val="28"/>
              </w:rPr>
              <w:t>土地复垦及扶贫产业建设项目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1</w:t>
            </w:r>
            <w:r>
              <w:rPr>
                <w:rFonts w:ascii="仿宋_GB2312" w:eastAsia="仿宋_GB2312"/>
                <w:b/>
                <w:bCs/>
                <w:color w:val="auto"/>
                <w:sz w:val="24"/>
                <w:szCs w:val="28"/>
              </w:rPr>
              <w:t>.</w:t>
            </w:r>
            <w:r>
              <w:rPr>
                <w:rFonts w:hint="eastAsia" w:ascii="仿宋_GB2312" w:eastAsia="仿宋_GB2312"/>
                <w:b/>
                <w:bCs/>
                <w:color w:val="auto"/>
                <w:sz w:val="24"/>
                <w:szCs w:val="28"/>
              </w:rPr>
              <w:t>村庄拆旧复垦安置补偿</w:t>
            </w:r>
            <w:r>
              <w:rPr>
                <w:rFonts w:hint="eastAsia" w:ascii="仿宋_GB2312" w:eastAsia="仿宋_GB2312"/>
                <w:bCs/>
                <w:color w:val="auto"/>
                <w:sz w:val="24"/>
                <w:szCs w:val="28"/>
              </w:rPr>
              <w:t>。对扣除易地扶贫搬迁安置房屋所需费用后剩余资产进行货币补偿，进行搬迁安置补偿。</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2</w:t>
            </w:r>
            <w:r>
              <w:rPr>
                <w:rFonts w:ascii="仿宋_GB2312" w:eastAsia="仿宋_GB2312"/>
                <w:b/>
                <w:bCs/>
                <w:color w:val="auto"/>
                <w:sz w:val="24"/>
                <w:szCs w:val="28"/>
              </w:rPr>
              <w:t>.</w:t>
            </w:r>
            <w:r>
              <w:rPr>
                <w:rFonts w:hint="eastAsia" w:ascii="仿宋_GB2312" w:eastAsia="仿宋_GB2312"/>
                <w:b/>
                <w:bCs/>
                <w:color w:val="auto"/>
                <w:sz w:val="24"/>
                <w:szCs w:val="28"/>
              </w:rPr>
              <w:t>搬迁后村庄拆旧土地复垦</w:t>
            </w:r>
            <w:r>
              <w:rPr>
                <w:rFonts w:hint="eastAsia" w:ascii="仿宋_GB2312" w:eastAsia="仿宋_GB2312"/>
                <w:bCs/>
                <w:color w:val="auto"/>
                <w:sz w:val="24"/>
                <w:szCs w:val="28"/>
              </w:rPr>
              <w:t>。对台峪乡、史家寨乡、夏庄乡、大台乡、城南庄镇5个乡镇27个行政村及其所属部分自然村居民点，进行拆旧复垦。复垦总面积为2852.26亩，新增耕地面积2236.02亩，新增耕地率78.39%。</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3</w:t>
            </w:r>
            <w:r>
              <w:rPr>
                <w:rFonts w:ascii="仿宋_GB2312" w:eastAsia="仿宋_GB2312"/>
                <w:b/>
                <w:bCs/>
                <w:color w:val="auto"/>
                <w:sz w:val="24"/>
                <w:szCs w:val="28"/>
              </w:rPr>
              <w:t>.</w:t>
            </w:r>
            <w:r>
              <w:rPr>
                <w:rFonts w:hint="eastAsia" w:ascii="仿宋_GB2312" w:eastAsia="仿宋_GB2312"/>
                <w:b/>
                <w:bCs/>
                <w:color w:val="auto"/>
                <w:sz w:val="24"/>
                <w:szCs w:val="28"/>
              </w:rPr>
              <w:t>特色扶贫产业林果种植</w:t>
            </w:r>
            <w:r>
              <w:rPr>
                <w:rFonts w:hint="eastAsia" w:ascii="仿宋_GB2312" w:eastAsia="仿宋_GB2312"/>
                <w:bCs/>
                <w:color w:val="auto"/>
                <w:sz w:val="24"/>
                <w:szCs w:val="28"/>
              </w:rPr>
              <w:t>。对复垦后的2000亩土地进行林果栽种，主要集中在国道、省道、旅游路线两侧能实现机械化作业大块地，以栽植苹果为主，达到丰产期年产水果4500吨以上，全面推进本地区林果种植、加工、现代服务产业的一二三产业融合发展，有效带动贫困人口脱贫增收。</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4</w:t>
            </w:r>
            <w:r>
              <w:rPr>
                <w:rFonts w:ascii="仿宋_GB2312" w:eastAsia="仿宋_GB2312"/>
                <w:b/>
                <w:bCs/>
                <w:color w:val="auto"/>
                <w:sz w:val="24"/>
                <w:szCs w:val="28"/>
              </w:rPr>
              <w:t>.</w:t>
            </w:r>
            <w:r>
              <w:rPr>
                <w:rFonts w:hint="eastAsia" w:ascii="仿宋_GB2312" w:eastAsia="仿宋_GB2312"/>
                <w:b/>
                <w:bCs/>
                <w:color w:val="auto"/>
                <w:sz w:val="24"/>
                <w:szCs w:val="28"/>
              </w:rPr>
              <w:t>易地扶贫搬迁村庄旅游产业发展</w:t>
            </w:r>
            <w:r>
              <w:rPr>
                <w:rFonts w:hint="eastAsia" w:ascii="仿宋_GB2312" w:eastAsia="仿宋_GB2312"/>
                <w:bCs/>
                <w:color w:val="auto"/>
                <w:sz w:val="24"/>
                <w:szCs w:val="28"/>
              </w:rPr>
              <w:t>。因地制宜发展乡村旅游业，对具有旅游发展潜力的搬迁村庄房屋进行提升改造，规模预计8000平米，同时进行村内停车场、村庄环境整治、供水、供电等市政配套设施建设。其中，对原始村落保存较好的村庄如香炉石村、高家地沟村、朱家庵村、黑崖沟村、长梁沟村、新房村等村庄，挖掘传统村落文化内涵，发展高端乡村旅游产业；将店房村以军事体验拓展为主题，打造满足游客参观、体验、住宿等旅游需求的专项旅游产品。</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5</w:t>
            </w:r>
            <w:r>
              <w:rPr>
                <w:rFonts w:ascii="仿宋_GB2312" w:eastAsia="仿宋_GB2312"/>
                <w:b/>
                <w:bCs/>
                <w:color w:val="auto"/>
                <w:sz w:val="24"/>
                <w:szCs w:val="28"/>
              </w:rPr>
              <w:t>.</w:t>
            </w:r>
            <w:r>
              <w:rPr>
                <w:rFonts w:hint="eastAsia" w:ascii="仿宋_GB2312" w:eastAsia="仿宋_GB2312"/>
                <w:b/>
                <w:bCs/>
                <w:color w:val="auto"/>
                <w:sz w:val="24"/>
                <w:szCs w:val="28"/>
              </w:rPr>
              <w:t>顾家台、骆驼湾民俗旅游开发扶贫开发项目（三期）</w:t>
            </w:r>
            <w:r>
              <w:rPr>
                <w:rFonts w:hint="eastAsia" w:ascii="仿宋_GB2312" w:eastAsia="仿宋_GB2312"/>
                <w:bCs/>
                <w:color w:val="auto"/>
                <w:sz w:val="24"/>
                <w:szCs w:val="28"/>
              </w:rPr>
              <w:t>。围绕“展脱贫成果、促乡村振兴”主题，将骆驼湾顾家台休闲旅游度假区提档升级，对顾家台、骆驼湾、瓦窑村等核心区村落周边环境进行生态性修复以及完善配套服务功能，主要进行一廊、一带、一庄园、脱贫攻坚展示馆、沉浸式科技互动体验空间、游客服务中心及周边停车场绿化、顾家台拓展基地及现有民宿提升项目建设，同时在西下关村建设旅游配套外宣接待基地、帐篷露营基地。</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6</w:t>
            </w:r>
            <w:r>
              <w:rPr>
                <w:rFonts w:ascii="仿宋_GB2312" w:eastAsia="仿宋_GB2312"/>
                <w:b/>
                <w:bCs/>
                <w:color w:val="auto"/>
                <w:sz w:val="24"/>
                <w:szCs w:val="28"/>
              </w:rPr>
              <w:t>.</w:t>
            </w:r>
            <w:r>
              <w:rPr>
                <w:rFonts w:hint="eastAsia" w:ascii="仿宋_GB2312" w:eastAsia="仿宋_GB2312"/>
                <w:b/>
                <w:bCs/>
                <w:color w:val="auto"/>
                <w:sz w:val="24"/>
                <w:szCs w:val="28"/>
              </w:rPr>
              <w:t>土地综合整治项目</w:t>
            </w:r>
            <w:r>
              <w:rPr>
                <w:rFonts w:hint="eastAsia" w:ascii="仿宋_GB2312" w:eastAsia="仿宋_GB2312"/>
                <w:bCs/>
                <w:color w:val="auto"/>
                <w:sz w:val="24"/>
                <w:szCs w:val="28"/>
              </w:rPr>
              <w:t>。对固镇、广安村、店房村项目区5110.44亩土地进行综合整治，包括土地平整工程、灌溉与排水工程、田间道路工程、农田防护和生态环境保持工程以及其他工程。新增耕地面积3592.20亩，新增耕地率70.29%。</w:t>
            </w:r>
          </w:p>
        </w:tc>
      </w:tr>
    </w:tbl>
    <w:p>
      <w:pPr>
        <w:pStyle w:val="4"/>
        <w:numPr>
          <w:ilvl w:val="0"/>
          <w:numId w:val="0"/>
        </w:numPr>
        <w:ind w:left="643"/>
        <w:rPr>
          <w:color w:val="auto"/>
        </w:rPr>
      </w:pPr>
      <w:r>
        <w:rPr>
          <w:rFonts w:hint="eastAsia"/>
          <w:color w:val="auto"/>
        </w:rPr>
        <w:t>二</w:t>
      </w:r>
      <w:r>
        <w:rPr>
          <w:color w:val="auto"/>
        </w:rPr>
        <w:t>、</w:t>
      </w:r>
      <w:r>
        <w:rPr>
          <w:rFonts w:hint="eastAsia"/>
          <w:color w:val="auto"/>
        </w:rPr>
        <w:t>坚持强化兜底保障体系建设</w:t>
      </w:r>
    </w:p>
    <w:p>
      <w:pPr>
        <w:ind w:firstLine="562"/>
        <w:rPr>
          <w:color w:val="auto"/>
        </w:rPr>
      </w:pPr>
      <w:r>
        <w:rPr>
          <w:rFonts w:hint="eastAsia"/>
          <w:b/>
          <w:color w:val="auto"/>
        </w:rPr>
        <w:t>强化综合保障兜底</w:t>
      </w:r>
      <w:r>
        <w:rPr>
          <w:b/>
          <w:color w:val="auto"/>
        </w:rPr>
        <w:t>作用</w:t>
      </w:r>
      <w:r>
        <w:rPr>
          <w:rFonts w:hint="eastAsia"/>
          <w:color w:val="auto"/>
        </w:rPr>
        <w:t>。坚持</w:t>
      </w:r>
      <w:r>
        <w:rPr>
          <w:color w:val="auto"/>
        </w:rPr>
        <w:t>有序调整、平稳过渡，</w:t>
      </w:r>
      <w:r>
        <w:rPr>
          <w:rFonts w:hint="eastAsia"/>
          <w:color w:val="auto"/>
        </w:rPr>
        <w:t>建立多层次困难群众认定标准，完善低保、特困、低收入家庭和支出型贫困家庭认定办法，制定评估指标体系；按照“尽力而为、量力而行”的要求，逐步完善低保标准动态调整机制，研究建立各项补贴标准稳步增长机制，确保动态化应保尽保、应兜尽兜。继续加强教育、医疗、</w:t>
      </w:r>
      <w:r>
        <w:rPr>
          <w:color w:val="auto"/>
        </w:rPr>
        <w:t>住房</w:t>
      </w:r>
      <w:r>
        <w:rPr>
          <w:rFonts w:hint="eastAsia"/>
          <w:color w:val="auto"/>
        </w:rPr>
        <w:t>等普惠性</w:t>
      </w:r>
      <w:r>
        <w:rPr>
          <w:color w:val="auto"/>
        </w:rPr>
        <w:t>政策</w:t>
      </w:r>
      <w:r>
        <w:rPr>
          <w:rFonts w:hint="eastAsia"/>
          <w:color w:val="auto"/>
        </w:rPr>
        <w:t>保障力度，防止因病、因学、因灾致贫返贫；对无劳动能力的脱贫不稳定户和边缘易致贫户，进一步强化低保、医疗、养老保险和特困供养等综合性社会保障措施；适度简化监测对象临时救助程序，提高临时救助额度。</w:t>
      </w:r>
    </w:p>
    <w:p>
      <w:pPr>
        <w:ind w:firstLine="562"/>
        <w:rPr>
          <w:color w:val="auto"/>
        </w:rPr>
      </w:pPr>
      <w:r>
        <w:rPr>
          <w:rFonts w:hint="eastAsia"/>
          <w:b/>
          <w:color w:val="auto"/>
        </w:rPr>
        <w:t>发挥社会基金救助作用</w:t>
      </w:r>
      <w:r>
        <w:rPr>
          <w:rFonts w:hint="eastAsia"/>
          <w:color w:val="auto"/>
        </w:rPr>
        <w:t>。坚持</w:t>
      </w:r>
      <w:r>
        <w:rPr>
          <w:color w:val="auto"/>
        </w:rPr>
        <w:t>政府推动引导，</w:t>
      </w:r>
      <w:r>
        <w:rPr>
          <w:rFonts w:hint="eastAsia"/>
          <w:color w:val="auto"/>
        </w:rPr>
        <w:t>社会</w:t>
      </w:r>
      <w:r>
        <w:rPr>
          <w:color w:val="auto"/>
        </w:rPr>
        <w:t>市场协同发力。</w:t>
      </w:r>
      <w:r>
        <w:rPr>
          <w:rFonts w:hint="eastAsia"/>
          <w:color w:val="auto"/>
        </w:rPr>
        <w:t>对按规定落实各项帮扶政策措施后基本生活依然困难、且无法通过产业就业帮扶消除返贫致贫风险的家庭，发挥社会救助基金作用，统筹开展专项救助。各部门用足用好各项帮扶政策措施，切实形成帮扶救助的常态长效机制。</w:t>
      </w:r>
    </w:p>
    <w:p>
      <w:pPr>
        <w:pStyle w:val="4"/>
        <w:numPr>
          <w:ilvl w:val="0"/>
          <w:numId w:val="0"/>
        </w:numPr>
        <w:ind w:left="643"/>
        <w:rPr>
          <w:color w:val="auto"/>
        </w:rPr>
      </w:pPr>
      <w:r>
        <w:rPr>
          <w:rFonts w:hint="eastAsia"/>
          <w:color w:val="auto"/>
        </w:rPr>
        <w:t>三</w:t>
      </w:r>
      <w:r>
        <w:rPr>
          <w:color w:val="auto"/>
        </w:rPr>
        <w:t>、</w:t>
      </w:r>
      <w:r>
        <w:rPr>
          <w:rFonts w:hint="eastAsia"/>
          <w:color w:val="auto"/>
        </w:rPr>
        <w:t>建立健全扶贫</w:t>
      </w:r>
      <w:r>
        <w:rPr>
          <w:color w:val="auto"/>
        </w:rPr>
        <w:t>防贫</w:t>
      </w:r>
      <w:r>
        <w:rPr>
          <w:rFonts w:hint="eastAsia"/>
          <w:color w:val="auto"/>
        </w:rPr>
        <w:t>长效</w:t>
      </w:r>
      <w:r>
        <w:rPr>
          <w:color w:val="auto"/>
        </w:rPr>
        <w:t>机制</w:t>
      </w:r>
    </w:p>
    <w:p>
      <w:pPr>
        <w:ind w:firstLine="562"/>
        <w:rPr>
          <w:color w:val="auto"/>
        </w:rPr>
      </w:pPr>
      <w:r>
        <w:rPr>
          <w:rFonts w:hint="eastAsia"/>
          <w:b/>
          <w:color w:val="auto"/>
        </w:rPr>
        <w:t>巩固拓展消费扶贫</w:t>
      </w:r>
      <w:r>
        <w:rPr>
          <w:rFonts w:hint="eastAsia"/>
          <w:color w:val="auto"/>
        </w:rPr>
        <w:t>。挖掘消费在促农增收、防止返贫方面的独特功能，加快形成政府引导、市场主导、社会参与的消费帮扶模式。继续挖掘</w:t>
      </w:r>
      <w:r>
        <w:rPr>
          <w:color w:val="auto"/>
        </w:rPr>
        <w:t>强化区域协作，</w:t>
      </w:r>
      <w:r>
        <w:rPr>
          <w:rFonts w:hint="eastAsia"/>
          <w:color w:val="auto"/>
        </w:rPr>
        <w:t>通过“请进来”“走出去”，帮助贫困地区培训休闲农业和乡村旅游人才，鼓励组建相关协会、产业及区域品牌联盟等组织，形成经营主体自我管理、自我监督、自我服务；</w:t>
      </w:r>
      <w:r>
        <w:rPr>
          <w:color w:val="auto"/>
        </w:rPr>
        <w:t>持续</w:t>
      </w:r>
      <w:r>
        <w:rPr>
          <w:rFonts w:hint="eastAsia"/>
          <w:color w:val="auto"/>
        </w:rPr>
        <w:t>探索协同</w:t>
      </w:r>
      <w:r>
        <w:rPr>
          <w:color w:val="auto"/>
        </w:rPr>
        <w:t>共创</w:t>
      </w:r>
      <w:r>
        <w:rPr>
          <w:rFonts w:hint="eastAsia"/>
          <w:color w:val="auto"/>
        </w:rPr>
        <w:t>消费扶贫双创中心、展销中心、农民丰收</w:t>
      </w:r>
      <w:r>
        <w:rPr>
          <w:color w:val="auto"/>
        </w:rPr>
        <w:t>节、消费扶贫日等</w:t>
      </w:r>
      <w:r>
        <w:rPr>
          <w:rFonts w:hint="eastAsia"/>
          <w:color w:val="auto"/>
        </w:rPr>
        <w:t>消费扶贫模式，加快扶贫</w:t>
      </w:r>
      <w:r>
        <w:rPr>
          <w:color w:val="auto"/>
        </w:rPr>
        <w:t>产品</w:t>
      </w:r>
      <w:r>
        <w:rPr>
          <w:rFonts w:hint="eastAsia"/>
          <w:color w:val="auto"/>
        </w:rPr>
        <w:t>进机关、学校、医院、企业、商超、社区、</w:t>
      </w:r>
      <w:r>
        <w:rPr>
          <w:color w:val="auto"/>
        </w:rPr>
        <w:t>平台</w:t>
      </w:r>
      <w:r>
        <w:rPr>
          <w:rFonts w:hint="eastAsia"/>
          <w:color w:val="auto"/>
        </w:rPr>
        <w:t>，进一步打通农特产品产、运、包、销等全产业链条，实现线上线下同步展示展销，广泛动员社会力量通过消费参与扶贫。</w:t>
      </w:r>
    </w:p>
    <w:p>
      <w:pPr>
        <w:ind w:firstLine="562"/>
        <w:rPr>
          <w:color w:val="auto"/>
        </w:rPr>
      </w:pPr>
      <w:r>
        <w:rPr>
          <w:rFonts w:hint="eastAsia"/>
          <w:b/>
          <w:color w:val="auto"/>
        </w:rPr>
        <w:t>健全返贫风险机制</w:t>
      </w:r>
      <w:r>
        <w:rPr>
          <w:rFonts w:hint="eastAsia"/>
          <w:color w:val="auto"/>
        </w:rPr>
        <w:t>。健全落实防贫动态监测和帮扶长效机制，对因病、因残、因灾等刚性支出明显超过上年度收入和收入大幅缩减影响基本生活的家庭，按程序纳入监测范围，</w:t>
      </w:r>
      <w:r>
        <w:rPr>
          <w:color w:val="auto"/>
        </w:rPr>
        <w:t>定期检查</w:t>
      </w:r>
      <w:r>
        <w:rPr>
          <w:rFonts w:hint="eastAsia"/>
          <w:color w:val="auto"/>
        </w:rPr>
        <w:t>，</w:t>
      </w:r>
      <w:r>
        <w:rPr>
          <w:color w:val="auto"/>
        </w:rPr>
        <w:t>动态管理，</w:t>
      </w:r>
      <w:r>
        <w:rPr>
          <w:rFonts w:hint="eastAsia"/>
          <w:color w:val="auto"/>
        </w:rPr>
        <w:t>实施帮扶，重点关注大病重病患者、重度残疾人、留守儿童和困境儿童、困难老人等特殊群体。构建返贫风险预测预警机制，全面建设脱贫人口动态信息管理系统、脱贫人口常态化跟踪监测机制、返贫风险分级分类治理机制、返贫风险双向沟通机制；发挥“智慧+保险+帮扶”互联网信息平台预警功能</w:t>
      </w:r>
      <w:r>
        <w:rPr>
          <w:color w:val="auto"/>
        </w:rPr>
        <w:t>，建立健全快速发现和响应机制</w:t>
      </w:r>
      <w:r>
        <w:rPr>
          <w:rFonts w:hint="eastAsia"/>
          <w:color w:val="auto"/>
        </w:rPr>
        <w:t>；普及实施“阜平安康保”防贫保险业务，有效解决“因病致贫、因病返贫”问题。</w:t>
      </w:r>
    </w:p>
    <w:p>
      <w:pPr>
        <w:ind w:firstLine="562"/>
        <w:rPr>
          <w:color w:val="auto"/>
        </w:rPr>
      </w:pPr>
      <w:r>
        <w:rPr>
          <w:rFonts w:hint="eastAsia"/>
          <w:b/>
          <w:color w:val="auto"/>
        </w:rPr>
        <w:t>完善贫困治理体系</w:t>
      </w:r>
      <w:r>
        <w:rPr>
          <w:rFonts w:hint="eastAsia"/>
          <w:color w:val="auto"/>
        </w:rPr>
        <w:t>。坚持外部帮扶与群众主体相结合，培育发展的内生动力机制</w:t>
      </w:r>
      <w:r>
        <w:rPr>
          <w:color w:val="auto"/>
        </w:rPr>
        <w:t>。</w:t>
      </w:r>
      <w:r>
        <w:rPr>
          <w:rFonts w:hint="eastAsia"/>
          <w:color w:val="auto"/>
        </w:rPr>
        <w:t>通过产业就业发展、自主创业带动等路径，加强消费扶贫，强化旅游扶贫，不断拓宽群众增收渠道；探索</w:t>
      </w:r>
      <w:r>
        <w:rPr>
          <w:color w:val="auto"/>
        </w:rPr>
        <w:t>社会资本、社会组织</w:t>
      </w:r>
      <w:r>
        <w:rPr>
          <w:rFonts w:hint="eastAsia"/>
          <w:color w:val="auto"/>
        </w:rPr>
        <w:t>持续</w:t>
      </w:r>
      <w:r>
        <w:rPr>
          <w:color w:val="auto"/>
        </w:rPr>
        <w:t>参与解决相对贫困的共建共治共享</w:t>
      </w:r>
      <w:r>
        <w:rPr>
          <w:rFonts w:hint="eastAsia"/>
          <w:color w:val="auto"/>
        </w:rPr>
        <w:t>模式</w:t>
      </w:r>
      <w:r>
        <w:rPr>
          <w:color w:val="auto"/>
        </w:rPr>
        <w:t>，</w:t>
      </w:r>
      <w:r>
        <w:rPr>
          <w:rFonts w:hint="eastAsia"/>
          <w:color w:val="auto"/>
        </w:rPr>
        <w:t>建立健全多主体</w:t>
      </w:r>
      <w:r>
        <w:rPr>
          <w:color w:val="auto"/>
        </w:rPr>
        <w:t>、</w:t>
      </w:r>
      <w:r>
        <w:rPr>
          <w:rFonts w:hint="eastAsia"/>
          <w:color w:val="auto"/>
        </w:rPr>
        <w:t>多层次</w:t>
      </w:r>
      <w:r>
        <w:rPr>
          <w:color w:val="auto"/>
        </w:rPr>
        <w:t>、多体系</w:t>
      </w:r>
      <w:r>
        <w:rPr>
          <w:rFonts w:hint="eastAsia"/>
          <w:color w:val="auto"/>
        </w:rPr>
        <w:t>的</w:t>
      </w:r>
      <w:r>
        <w:rPr>
          <w:color w:val="auto"/>
        </w:rPr>
        <w:t>长效机制</w:t>
      </w:r>
      <w:r>
        <w:rPr>
          <w:rFonts w:hint="eastAsia"/>
          <w:color w:val="auto"/>
        </w:rPr>
        <w:t>。提升群众自我发展能力，强化勤劳致富导向，通过舆论宣传引导，弘扬自尊、自爱、自强精神</w:t>
      </w:r>
      <w:r>
        <w:rPr>
          <w:color w:val="auto"/>
        </w:rPr>
        <w:t>，</w:t>
      </w:r>
      <w:r>
        <w:rPr>
          <w:rFonts w:hint="eastAsia"/>
          <w:color w:val="auto"/>
        </w:rPr>
        <w:t>树立“自主脱贫光荣”的鲜明导向，发挥</w:t>
      </w:r>
      <w:r>
        <w:rPr>
          <w:color w:val="auto"/>
        </w:rPr>
        <w:t>奋进</w:t>
      </w:r>
      <w:r>
        <w:rPr>
          <w:rFonts w:hint="eastAsia"/>
          <w:color w:val="auto"/>
        </w:rPr>
        <w:t>致富</w:t>
      </w:r>
      <w:r>
        <w:rPr>
          <w:color w:val="auto"/>
        </w:rPr>
        <w:t>典型示范引领作用，</w:t>
      </w:r>
      <w:r>
        <w:rPr>
          <w:rFonts w:hint="eastAsia"/>
          <w:color w:val="auto"/>
        </w:rPr>
        <w:t>补齐</w:t>
      </w:r>
      <w:r>
        <w:rPr>
          <w:color w:val="auto"/>
        </w:rPr>
        <w:t>精神意识脱贫短板</w:t>
      </w:r>
      <w:r>
        <w:rPr>
          <w:rFonts w:hint="eastAsia"/>
          <w:color w:val="auto"/>
        </w:rPr>
        <w:t>，激励和引导脱贫群众靠自己努力过上更好生活。</w:t>
      </w:r>
    </w:p>
    <w:p>
      <w:pPr>
        <w:pStyle w:val="3"/>
        <w:spacing w:before="204"/>
        <w:ind w:firstLine="560" w:firstLineChars="200"/>
        <w:rPr>
          <w:color w:val="auto"/>
          <w:szCs w:val="30"/>
        </w:rPr>
      </w:pPr>
      <w:bookmarkStart w:id="22" w:name="_Toc62244275"/>
      <w:r>
        <w:rPr>
          <w:rFonts w:hint="eastAsia"/>
          <w:color w:val="auto"/>
          <w:szCs w:val="30"/>
        </w:rPr>
        <w:t>第二节  构建完善乡村</w:t>
      </w:r>
      <w:r>
        <w:rPr>
          <w:color w:val="auto"/>
          <w:szCs w:val="30"/>
        </w:rPr>
        <w:t>产业新</w:t>
      </w:r>
      <w:r>
        <w:rPr>
          <w:rFonts w:hint="eastAsia"/>
          <w:color w:val="auto"/>
          <w:szCs w:val="30"/>
        </w:rPr>
        <w:t>体系</w:t>
      </w:r>
      <w:bookmarkEnd w:id="22"/>
    </w:p>
    <w:p>
      <w:pPr>
        <w:ind w:firstLine="560"/>
        <w:rPr>
          <w:color w:val="auto"/>
        </w:rPr>
      </w:pPr>
      <w:r>
        <w:rPr>
          <w:rFonts w:hint="eastAsia"/>
          <w:color w:val="auto"/>
        </w:rPr>
        <w:t>以一二三产业融合发展为路径，加快农业与现代产业要素跨界配置，培育发展新动能。到2025年，全县乡村产业质量效益明显提升，农民增收渠道持续拓宽，产业发展内生动力持续增强。</w:t>
      </w:r>
    </w:p>
    <w:p>
      <w:pPr>
        <w:pStyle w:val="4"/>
        <w:numPr>
          <w:ilvl w:val="0"/>
          <w:numId w:val="0"/>
        </w:numPr>
        <w:ind w:left="643"/>
        <w:rPr>
          <w:color w:val="auto"/>
        </w:rPr>
      </w:pPr>
      <w:r>
        <w:rPr>
          <w:rFonts w:hint="eastAsia"/>
          <w:color w:val="auto"/>
        </w:rPr>
        <w:t>一</w:t>
      </w:r>
      <w:r>
        <w:rPr>
          <w:color w:val="auto"/>
        </w:rPr>
        <w:t>、</w:t>
      </w:r>
      <w:r>
        <w:rPr>
          <w:rFonts w:hint="eastAsia"/>
          <w:color w:val="auto"/>
        </w:rPr>
        <w:t>做大</w:t>
      </w:r>
      <w:r>
        <w:rPr>
          <w:color w:val="auto"/>
        </w:rPr>
        <w:t>做强</w:t>
      </w:r>
      <w:r>
        <w:rPr>
          <w:rFonts w:hint="eastAsia"/>
          <w:color w:val="auto"/>
        </w:rPr>
        <w:t>富民特色</w:t>
      </w:r>
      <w:r>
        <w:rPr>
          <w:color w:val="auto"/>
        </w:rPr>
        <w:t>产业</w:t>
      </w:r>
    </w:p>
    <w:p>
      <w:pPr>
        <w:ind w:firstLine="560"/>
        <w:rPr>
          <w:color w:val="auto"/>
        </w:rPr>
      </w:pPr>
      <w:r>
        <w:rPr>
          <w:rFonts w:hint="eastAsia"/>
          <w:color w:val="auto"/>
        </w:rPr>
        <w:t>聚集资源要素，推动富民产业由快速覆盖向长期稳定发展转变，增强产业持续益贫能力。重点做好产业扶持政策的适时调整，继续强化扶贫主导产业的竞争力，提升扶贫产业领军企业的内生动力和发展活力，确保扶贫主导产业顺利成为乡村振兴中的兴旺产业。实施</w:t>
      </w:r>
      <w:r>
        <w:rPr>
          <w:color w:val="auto"/>
        </w:rPr>
        <w:t>特色</w:t>
      </w:r>
      <w:r>
        <w:rPr>
          <w:rFonts w:hint="eastAsia"/>
          <w:color w:val="auto"/>
        </w:rPr>
        <w:t>种养业</w:t>
      </w:r>
      <w:r>
        <w:rPr>
          <w:color w:val="auto"/>
        </w:rPr>
        <w:t>提升行动，</w:t>
      </w:r>
      <w:r>
        <w:rPr>
          <w:rFonts w:hint="eastAsia"/>
          <w:color w:val="auto"/>
        </w:rPr>
        <w:t>继续做精做优“长短结合、多点支撑、绿色循环”的特色扶贫产业，打造</w:t>
      </w:r>
      <w:r>
        <w:rPr>
          <w:color w:val="auto"/>
        </w:rPr>
        <w:t>区域性特色品牌，加快产业</w:t>
      </w:r>
      <w:r>
        <w:rPr>
          <w:rFonts w:hint="eastAsia"/>
          <w:color w:val="auto"/>
        </w:rPr>
        <w:t>提档升级。因地制宜加强旅游休闲、绿色能源等扶贫产业，拓宽消费扶贫、</w:t>
      </w:r>
      <w:r>
        <w:rPr>
          <w:color w:val="auto"/>
        </w:rPr>
        <w:t>扶贫车间</w:t>
      </w:r>
      <w:r>
        <w:rPr>
          <w:rFonts w:hint="eastAsia"/>
          <w:color w:val="auto"/>
        </w:rPr>
        <w:t>、农村电商、家庭手工等发展模式，高质量巩固提升脱贫成果。继续引导龙头企业与贫困地区深入合作创建绿色优质农产品原料基地，布局加工产能，深度开发特色资源，带动全县农民共建链条、共享品牌。</w:t>
      </w:r>
    </w:p>
    <w:p>
      <w:pPr>
        <w:pStyle w:val="4"/>
        <w:numPr>
          <w:ilvl w:val="0"/>
          <w:numId w:val="0"/>
        </w:numPr>
        <w:ind w:left="643"/>
        <w:rPr>
          <w:color w:val="auto"/>
        </w:rPr>
      </w:pPr>
      <w:r>
        <w:rPr>
          <w:rFonts w:hint="eastAsia"/>
          <w:color w:val="auto"/>
        </w:rPr>
        <w:t>二</w:t>
      </w:r>
      <w:r>
        <w:rPr>
          <w:color w:val="auto"/>
        </w:rPr>
        <w:t>、</w:t>
      </w:r>
      <w:r>
        <w:rPr>
          <w:rFonts w:hint="eastAsia"/>
          <w:color w:val="auto"/>
        </w:rPr>
        <w:t>打造完善乡村</w:t>
      </w:r>
      <w:r>
        <w:rPr>
          <w:color w:val="auto"/>
        </w:rPr>
        <w:t>产业体系</w:t>
      </w:r>
    </w:p>
    <w:p>
      <w:pPr>
        <w:ind w:firstLine="562"/>
        <w:rPr>
          <w:color w:val="auto"/>
        </w:rPr>
      </w:pPr>
      <w:r>
        <w:rPr>
          <w:rFonts w:hint="eastAsia"/>
          <w:b/>
          <w:color w:val="auto"/>
        </w:rPr>
        <w:t>以</w:t>
      </w:r>
      <w:r>
        <w:rPr>
          <w:b/>
          <w:color w:val="auto"/>
        </w:rPr>
        <w:t>加工流通延伸产业</w:t>
      </w:r>
      <w:r>
        <w:rPr>
          <w:rFonts w:hint="eastAsia"/>
          <w:b/>
          <w:color w:val="auto"/>
        </w:rPr>
        <w:t>链条</w:t>
      </w:r>
      <w:r>
        <w:rPr>
          <w:rFonts w:hint="eastAsia"/>
          <w:color w:val="auto"/>
        </w:rPr>
        <w:t>。以提高种植养殖效益为核心，强力发展以特色种植为主导的林果业，加快发展畜牧水产业，稳定发展山区种植业，打造京津冀地区重要的绿色农副产品生产供应基地；引导家庭工场、手工作坊、乡村车间用标准化技术改造提升产品品质</w:t>
      </w:r>
      <w:r>
        <w:rPr>
          <w:color w:val="auto"/>
        </w:rPr>
        <w:t>，</w:t>
      </w:r>
      <w:r>
        <w:rPr>
          <w:rFonts w:hint="eastAsia"/>
          <w:color w:val="auto"/>
        </w:rPr>
        <w:t>鼓励龙头企业做强产品加工，以资源集聚和物流节点为重点，构建紧密关联、高度依存的全产业链，培育打造乡村产业发展“高地”。到2025年，打造一批乡村产业融合创新发展的示范乡镇。</w:t>
      </w:r>
    </w:p>
    <w:p>
      <w:pPr>
        <w:ind w:firstLine="562"/>
        <w:rPr>
          <w:color w:val="auto"/>
        </w:rPr>
      </w:pPr>
      <w:r>
        <w:rPr>
          <w:rFonts w:hint="eastAsia"/>
          <w:b/>
          <w:color w:val="auto"/>
        </w:rPr>
        <w:t>以</w:t>
      </w:r>
      <w:r>
        <w:rPr>
          <w:b/>
          <w:color w:val="auto"/>
        </w:rPr>
        <w:t>乡村旅游</w:t>
      </w:r>
      <w:r>
        <w:rPr>
          <w:rFonts w:hint="eastAsia"/>
          <w:b/>
          <w:color w:val="auto"/>
        </w:rPr>
        <w:t>拓展</w:t>
      </w:r>
      <w:r>
        <w:rPr>
          <w:b/>
          <w:color w:val="auto"/>
        </w:rPr>
        <w:t>农业功能</w:t>
      </w:r>
      <w:r>
        <w:rPr>
          <w:color w:val="auto"/>
        </w:rPr>
        <w:t>。</w:t>
      </w:r>
      <w:r>
        <w:rPr>
          <w:rFonts w:hint="eastAsia"/>
          <w:color w:val="auto"/>
        </w:rPr>
        <w:t>依据旅游产业布局开发旅游产品，打造特色农业景观，将文化、人文故事等无形产品种在田间地头，挖掘农产品品牌的历史文化内涵，支持地方特产、传统美食产业化发展，打造阜平特色农产品百年品牌。打造形成链式旅游发展三大体系，一是打造白河小天井沟、苍山石佛堂、海岩水库、大道农业生态示范园及公路沿线生态旅游发展线路，二是以柳树底村为中心辐射，带动照旺台、土岭等周边村的城镇休闲健身“后花园”，三是以“乡村振兴”为纽带，形成以易地扶贫搬迁为特色的乡村振兴示范区。</w:t>
      </w:r>
      <w:r>
        <w:rPr>
          <w:color w:val="auto"/>
        </w:rPr>
        <w:t>到</w:t>
      </w:r>
      <w:r>
        <w:rPr>
          <w:rFonts w:hint="eastAsia"/>
          <w:color w:val="auto"/>
        </w:rPr>
        <w:t>2025年</w:t>
      </w:r>
      <w:r>
        <w:rPr>
          <w:color w:val="auto"/>
        </w:rPr>
        <w:t>，</w:t>
      </w:r>
      <w:r>
        <w:rPr>
          <w:rFonts w:hint="eastAsia"/>
          <w:color w:val="auto"/>
        </w:rPr>
        <w:t>建设成为太行山地区景观特色鲜明、生态环境优美、文化内涵丰富、旅游功能完善的乡村</w:t>
      </w:r>
      <w:r>
        <w:rPr>
          <w:color w:val="auto"/>
        </w:rPr>
        <w:t>旅游特色县和</w:t>
      </w:r>
      <w:r>
        <w:rPr>
          <w:rFonts w:hint="eastAsia"/>
          <w:color w:val="auto"/>
        </w:rPr>
        <w:t>示范</w:t>
      </w:r>
      <w:r>
        <w:rPr>
          <w:color w:val="auto"/>
        </w:rPr>
        <w:t>县</w:t>
      </w:r>
      <w:r>
        <w:rPr>
          <w:rFonts w:hint="eastAsia"/>
          <w:color w:val="auto"/>
        </w:rPr>
        <w:t>。</w:t>
      </w:r>
    </w:p>
    <w:p>
      <w:pPr>
        <w:pStyle w:val="3"/>
        <w:spacing w:before="204"/>
        <w:ind w:firstLine="560" w:firstLineChars="200"/>
        <w:rPr>
          <w:color w:val="auto"/>
          <w:szCs w:val="30"/>
        </w:rPr>
      </w:pPr>
      <w:bookmarkStart w:id="23" w:name="_Toc62244276"/>
      <w:r>
        <w:rPr>
          <w:color w:val="auto"/>
          <w:szCs w:val="30"/>
        </w:rPr>
        <w:t>第</w:t>
      </w:r>
      <w:r>
        <w:rPr>
          <w:rFonts w:hint="eastAsia"/>
          <w:color w:val="auto"/>
          <w:szCs w:val="30"/>
        </w:rPr>
        <w:t>三</w:t>
      </w:r>
      <w:r>
        <w:rPr>
          <w:color w:val="auto"/>
          <w:szCs w:val="30"/>
        </w:rPr>
        <w:t>节</w:t>
      </w:r>
      <w:r>
        <w:rPr>
          <w:rFonts w:hint="eastAsia"/>
          <w:color w:val="auto"/>
          <w:szCs w:val="30"/>
        </w:rPr>
        <w:t xml:space="preserve">  全面激发乡村</w:t>
      </w:r>
      <w:r>
        <w:rPr>
          <w:color w:val="auto"/>
          <w:szCs w:val="30"/>
        </w:rPr>
        <w:t>发展</w:t>
      </w:r>
      <w:r>
        <w:rPr>
          <w:rFonts w:hint="eastAsia"/>
          <w:color w:val="auto"/>
          <w:szCs w:val="30"/>
        </w:rPr>
        <w:t>新</w:t>
      </w:r>
      <w:r>
        <w:rPr>
          <w:color w:val="auto"/>
          <w:szCs w:val="30"/>
        </w:rPr>
        <w:t>活力</w:t>
      </w:r>
      <w:bookmarkEnd w:id="23"/>
    </w:p>
    <w:p>
      <w:pPr>
        <w:pStyle w:val="4"/>
        <w:numPr>
          <w:ilvl w:val="0"/>
          <w:numId w:val="0"/>
        </w:numPr>
        <w:ind w:left="643"/>
        <w:rPr>
          <w:color w:val="auto"/>
        </w:rPr>
      </w:pPr>
      <w:r>
        <w:rPr>
          <w:rFonts w:hint="eastAsia"/>
          <w:color w:val="auto"/>
        </w:rPr>
        <w:t>一</w:t>
      </w:r>
      <w:r>
        <w:rPr>
          <w:color w:val="auto"/>
        </w:rPr>
        <w:t>、</w:t>
      </w:r>
      <w:r>
        <w:rPr>
          <w:rFonts w:hint="eastAsia"/>
          <w:color w:val="auto"/>
        </w:rPr>
        <w:t>发展</w:t>
      </w:r>
      <w:r>
        <w:rPr>
          <w:color w:val="auto"/>
        </w:rPr>
        <w:t>壮大</w:t>
      </w:r>
      <w:r>
        <w:rPr>
          <w:rFonts w:hint="eastAsia"/>
          <w:color w:val="auto"/>
        </w:rPr>
        <w:t>农村</w:t>
      </w:r>
      <w:r>
        <w:rPr>
          <w:color w:val="auto"/>
        </w:rPr>
        <w:t>集体经济</w:t>
      </w:r>
    </w:p>
    <w:p>
      <w:pPr>
        <w:ind w:firstLine="560"/>
        <w:rPr>
          <w:color w:val="auto"/>
        </w:rPr>
      </w:pPr>
      <w:r>
        <w:rPr>
          <w:rFonts w:hint="eastAsia"/>
          <w:color w:val="auto"/>
        </w:rPr>
        <w:t>增强“输血”功能，加大资金</w:t>
      </w:r>
      <w:r>
        <w:rPr>
          <w:color w:val="auto"/>
        </w:rPr>
        <w:t>和</w:t>
      </w:r>
      <w:r>
        <w:rPr>
          <w:rFonts w:hint="eastAsia"/>
          <w:color w:val="auto"/>
        </w:rPr>
        <w:t>政策扶持力度，有效整合村集体、村民入股等资金，相关部门加强结对帮扶，指导扶持村集体</w:t>
      </w:r>
      <w:r>
        <w:rPr>
          <w:color w:val="auto"/>
        </w:rPr>
        <w:t>进一步</w:t>
      </w:r>
      <w:r>
        <w:rPr>
          <w:rFonts w:hint="eastAsia"/>
          <w:color w:val="auto"/>
        </w:rPr>
        <w:t>盘活资产、兴办农业基地和农产品加工项目；统筹整合资金资源，引导支农、扶贫等产业项目适度倾斜，研究整合农村集体经济组织税费减免优惠政策，落实财税减免优惠、土地优先安排等各项政策。提升“造血”能力，</w:t>
      </w:r>
      <w:r>
        <w:rPr>
          <w:color w:val="auto"/>
        </w:rPr>
        <w:t>推动村集体经济向实体经济方向发展</w:t>
      </w:r>
      <w:r>
        <w:rPr>
          <w:rFonts w:hint="eastAsia"/>
          <w:color w:val="auto"/>
        </w:rPr>
        <w:t>，引导村民小组积极探索发展新路子，</w:t>
      </w:r>
      <w:r>
        <w:rPr>
          <w:color w:val="auto"/>
        </w:rPr>
        <w:t>探索创新</w:t>
      </w:r>
      <w:r>
        <w:rPr>
          <w:rFonts w:hint="eastAsia"/>
          <w:color w:val="auto"/>
        </w:rPr>
        <w:t>资产盘活型</w:t>
      </w:r>
      <w:r>
        <w:rPr>
          <w:color w:val="auto"/>
        </w:rPr>
        <w:t>、股份合作型、项目带动型</w:t>
      </w:r>
      <w:r>
        <w:rPr>
          <w:rFonts w:hint="eastAsia"/>
          <w:color w:val="auto"/>
        </w:rPr>
        <w:t>、</w:t>
      </w:r>
      <w:r>
        <w:rPr>
          <w:color w:val="auto"/>
        </w:rPr>
        <w:t>生产服务型等发展模式</w:t>
      </w:r>
      <w:r>
        <w:rPr>
          <w:rFonts w:hint="eastAsia"/>
          <w:color w:val="auto"/>
        </w:rPr>
        <w:t>；成立集体经济发展领导小组，建立联席会议制度，制定发展行动计划，加强基层干部培养锻炼，建设一支懂经济、善经营、会管理、能力强的村级干部队伍。</w:t>
      </w:r>
    </w:p>
    <w:p>
      <w:pPr>
        <w:pStyle w:val="4"/>
        <w:numPr>
          <w:ilvl w:val="0"/>
          <w:numId w:val="0"/>
        </w:numPr>
        <w:ind w:left="643"/>
        <w:rPr>
          <w:color w:val="auto"/>
        </w:rPr>
      </w:pPr>
      <w:r>
        <w:rPr>
          <w:rFonts w:hint="eastAsia"/>
          <w:color w:val="auto"/>
        </w:rPr>
        <w:t>二</w:t>
      </w:r>
      <w:r>
        <w:rPr>
          <w:color w:val="auto"/>
        </w:rPr>
        <w:t>、</w:t>
      </w:r>
      <w:r>
        <w:rPr>
          <w:rFonts w:hint="eastAsia"/>
          <w:color w:val="auto"/>
        </w:rPr>
        <w:t>深化农村土地</w:t>
      </w:r>
      <w:r>
        <w:rPr>
          <w:color w:val="auto"/>
        </w:rPr>
        <w:t>制度改革</w:t>
      </w:r>
    </w:p>
    <w:p>
      <w:pPr>
        <w:ind w:firstLine="560"/>
        <w:rPr>
          <w:color w:val="auto"/>
        </w:rPr>
      </w:pPr>
      <w:r>
        <w:rPr>
          <w:rFonts w:hint="eastAsia"/>
          <w:color w:val="auto"/>
        </w:rPr>
        <w:t>继续深化农村集体产权制度改革，进一步做好“回头看”工作，加强</w:t>
      </w:r>
      <w:r>
        <w:rPr>
          <w:color w:val="auto"/>
        </w:rPr>
        <w:t>动态管理，</w:t>
      </w:r>
      <w:r>
        <w:rPr>
          <w:rFonts w:hint="eastAsia"/>
          <w:color w:val="auto"/>
        </w:rPr>
        <w:t>解决遗留问题；深入推进经营性资产股份合作制改革、完善农民集体资产股份权能、发挥农村集体经济组织功能作用等方面加大</w:t>
      </w:r>
      <w:r>
        <w:rPr>
          <w:color w:val="auto"/>
        </w:rPr>
        <w:t>探索</w:t>
      </w:r>
      <w:r>
        <w:rPr>
          <w:rFonts w:hint="eastAsia"/>
          <w:color w:val="auto"/>
        </w:rPr>
        <w:t>。引导农村产权规范流转和交易，开展农村承包土地经营权、集体林权、“四荒”地使用权、农业类知识产权、农村集体经营性资产出租等流转交易；拓展深化农村集体经营性建设用地直接入市，明确土地整理获取的建设用地折抵指标部分留于村集体，用于发展集体经济</w:t>
      </w:r>
      <w:r>
        <w:rPr>
          <w:color w:val="auto"/>
        </w:rPr>
        <w:t>；加大</w:t>
      </w:r>
      <w:r>
        <w:rPr>
          <w:rFonts w:hint="eastAsia"/>
          <w:color w:val="auto"/>
        </w:rPr>
        <w:t>“点状供地”供应</w:t>
      </w:r>
      <w:r>
        <w:rPr>
          <w:color w:val="auto"/>
        </w:rPr>
        <w:t>指标，吸引社会资本进入乡村</w:t>
      </w:r>
      <w:r>
        <w:rPr>
          <w:rFonts w:hint="eastAsia"/>
          <w:color w:val="auto"/>
        </w:rPr>
        <w:t>开展适度</w:t>
      </w:r>
      <w:r>
        <w:rPr>
          <w:color w:val="auto"/>
        </w:rPr>
        <w:t>规模经营</w:t>
      </w:r>
      <w:r>
        <w:rPr>
          <w:rFonts w:hint="eastAsia"/>
          <w:color w:val="auto"/>
        </w:rPr>
        <w:t>。探索推进农村宅基地制度改革，在</w:t>
      </w:r>
      <w:r>
        <w:rPr>
          <w:color w:val="auto"/>
        </w:rPr>
        <w:t>总量</w:t>
      </w:r>
      <w:r>
        <w:rPr>
          <w:rFonts w:hint="eastAsia"/>
          <w:color w:val="auto"/>
        </w:rPr>
        <w:t>控制</w:t>
      </w:r>
      <w:r>
        <w:rPr>
          <w:color w:val="auto"/>
        </w:rPr>
        <w:t>和规划管制基础上，</w:t>
      </w:r>
      <w:r>
        <w:rPr>
          <w:rFonts w:hint="eastAsia"/>
          <w:color w:val="auto"/>
        </w:rPr>
        <w:t>完善农民闲置宅基地和闲置农房政策，探索</w:t>
      </w:r>
      <w:r>
        <w:rPr>
          <w:color w:val="auto"/>
        </w:rPr>
        <w:t>盘活利用模式</w:t>
      </w:r>
      <w:r>
        <w:rPr>
          <w:rFonts w:hint="eastAsia"/>
          <w:color w:val="auto"/>
        </w:rPr>
        <w:t>；因地制宜引导农民宅基地自愿有偿退出，引导</w:t>
      </w:r>
      <w:r>
        <w:rPr>
          <w:color w:val="auto"/>
        </w:rPr>
        <w:t>宅基地</w:t>
      </w:r>
      <w:r>
        <w:rPr>
          <w:rFonts w:hint="eastAsia"/>
          <w:color w:val="auto"/>
        </w:rPr>
        <w:t>使用权</w:t>
      </w:r>
      <w:r>
        <w:rPr>
          <w:color w:val="auto"/>
        </w:rPr>
        <w:t>跨村</w:t>
      </w:r>
      <w:r>
        <w:rPr>
          <w:rFonts w:hint="eastAsia"/>
          <w:color w:val="auto"/>
        </w:rPr>
        <w:t>镇</w:t>
      </w:r>
      <w:r>
        <w:rPr>
          <w:color w:val="auto"/>
        </w:rPr>
        <w:t>、跨县域</w:t>
      </w:r>
      <w:r>
        <w:rPr>
          <w:rFonts w:hint="eastAsia"/>
          <w:color w:val="auto"/>
        </w:rPr>
        <w:t>乃至</w:t>
      </w:r>
      <w:r>
        <w:rPr>
          <w:color w:val="auto"/>
        </w:rPr>
        <w:t>跨区域的有条件流转</w:t>
      </w:r>
      <w:r>
        <w:rPr>
          <w:rFonts w:hint="eastAsia"/>
          <w:color w:val="auto"/>
        </w:rPr>
        <w:t>交易；探索全县易地搬迁村腾退宅基地、闲置</w:t>
      </w:r>
      <w:r>
        <w:rPr>
          <w:color w:val="auto"/>
        </w:rPr>
        <w:t>宅基地</w:t>
      </w:r>
      <w:r>
        <w:rPr>
          <w:rFonts w:hint="eastAsia"/>
          <w:color w:val="auto"/>
        </w:rPr>
        <w:t>采取“集地券”“共建共享”等</w:t>
      </w:r>
      <w:r>
        <w:rPr>
          <w:color w:val="auto"/>
        </w:rPr>
        <w:t>模式</w:t>
      </w:r>
      <w:r>
        <w:rPr>
          <w:rFonts w:hint="eastAsia"/>
          <w:color w:val="auto"/>
        </w:rPr>
        <w:t>实现</w:t>
      </w:r>
      <w:r>
        <w:rPr>
          <w:color w:val="auto"/>
        </w:rPr>
        <w:t>有条件流转入市，</w:t>
      </w:r>
      <w:r>
        <w:rPr>
          <w:rFonts w:hint="eastAsia"/>
          <w:color w:val="auto"/>
        </w:rPr>
        <w:t>打通宅基地退出与集体经营性建设用地入市的连接渠道，优先</w:t>
      </w:r>
      <w:r>
        <w:rPr>
          <w:color w:val="auto"/>
        </w:rPr>
        <w:t>用于</w:t>
      </w:r>
      <w:r>
        <w:rPr>
          <w:rFonts w:hint="eastAsia"/>
          <w:color w:val="auto"/>
        </w:rPr>
        <w:t>改善</w:t>
      </w:r>
      <w:r>
        <w:rPr>
          <w:color w:val="auto"/>
        </w:rPr>
        <w:t>乡村住房、优化乡村面貌、发展乡村</w:t>
      </w:r>
      <w:r>
        <w:rPr>
          <w:rFonts w:hint="eastAsia"/>
          <w:color w:val="auto"/>
        </w:rPr>
        <w:t>产业。</w:t>
      </w:r>
    </w:p>
    <w:p>
      <w:pPr>
        <w:pStyle w:val="4"/>
        <w:numPr>
          <w:ilvl w:val="0"/>
          <w:numId w:val="0"/>
        </w:numPr>
        <w:ind w:left="643"/>
        <w:rPr>
          <w:color w:val="auto"/>
        </w:rPr>
      </w:pPr>
      <w:r>
        <w:rPr>
          <w:rFonts w:hint="eastAsia"/>
          <w:color w:val="auto"/>
        </w:rPr>
        <w:t>三</w:t>
      </w:r>
      <w:r>
        <w:rPr>
          <w:color w:val="auto"/>
        </w:rPr>
        <w:t>、</w:t>
      </w:r>
      <w:r>
        <w:rPr>
          <w:rFonts w:hint="eastAsia"/>
          <w:color w:val="auto"/>
        </w:rPr>
        <w:t>激发农村创新创业动力</w:t>
      </w:r>
    </w:p>
    <w:p>
      <w:pPr>
        <w:ind w:firstLine="562"/>
        <w:rPr>
          <w:color w:val="auto"/>
        </w:rPr>
      </w:pPr>
      <w:r>
        <w:rPr>
          <w:rFonts w:hint="eastAsia"/>
          <w:b/>
          <w:color w:val="auto"/>
        </w:rPr>
        <w:t>培育创新创业主体</w:t>
      </w:r>
      <w:r>
        <w:rPr>
          <w:rFonts w:hint="eastAsia"/>
          <w:color w:val="auto"/>
        </w:rPr>
        <w:t>。继续实施农村创新</w:t>
      </w:r>
      <w:r>
        <w:rPr>
          <w:color w:val="auto"/>
        </w:rPr>
        <w:t>创业</w:t>
      </w:r>
      <w:r>
        <w:rPr>
          <w:rFonts w:hint="eastAsia"/>
          <w:color w:val="auto"/>
        </w:rPr>
        <w:t>带头人培育行动，加大扶持，培育一批扎根乡村、服务农业、带动农民的创新创业群体。优化</w:t>
      </w:r>
      <w:r>
        <w:rPr>
          <w:color w:val="auto"/>
        </w:rPr>
        <w:t>乡村营商环境，强化政策扶持，</w:t>
      </w:r>
      <w:r>
        <w:rPr>
          <w:rFonts w:hint="eastAsia"/>
          <w:color w:val="auto"/>
        </w:rPr>
        <w:t>完善要素聚乡、产业下乡、人才返乡和能人留乡平台，吸引扶持农民工、大学生和退役军人返乡创业，引进一批科技人员和工商业主等入乡创业，发掘一批乡贤</w:t>
      </w:r>
      <w:r>
        <w:rPr>
          <w:color w:val="auto"/>
        </w:rPr>
        <w:t>乡秀</w:t>
      </w:r>
      <w:r>
        <w:rPr>
          <w:rFonts w:hint="eastAsia"/>
          <w:color w:val="auto"/>
        </w:rPr>
        <w:t>和“能工巧匠”自主创业，培育壮大乡村产业“生力军”。到202</w:t>
      </w:r>
      <w:r>
        <w:rPr>
          <w:color w:val="auto"/>
        </w:rPr>
        <w:t>5</w:t>
      </w:r>
      <w:r>
        <w:rPr>
          <w:rFonts w:hint="eastAsia"/>
          <w:color w:val="auto"/>
        </w:rPr>
        <w:t>年，引入</w:t>
      </w:r>
      <w:r>
        <w:rPr>
          <w:color w:val="auto"/>
        </w:rPr>
        <w:t>或</w:t>
      </w:r>
      <w:r>
        <w:rPr>
          <w:rFonts w:hint="eastAsia"/>
          <w:color w:val="auto"/>
        </w:rPr>
        <w:t>培育一批国家农村创新创业导师。</w:t>
      </w:r>
    </w:p>
    <w:p>
      <w:pPr>
        <w:ind w:firstLine="562"/>
        <w:rPr>
          <w:color w:val="auto"/>
        </w:rPr>
      </w:pPr>
      <w:r>
        <w:rPr>
          <w:rFonts w:hint="eastAsia"/>
          <w:b/>
          <w:color w:val="auto"/>
        </w:rPr>
        <w:t>拓宽创新创业领域</w:t>
      </w:r>
      <w:r>
        <w:rPr>
          <w:rFonts w:hint="eastAsia"/>
          <w:color w:val="auto"/>
        </w:rPr>
        <w:t>。制定</w:t>
      </w:r>
      <w:r>
        <w:rPr>
          <w:color w:val="auto"/>
        </w:rPr>
        <w:t>指南</w:t>
      </w:r>
      <w:r>
        <w:rPr>
          <w:rFonts w:hint="eastAsia"/>
          <w:color w:val="auto"/>
        </w:rPr>
        <w:t>目录</w:t>
      </w:r>
      <w:r>
        <w:rPr>
          <w:color w:val="auto"/>
        </w:rPr>
        <w:t>，</w:t>
      </w:r>
      <w:r>
        <w:rPr>
          <w:rFonts w:hint="eastAsia"/>
          <w:color w:val="auto"/>
        </w:rPr>
        <w:t>引导支持发展新产业，培育“互联网+创新创业”“生鲜电商+冷链宅配”“中央厨房+食材冷链配送”等新业态，探索平台经济、共享经济等新模式，开展农村创新创业项目创意大赛，</w:t>
      </w:r>
      <w:r>
        <w:rPr>
          <w:color w:val="auto"/>
        </w:rPr>
        <w:t>加大</w:t>
      </w:r>
      <w:r>
        <w:rPr>
          <w:rFonts w:hint="eastAsia"/>
          <w:color w:val="auto"/>
        </w:rPr>
        <w:t>创新创业典型乡镇、优秀带头人的案例推介</w:t>
      </w:r>
      <w:r>
        <w:rPr>
          <w:color w:val="auto"/>
        </w:rPr>
        <w:t>与激励</w:t>
      </w:r>
      <w:r>
        <w:rPr>
          <w:rFonts w:hint="eastAsia"/>
          <w:color w:val="auto"/>
        </w:rPr>
        <w:t>。搭建创新创业平台，鼓励园区、企业、服务机构、科研单位和</w:t>
      </w:r>
      <w:r>
        <w:rPr>
          <w:color w:val="auto"/>
        </w:rPr>
        <w:t>院校等平台主体，</w:t>
      </w:r>
      <w:r>
        <w:rPr>
          <w:rFonts w:hint="eastAsia"/>
          <w:color w:val="auto"/>
        </w:rPr>
        <w:t>协作发展众创、众筹、众包、众扶模式，做好</w:t>
      </w:r>
      <w:r>
        <w:rPr>
          <w:color w:val="auto"/>
        </w:rPr>
        <w:t>做强</w:t>
      </w:r>
      <w:r>
        <w:rPr>
          <w:rFonts w:hint="eastAsia"/>
          <w:color w:val="auto"/>
        </w:rPr>
        <w:t>农村创新创业园区和孵化实训基地，</w:t>
      </w:r>
      <w:r>
        <w:rPr>
          <w:color w:val="auto"/>
        </w:rPr>
        <w:t>健全指导服务机制，</w:t>
      </w:r>
      <w:r>
        <w:rPr>
          <w:rFonts w:hint="eastAsia"/>
          <w:color w:val="auto"/>
        </w:rPr>
        <w:t>构建全程覆盖的新型农业社会化服务体系，</w:t>
      </w:r>
      <w:r>
        <w:rPr>
          <w:color w:val="auto"/>
        </w:rPr>
        <w:t>积极创建</w:t>
      </w:r>
      <w:r>
        <w:rPr>
          <w:rFonts w:hint="eastAsia"/>
          <w:color w:val="auto"/>
        </w:rPr>
        <w:t>全国农村创新创业典型县。</w:t>
      </w:r>
    </w:p>
    <w:p>
      <w:pPr>
        <w:ind w:firstLine="562"/>
        <w:rPr>
          <w:color w:val="auto"/>
        </w:rPr>
      </w:pPr>
      <w:r>
        <w:rPr>
          <w:rFonts w:hint="eastAsia"/>
          <w:b/>
          <w:color w:val="auto"/>
        </w:rPr>
        <w:t>创新乡村人才发展机制</w:t>
      </w:r>
      <w:r>
        <w:rPr>
          <w:rFonts w:hint="eastAsia"/>
          <w:color w:val="auto"/>
        </w:rPr>
        <w:t>。实施农村带头人队伍整体优化提升行动，增加乡村人才资源流量，大力引进懂农业、懂技术、懂市场的专业人才、农业科技型人才和农业产业创新团队。加快</w:t>
      </w:r>
      <w:r>
        <w:rPr>
          <w:color w:val="auto"/>
        </w:rPr>
        <w:t>引入</w:t>
      </w:r>
      <w:r>
        <w:rPr>
          <w:rFonts w:hint="eastAsia"/>
          <w:color w:val="auto"/>
        </w:rPr>
        <w:t>实用型、管理型人才，积极实施“选派生”“三支一扶”“乡村振兴志愿者”等人才计划引入高校人才，实施“引凤还巢”计划回引优秀本土人才。优化乡村人力资源存量，构建农村人才科学培育体系，以吸引年轻人务农、培育职业农民为重点，大力实施新型职业农民培育工程，培养一批农业经纪人、职业经理人和乡村工匠；积极推动与高校合作，采取委托培养、订单培养、定向就业、弹性学制、“半农半读”等方式开展农科生培养；大力开展新型农业经营主体带头人培训，培育一批引领乡村产业转型的“小巨人”乡村企业家，争取新型职业农民培育试点县市。探索实施人才流动机制，建立城镇人才进入乡村多元路径及保障机制，实现城乡人口交互流动和优化配置。</w:t>
      </w:r>
    </w:p>
    <w:p>
      <w:pPr>
        <w:ind w:firstLine="562"/>
        <w:rPr>
          <w:color w:val="auto"/>
        </w:rPr>
      </w:pPr>
      <w:r>
        <w:rPr>
          <w:rFonts w:hint="eastAsia"/>
          <w:b/>
          <w:color w:val="auto"/>
        </w:rPr>
        <w:t>健全</w:t>
      </w:r>
      <w:r>
        <w:rPr>
          <w:b/>
          <w:color w:val="auto"/>
        </w:rPr>
        <w:t>现代乡村治理体系</w:t>
      </w:r>
      <w:r>
        <w:rPr>
          <w:rFonts w:hint="eastAsia"/>
          <w:color w:val="auto"/>
        </w:rPr>
        <w:t>。建立健全党委领导、政府负责、社会协同、公众参与、法治保障的现代乡村社会治理体系。坚持农村基层党组织领导核心地位，加强农村新型经济组织和社会组织的党建工作，构建党组织领导的乡村治理体系，重点</w:t>
      </w:r>
      <w:r>
        <w:rPr>
          <w:rFonts w:hint="eastAsia"/>
          <w:color w:val="auto"/>
          <w:szCs w:val="30"/>
        </w:rPr>
        <w:t>做好易地扶贫搬迁安置区的乡村治理工作</w:t>
      </w:r>
      <w:r>
        <w:rPr>
          <w:rFonts w:hint="eastAsia"/>
          <w:color w:val="auto"/>
        </w:rPr>
        <w:t>。积极稳妥推进农村新型社区服务中心建设</w:t>
      </w:r>
      <w:r>
        <w:rPr>
          <w:rFonts w:hint="eastAsia"/>
          <w:color w:val="auto"/>
          <w:szCs w:val="30"/>
        </w:rPr>
        <w:t>，</w:t>
      </w:r>
      <w:r>
        <w:rPr>
          <w:rFonts w:hint="eastAsia"/>
          <w:color w:val="auto"/>
        </w:rPr>
        <w:t>加快</w:t>
      </w:r>
      <w:r>
        <w:rPr>
          <w:color w:val="auto"/>
        </w:rPr>
        <w:t>引导</w:t>
      </w:r>
      <w:r>
        <w:rPr>
          <w:rFonts w:hint="eastAsia"/>
          <w:color w:val="auto"/>
        </w:rPr>
        <w:t>培育农民社区意识，增强农民的认同感和归属感，积极培育社区社会组织和专职工作者、志愿者队伍；大力</w:t>
      </w:r>
      <w:r>
        <w:rPr>
          <w:color w:val="auto"/>
        </w:rPr>
        <w:t>发展</w:t>
      </w:r>
      <w:r>
        <w:rPr>
          <w:rFonts w:hint="eastAsia"/>
          <w:color w:val="auto"/>
        </w:rPr>
        <w:t>社区活动，加快新型社区管理网络化和社会化步伐，建设多类型、多层次、广覆盖的社区服务网络；</w:t>
      </w:r>
      <w:r>
        <w:rPr>
          <w:rFonts w:hint="eastAsia"/>
          <w:color w:val="auto"/>
          <w:szCs w:val="30"/>
        </w:rPr>
        <w:t>探索推进“互联网+”的治理模式，推进乡村治理的流程再造、资源整合、组织重构，提高乡村治理水平。持续探索</w:t>
      </w:r>
      <w:r>
        <w:rPr>
          <w:rFonts w:hint="eastAsia"/>
          <w:color w:val="auto"/>
        </w:rPr>
        <w:t>深化村民自治实践，推进农村移风易俗，完善农村民主选举、民主协商、民主决策、民主管理、民主监督制度，发挥好道德评议会、红白理事会作用，</w:t>
      </w:r>
      <w:r>
        <w:rPr>
          <w:color w:val="auto"/>
        </w:rPr>
        <w:t>鼓励</w:t>
      </w:r>
      <w:r>
        <w:rPr>
          <w:rFonts w:hint="eastAsia"/>
          <w:color w:val="auto"/>
        </w:rPr>
        <w:t>发展</w:t>
      </w:r>
      <w:r>
        <w:rPr>
          <w:color w:val="auto"/>
        </w:rPr>
        <w:t>多</w:t>
      </w:r>
      <w:r>
        <w:rPr>
          <w:rFonts w:hint="eastAsia"/>
          <w:color w:val="auto"/>
        </w:rPr>
        <w:t>样</w:t>
      </w:r>
      <w:r>
        <w:rPr>
          <w:color w:val="auto"/>
        </w:rPr>
        <w:t>化的</w:t>
      </w:r>
      <w:r>
        <w:rPr>
          <w:rFonts w:hint="eastAsia"/>
          <w:color w:val="auto"/>
        </w:rPr>
        <w:t>村民议事、协商和</w:t>
      </w:r>
      <w:r>
        <w:rPr>
          <w:color w:val="auto"/>
        </w:rPr>
        <w:t>调解组织</w:t>
      </w:r>
      <w:r>
        <w:rPr>
          <w:rFonts w:hint="eastAsia"/>
          <w:color w:val="auto"/>
        </w:rPr>
        <w:t>，充分发挥自治节程、村规民约在农村基层治理中的独特功能。</w:t>
      </w:r>
    </w:p>
    <w:p>
      <w:pPr>
        <w:ind w:firstLine="560"/>
        <w:rPr>
          <w:color w:val="auto"/>
          <w:szCs w:val="30"/>
        </w:rPr>
      </w:pPr>
    </w:p>
    <w:p>
      <w:pPr>
        <w:pStyle w:val="2"/>
        <w:spacing w:line="240" w:lineRule="auto"/>
        <w:jc w:val="center"/>
        <w:rPr>
          <w:color w:val="auto"/>
        </w:rPr>
      </w:pPr>
      <w:bookmarkStart w:id="24" w:name="_Toc62244277"/>
      <w:r>
        <w:rPr>
          <w:rFonts w:hint="eastAsia"/>
          <w:color w:val="auto"/>
        </w:rPr>
        <w:t>第六章  增强基础设施支撑能力，建设品质阜平</w:t>
      </w:r>
      <w:bookmarkEnd w:id="24"/>
    </w:p>
    <w:p>
      <w:pPr>
        <w:ind w:firstLine="560"/>
        <w:rPr>
          <w:color w:val="auto"/>
        </w:rPr>
      </w:pPr>
      <w:r>
        <w:rPr>
          <w:rFonts w:hint="eastAsia"/>
          <w:color w:val="auto"/>
        </w:rPr>
        <w:t>立足区域</w:t>
      </w:r>
      <w:r>
        <w:rPr>
          <w:color w:val="auto"/>
        </w:rPr>
        <w:t>协同发展重大战略布局，</w:t>
      </w:r>
      <w:r>
        <w:rPr>
          <w:rFonts w:hint="eastAsia"/>
          <w:color w:val="auto"/>
        </w:rPr>
        <w:t>加快补齐短板，提升供给质量，大力拓展投资新空间，构建系统完备、高效实用、智能绿色、安全可靠、</w:t>
      </w:r>
      <w:r>
        <w:rPr>
          <w:color w:val="auto"/>
        </w:rPr>
        <w:t>城乡融合的</w:t>
      </w:r>
      <w:r>
        <w:rPr>
          <w:rFonts w:hint="eastAsia"/>
          <w:color w:val="auto"/>
        </w:rPr>
        <w:t>的现代化基础设施体系，切实提升城市品质。</w:t>
      </w:r>
    </w:p>
    <w:p>
      <w:pPr>
        <w:pStyle w:val="3"/>
        <w:spacing w:before="204"/>
        <w:ind w:firstLine="560" w:firstLineChars="200"/>
        <w:rPr>
          <w:color w:val="auto"/>
          <w:szCs w:val="30"/>
        </w:rPr>
      </w:pPr>
      <w:bookmarkStart w:id="25" w:name="_Toc62244278"/>
      <w:r>
        <w:rPr>
          <w:color w:val="auto"/>
          <w:szCs w:val="30"/>
        </w:rPr>
        <w:t>第一节</w:t>
      </w:r>
      <w:r>
        <w:rPr>
          <w:rFonts w:hint="eastAsia"/>
          <w:color w:val="auto"/>
          <w:szCs w:val="30"/>
        </w:rPr>
        <w:t xml:space="preserve">  构建交通引领城市发展格局</w:t>
      </w:r>
      <w:bookmarkEnd w:id="25"/>
    </w:p>
    <w:p>
      <w:pPr>
        <w:ind w:firstLine="560"/>
        <w:rPr>
          <w:color w:val="auto"/>
        </w:rPr>
      </w:pPr>
      <w:r>
        <w:rPr>
          <w:rFonts w:hint="eastAsia"/>
          <w:color w:val="auto"/>
        </w:rPr>
        <w:t>加速构建便捷</w:t>
      </w:r>
      <w:r>
        <w:rPr>
          <w:color w:val="auto"/>
        </w:rPr>
        <w:t>、安全、绿色、智能、</w:t>
      </w:r>
      <w:r>
        <w:rPr>
          <w:rFonts w:hint="eastAsia"/>
          <w:color w:val="auto"/>
        </w:rPr>
        <w:t>经济</w:t>
      </w:r>
      <w:r>
        <w:rPr>
          <w:color w:val="auto"/>
        </w:rPr>
        <w:t>的</w:t>
      </w:r>
      <w:r>
        <w:rPr>
          <w:rFonts w:hint="eastAsia"/>
          <w:color w:val="auto"/>
        </w:rPr>
        <w:t>现代化综合交通运输</w:t>
      </w:r>
      <w:r>
        <w:rPr>
          <w:color w:val="auto"/>
        </w:rPr>
        <w:t>体系和物流体系</w:t>
      </w:r>
      <w:r>
        <w:rPr>
          <w:rFonts w:hint="eastAsia"/>
          <w:color w:val="auto"/>
        </w:rPr>
        <w:t>，以及由公路、高速、高铁和航空等构成的综合性、立体化交通格局。到2025年，基本形成“两环九射、九联六延”县域交通</w:t>
      </w:r>
      <w:r>
        <w:rPr>
          <w:color w:val="auto"/>
        </w:rPr>
        <w:t>路网</w:t>
      </w:r>
      <w:r>
        <w:rPr>
          <w:rFonts w:hint="eastAsia"/>
          <w:color w:val="auto"/>
        </w:rPr>
        <w:t>格局，基本建成保定西部区域性的交通枢纽和</w:t>
      </w:r>
      <w:r>
        <w:rPr>
          <w:color w:val="auto"/>
        </w:rPr>
        <w:t>节点城市</w:t>
      </w:r>
      <w:r>
        <w:rPr>
          <w:rFonts w:hint="eastAsia"/>
          <w:color w:val="auto"/>
        </w:rPr>
        <w:t>。</w:t>
      </w:r>
    </w:p>
    <w:p>
      <w:pPr>
        <w:pStyle w:val="4"/>
        <w:numPr>
          <w:ilvl w:val="0"/>
          <w:numId w:val="0"/>
        </w:numPr>
        <w:ind w:left="643"/>
        <w:rPr>
          <w:color w:val="auto"/>
        </w:rPr>
      </w:pPr>
      <w:r>
        <w:rPr>
          <w:rFonts w:hint="eastAsia"/>
          <w:color w:val="auto"/>
        </w:rPr>
        <w:t>一</w:t>
      </w:r>
      <w:r>
        <w:rPr>
          <w:color w:val="auto"/>
        </w:rPr>
        <w:t>、</w:t>
      </w:r>
      <w:r>
        <w:rPr>
          <w:rFonts w:hint="eastAsia"/>
          <w:color w:val="auto"/>
        </w:rPr>
        <w:t>畅通对外联系通道</w:t>
      </w:r>
    </w:p>
    <w:p>
      <w:pPr>
        <w:ind w:firstLine="562"/>
        <w:rPr>
          <w:color w:val="auto"/>
        </w:rPr>
      </w:pPr>
      <w:r>
        <w:rPr>
          <w:rFonts w:hint="eastAsia"/>
          <w:b/>
          <w:color w:val="auto"/>
        </w:rPr>
        <w:t>重点</w:t>
      </w:r>
      <w:r>
        <w:rPr>
          <w:b/>
          <w:color w:val="auto"/>
        </w:rPr>
        <w:t>实施</w:t>
      </w:r>
      <w:r>
        <w:rPr>
          <w:rFonts w:hint="eastAsia"/>
          <w:b/>
          <w:color w:val="auto"/>
        </w:rPr>
        <w:t>轨道交通建设</w:t>
      </w:r>
      <w:r>
        <w:rPr>
          <w:color w:val="auto"/>
        </w:rPr>
        <w:t>。</w:t>
      </w:r>
      <w:r>
        <w:rPr>
          <w:rFonts w:hint="eastAsia"/>
          <w:color w:val="auto"/>
        </w:rPr>
        <w:t>完善综合运输大通道和综合交通枢纽建设</w:t>
      </w:r>
      <w:r>
        <w:rPr>
          <w:color w:val="auto"/>
        </w:rPr>
        <w:t>，</w:t>
      </w:r>
      <w:r>
        <w:rPr>
          <w:rFonts w:hint="eastAsia"/>
          <w:color w:val="auto"/>
        </w:rPr>
        <w:t>加快都市圈轨道交通网络化。强化阜平与周边城市交通联系，发挥铁路对城镇发展的支撑</w:t>
      </w:r>
      <w:r>
        <w:rPr>
          <w:color w:val="auto"/>
        </w:rPr>
        <w:t>引导作用</w:t>
      </w:r>
      <w:r>
        <w:rPr>
          <w:rFonts w:hint="eastAsia"/>
          <w:color w:val="auto"/>
        </w:rPr>
        <w:t>，积极落实京昆高铁雄忻高铁建设项目，形成天津（北京）-雄安-保定-阜平-太原的快速通道。到</w:t>
      </w:r>
      <w:r>
        <w:rPr>
          <w:color w:val="auto"/>
        </w:rPr>
        <w:t>2025年，京昆高铁雄忻段建成通车，</w:t>
      </w:r>
      <w:r>
        <w:rPr>
          <w:rFonts w:hint="eastAsia"/>
          <w:color w:val="auto"/>
        </w:rPr>
        <w:t>阜平实现融入京津冀半小时</w:t>
      </w:r>
      <w:r>
        <w:rPr>
          <w:color w:val="auto"/>
        </w:rPr>
        <w:t>生活圈</w:t>
      </w:r>
      <w:r>
        <w:rPr>
          <w:rFonts w:hint="eastAsia"/>
          <w:color w:val="auto"/>
        </w:rPr>
        <w:t>。</w:t>
      </w:r>
    </w:p>
    <w:p>
      <w:pPr>
        <w:ind w:firstLine="562"/>
        <w:rPr>
          <w:color w:val="auto"/>
        </w:rPr>
      </w:pPr>
      <w:r>
        <w:rPr>
          <w:rFonts w:hint="eastAsia"/>
          <w:b/>
          <w:color w:val="auto"/>
        </w:rPr>
        <w:t>加速推进通用机场建设</w:t>
      </w:r>
      <w:r>
        <w:rPr>
          <w:rFonts w:hint="eastAsia"/>
          <w:color w:val="auto"/>
        </w:rPr>
        <w:t>。结合县域经济社会发展和旅游、应急保障等要求，适时推进阜平通用机场开工。按一类通用机场进行规划和建设，机场飞行区等级为2B，新建一条长度1200米跑道、相关联络道及机场附属设施，提供以机场为基地的飞行运营服务，实现飞行培训、休闲娱乐、旅游观光、防火救灾、应急救援等</w:t>
      </w:r>
      <w:r>
        <w:rPr>
          <w:color w:val="auto"/>
        </w:rPr>
        <w:t>功能</w:t>
      </w:r>
      <w:r>
        <w:rPr>
          <w:rFonts w:hint="eastAsia"/>
          <w:color w:val="auto"/>
        </w:rPr>
        <w:t>。</w:t>
      </w:r>
    </w:p>
    <w:p>
      <w:pPr>
        <w:ind w:firstLine="562"/>
        <w:rPr>
          <w:color w:val="auto"/>
        </w:rPr>
      </w:pPr>
      <w:r>
        <w:rPr>
          <w:rFonts w:hint="eastAsia"/>
          <w:b/>
          <w:color w:val="auto"/>
        </w:rPr>
        <w:t>系统</w:t>
      </w:r>
      <w:r>
        <w:rPr>
          <w:b/>
          <w:color w:val="auto"/>
        </w:rPr>
        <w:t>推动</w:t>
      </w:r>
      <w:r>
        <w:rPr>
          <w:rFonts w:hint="eastAsia"/>
          <w:b/>
          <w:color w:val="auto"/>
        </w:rPr>
        <w:t>高速公路建设</w:t>
      </w:r>
      <w:r>
        <w:rPr>
          <w:rFonts w:hint="eastAsia"/>
          <w:color w:val="auto"/>
        </w:rPr>
        <w:t>。实施</w:t>
      </w:r>
      <w:r>
        <w:rPr>
          <w:color w:val="auto"/>
        </w:rPr>
        <w:t>推进“</w:t>
      </w:r>
      <w:r>
        <w:rPr>
          <w:rFonts w:hint="eastAsia"/>
          <w:color w:val="auto"/>
        </w:rPr>
        <w:t>一纵一横</w:t>
      </w:r>
      <w:r>
        <w:rPr>
          <w:color w:val="auto"/>
        </w:rPr>
        <w:t>一联”</w:t>
      </w:r>
      <w:r>
        <w:rPr>
          <w:rFonts w:hint="eastAsia"/>
          <w:color w:val="auto"/>
        </w:rPr>
        <w:t>的城乡交通布局</w:t>
      </w:r>
      <w:r>
        <w:rPr>
          <w:color w:val="auto"/>
        </w:rPr>
        <w:t>，</w:t>
      </w:r>
      <w:r>
        <w:rPr>
          <w:rFonts w:hint="eastAsia"/>
          <w:color w:val="auto"/>
        </w:rPr>
        <w:t>加快推动太行山高速西阜段北延项目前期</w:t>
      </w:r>
      <w:r>
        <w:rPr>
          <w:color w:val="auto"/>
        </w:rPr>
        <w:t>工作</w:t>
      </w:r>
      <w:r>
        <w:rPr>
          <w:rFonts w:hint="eastAsia"/>
          <w:color w:val="auto"/>
        </w:rPr>
        <w:t>，适时</w:t>
      </w:r>
      <w:r>
        <w:rPr>
          <w:color w:val="auto"/>
        </w:rPr>
        <w:t>开工建设，</w:t>
      </w:r>
      <w:r>
        <w:rPr>
          <w:rFonts w:hint="eastAsia"/>
          <w:color w:val="auto"/>
        </w:rPr>
        <w:t>优化新增高速公路服务互通项目建设，打通阜平县接轨京津冀</w:t>
      </w:r>
      <w:r>
        <w:rPr>
          <w:color w:val="auto"/>
        </w:rPr>
        <w:t>、沟通周边区域、通达临近空港和沿海港口的</w:t>
      </w:r>
      <w:r>
        <w:rPr>
          <w:rFonts w:hint="eastAsia"/>
          <w:color w:val="auto"/>
        </w:rPr>
        <w:t>主要</w:t>
      </w:r>
      <w:r>
        <w:rPr>
          <w:color w:val="auto"/>
        </w:rPr>
        <w:t>通道。</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0" w:firstLineChars="0"/>
              <w:jc w:val="center"/>
              <w:rPr>
                <w:rFonts w:ascii="黑体" w:hAnsi="黑体" w:eastAsia="黑体"/>
                <w:color w:val="auto"/>
                <w:sz w:val="24"/>
                <w:szCs w:val="28"/>
              </w:rPr>
            </w:pPr>
            <w:r>
              <w:rPr>
                <w:rFonts w:hint="eastAsia" w:ascii="黑体" w:hAnsi="黑体" w:eastAsia="黑体"/>
                <w:color w:val="auto"/>
                <w:sz w:val="24"/>
                <w:szCs w:val="28"/>
              </w:rPr>
              <w:t>专栏6-1</w:t>
            </w:r>
            <w:r>
              <w:rPr>
                <w:rFonts w:ascii="黑体" w:hAnsi="黑体" w:eastAsia="黑体"/>
                <w:color w:val="auto"/>
                <w:sz w:val="24"/>
                <w:szCs w:val="28"/>
              </w:rPr>
              <w:t xml:space="preserve"> </w:t>
            </w:r>
            <w:r>
              <w:rPr>
                <w:rFonts w:hint="eastAsia" w:ascii="黑体" w:hAnsi="黑体" w:eastAsia="黑体"/>
                <w:color w:val="auto"/>
                <w:sz w:val="24"/>
                <w:szCs w:val="28"/>
              </w:rPr>
              <w:t>对外交通</w:t>
            </w:r>
            <w:r>
              <w:rPr>
                <w:rFonts w:ascii="黑体" w:hAnsi="黑体" w:eastAsia="黑体"/>
                <w:color w:val="auto"/>
                <w:sz w:val="24"/>
                <w:szCs w:val="28"/>
              </w:rPr>
              <w:t>体系</w:t>
            </w:r>
            <w:r>
              <w:rPr>
                <w:rFonts w:hint="eastAsia" w:ascii="黑体" w:hAnsi="黑体" w:eastAsia="黑体"/>
                <w:color w:val="auto"/>
                <w:sz w:val="24"/>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eastAsia="仿宋_GB2312"/>
                <w:b/>
                <w:color w:val="auto"/>
                <w:sz w:val="24"/>
                <w:szCs w:val="28"/>
              </w:rPr>
            </w:pPr>
            <w:r>
              <w:rPr>
                <w:rFonts w:hint="eastAsia" w:ascii="仿宋_GB2312" w:eastAsia="仿宋_GB2312"/>
                <w:b/>
                <w:color w:val="auto"/>
                <w:sz w:val="24"/>
                <w:szCs w:val="28"/>
              </w:rPr>
              <w:t>1.铁路</w:t>
            </w:r>
            <w:r>
              <w:rPr>
                <w:rFonts w:ascii="仿宋_GB2312" w:eastAsia="仿宋_GB2312"/>
                <w:b/>
                <w:color w:val="auto"/>
                <w:sz w:val="24"/>
                <w:szCs w:val="28"/>
              </w:rPr>
              <w:t>建设项目</w:t>
            </w:r>
          </w:p>
          <w:p>
            <w:pPr>
              <w:adjustRightInd w:val="0"/>
              <w:snapToGrid w:val="0"/>
              <w:ind w:firstLine="482"/>
              <w:rPr>
                <w:rFonts w:ascii="仿宋_GB2312" w:hAnsi="Times New Roman" w:eastAsia="仿宋_GB2312"/>
                <w:color w:val="auto"/>
                <w:sz w:val="24"/>
                <w:szCs w:val="28"/>
              </w:rPr>
            </w:pPr>
            <w:r>
              <w:rPr>
                <w:rFonts w:hint="eastAsia" w:ascii="仿宋_GB2312" w:eastAsia="仿宋_GB2312"/>
                <w:b/>
                <w:color w:val="auto"/>
                <w:sz w:val="24"/>
                <w:szCs w:val="28"/>
              </w:rPr>
              <w:t>京昆高铁雄忻段。</w:t>
            </w:r>
            <w:r>
              <w:rPr>
                <w:rFonts w:hint="eastAsia" w:ascii="仿宋_GB2312" w:eastAsia="仿宋_GB2312"/>
                <w:color w:val="auto"/>
                <w:sz w:val="24"/>
                <w:szCs w:val="28"/>
              </w:rPr>
              <w:t>积极配合推进京昆高铁雄忻段项目建设，结合阜平高铁站建设谋划建设综合客运枢纽，实现高铁客运与公路客运、城市公交高效衔接。线路西起忻州西站，横向穿过阜平县，经保定市至雄安高铁站，设计时速350公里/小时。项目已完成</w:t>
            </w:r>
            <w:r>
              <w:rPr>
                <w:rFonts w:ascii="仿宋_GB2312" w:eastAsia="仿宋_GB2312"/>
                <w:color w:val="auto"/>
                <w:sz w:val="24"/>
                <w:szCs w:val="28"/>
              </w:rPr>
              <w:t>可研，</w:t>
            </w:r>
            <w:r>
              <w:rPr>
                <w:rFonts w:hint="eastAsia" w:ascii="仿宋_GB2312" w:eastAsia="仿宋_GB2312"/>
                <w:color w:val="auto"/>
                <w:sz w:val="24"/>
                <w:szCs w:val="28"/>
              </w:rPr>
              <w:t>力争202</w:t>
            </w:r>
            <w:r>
              <w:rPr>
                <w:rFonts w:ascii="仿宋_GB2312" w:eastAsia="仿宋_GB2312"/>
                <w:color w:val="auto"/>
                <w:sz w:val="24"/>
                <w:szCs w:val="28"/>
              </w:rPr>
              <w:t>1</w:t>
            </w:r>
            <w:r>
              <w:rPr>
                <w:rFonts w:hint="eastAsia" w:ascii="仿宋_GB2312" w:eastAsia="仿宋_GB2312"/>
                <w:color w:val="auto"/>
                <w:sz w:val="24"/>
                <w:szCs w:val="28"/>
              </w:rPr>
              <w:t>年底开工，2025年建成。</w:t>
            </w:r>
          </w:p>
          <w:p>
            <w:pPr>
              <w:adjustRightInd w:val="0"/>
              <w:snapToGrid w:val="0"/>
              <w:ind w:firstLine="482"/>
              <w:rPr>
                <w:rFonts w:ascii="仿宋_GB2312" w:eastAsia="仿宋_GB2312"/>
                <w:b/>
                <w:color w:val="auto"/>
                <w:sz w:val="24"/>
                <w:szCs w:val="28"/>
              </w:rPr>
            </w:pPr>
            <w:r>
              <w:rPr>
                <w:rFonts w:hint="eastAsia" w:ascii="仿宋_GB2312" w:eastAsia="仿宋_GB2312"/>
                <w:b/>
                <w:color w:val="auto"/>
                <w:sz w:val="24"/>
                <w:szCs w:val="28"/>
              </w:rPr>
              <w:t>2.高速公路</w:t>
            </w:r>
            <w:r>
              <w:rPr>
                <w:rFonts w:ascii="仿宋_GB2312" w:eastAsia="仿宋_GB2312"/>
                <w:b/>
                <w:color w:val="auto"/>
                <w:sz w:val="24"/>
                <w:szCs w:val="28"/>
              </w:rPr>
              <w:t>建设项目</w:t>
            </w:r>
          </w:p>
          <w:p>
            <w:pPr>
              <w:adjustRightInd w:val="0"/>
              <w:snapToGrid w:val="0"/>
              <w:ind w:firstLine="482"/>
              <w:rPr>
                <w:color w:val="auto"/>
                <w:sz w:val="24"/>
                <w:szCs w:val="28"/>
              </w:rPr>
            </w:pPr>
            <w:r>
              <w:rPr>
                <w:rFonts w:hint="eastAsia" w:cs="Times New Roman"/>
                <w:b/>
                <w:color w:val="auto"/>
                <w:sz w:val="24"/>
                <w:szCs w:val="28"/>
              </w:rPr>
              <w:t>太行山高速西阜段北延</w:t>
            </w:r>
            <w:r>
              <w:rPr>
                <w:rFonts w:hint="eastAsia" w:ascii="仿宋_GB2312" w:eastAsia="仿宋_GB2312" w:cs="Times New Roman"/>
                <w:b/>
                <w:color w:val="auto"/>
                <w:sz w:val="24"/>
                <w:szCs w:val="28"/>
              </w:rPr>
              <w:t>（</w:t>
            </w:r>
            <w:r>
              <w:rPr>
                <w:rFonts w:hint="eastAsia" w:ascii="仿宋_GB2312" w:eastAsia="仿宋_GB2312"/>
                <w:b/>
                <w:color w:val="auto"/>
                <w:sz w:val="24"/>
                <w:szCs w:val="28"/>
              </w:rPr>
              <w:t>前期项目）。</w:t>
            </w:r>
            <w:r>
              <w:rPr>
                <w:rFonts w:hint="eastAsia"/>
                <w:color w:val="auto"/>
                <w:sz w:val="24"/>
                <w:szCs w:val="28"/>
              </w:rPr>
              <w:t>线路起自沧榆高速，与太行山高速阜平至西柏坡段顺接，向北至冀晋界，与山西省规划高速公路相接。</w:t>
            </w:r>
            <w:r>
              <w:rPr>
                <w:rFonts w:hint="eastAsia" w:cs="Times New Roman"/>
                <w:color w:val="auto"/>
                <w:sz w:val="24"/>
                <w:szCs w:val="28"/>
              </w:rPr>
              <w:t>阜平段</w:t>
            </w:r>
            <w:r>
              <w:rPr>
                <w:rFonts w:hint="eastAsia"/>
                <w:color w:val="auto"/>
                <w:sz w:val="24"/>
                <w:szCs w:val="28"/>
              </w:rPr>
              <w:t>长约</w:t>
            </w:r>
            <w:r>
              <w:rPr>
                <w:rFonts w:hint="eastAsia" w:cs="Times New Roman"/>
                <w:color w:val="auto"/>
                <w:sz w:val="24"/>
                <w:szCs w:val="28"/>
              </w:rPr>
              <w:t>35公里，估算总投资</w:t>
            </w:r>
            <w:r>
              <w:rPr>
                <w:rFonts w:hint="eastAsia"/>
                <w:color w:val="auto"/>
                <w:sz w:val="24"/>
                <w:szCs w:val="28"/>
              </w:rPr>
              <w:t>约</w:t>
            </w:r>
            <w:r>
              <w:rPr>
                <w:rFonts w:hint="eastAsia" w:cs="Times New Roman"/>
                <w:color w:val="auto"/>
                <w:sz w:val="24"/>
                <w:szCs w:val="28"/>
              </w:rPr>
              <w:t>35亿元。</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沧榆高速王林口新增互通及连接线工程。</w:t>
            </w:r>
            <w:r>
              <w:rPr>
                <w:rFonts w:hint="eastAsia" w:ascii="仿宋_GB2312" w:eastAsia="仿宋_GB2312"/>
                <w:bCs/>
                <w:color w:val="auto"/>
                <w:sz w:val="24"/>
                <w:szCs w:val="28"/>
              </w:rPr>
              <w:t>项目长约1.5公里，二级公路，估算总投资4.5亿元；</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沧榆高速龙泉关新增互通及连接线工程。</w:t>
            </w:r>
            <w:r>
              <w:rPr>
                <w:rFonts w:hint="eastAsia" w:ascii="仿宋_GB2312" w:eastAsia="仿宋_GB2312"/>
                <w:bCs/>
                <w:color w:val="auto"/>
                <w:sz w:val="24"/>
                <w:szCs w:val="28"/>
              </w:rPr>
              <w:t>项目长约3.8公里，二级公路，估算总投资3.2亿元；</w:t>
            </w:r>
          </w:p>
          <w:p>
            <w:pPr>
              <w:adjustRightInd w:val="0"/>
              <w:snapToGrid w:val="0"/>
              <w:ind w:firstLine="482"/>
              <w:rPr>
                <w:rFonts w:ascii="仿宋_GB2312" w:eastAsia="仿宋_GB2312"/>
                <w:b/>
                <w:bCs/>
                <w:color w:val="auto"/>
                <w:sz w:val="24"/>
                <w:szCs w:val="28"/>
              </w:rPr>
            </w:pPr>
            <w:r>
              <w:rPr>
                <w:rFonts w:ascii="仿宋_GB2312" w:eastAsia="仿宋_GB2312"/>
                <w:b/>
                <w:bCs/>
                <w:color w:val="auto"/>
                <w:sz w:val="24"/>
                <w:szCs w:val="28"/>
              </w:rPr>
              <w:t>3</w:t>
            </w:r>
            <w:r>
              <w:rPr>
                <w:rFonts w:hint="eastAsia" w:ascii="仿宋_GB2312" w:eastAsia="仿宋_GB2312"/>
                <w:b/>
                <w:bCs/>
                <w:color w:val="auto"/>
                <w:sz w:val="24"/>
                <w:szCs w:val="28"/>
              </w:rPr>
              <w:t>.通用机场建设</w:t>
            </w:r>
            <w:r>
              <w:rPr>
                <w:rFonts w:ascii="仿宋_GB2312" w:eastAsia="仿宋_GB2312"/>
                <w:b/>
                <w:bCs/>
                <w:color w:val="auto"/>
                <w:sz w:val="24"/>
                <w:szCs w:val="28"/>
              </w:rPr>
              <w:t>项目</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主要建设一条1200米×30米跑道、机坪、综合航站楼、特种车棚、加油站、动力中心、门房等基本设施。项目</w:t>
            </w:r>
            <w:r>
              <w:rPr>
                <w:rFonts w:ascii="仿宋_GB2312" w:eastAsia="仿宋_GB2312"/>
                <w:bCs/>
                <w:color w:val="auto"/>
                <w:sz w:val="24"/>
                <w:szCs w:val="28"/>
              </w:rPr>
              <w:t>估算总投资</w:t>
            </w:r>
            <w:r>
              <w:rPr>
                <w:rFonts w:hint="eastAsia" w:ascii="仿宋_GB2312" w:eastAsia="仿宋_GB2312"/>
                <w:bCs/>
                <w:color w:val="auto"/>
                <w:sz w:val="24"/>
                <w:szCs w:val="28"/>
              </w:rPr>
              <w:t>约</w:t>
            </w:r>
            <w:r>
              <w:rPr>
                <w:rFonts w:ascii="仿宋_GB2312" w:eastAsia="仿宋_GB2312"/>
                <w:bCs/>
                <w:color w:val="auto"/>
                <w:sz w:val="24"/>
                <w:szCs w:val="28"/>
              </w:rPr>
              <w:t>为</w:t>
            </w:r>
            <w:r>
              <w:rPr>
                <w:rFonts w:hint="eastAsia" w:ascii="仿宋_GB2312" w:eastAsia="仿宋_GB2312"/>
                <w:bCs/>
                <w:color w:val="auto"/>
                <w:sz w:val="24"/>
                <w:szCs w:val="28"/>
              </w:rPr>
              <w:t>3.8亿元</w:t>
            </w:r>
            <w:r>
              <w:rPr>
                <w:rFonts w:ascii="仿宋_GB2312" w:eastAsia="仿宋_GB2312"/>
                <w:bCs/>
                <w:color w:val="auto"/>
                <w:sz w:val="24"/>
                <w:szCs w:val="28"/>
              </w:rPr>
              <w:t>。</w:t>
            </w:r>
          </w:p>
        </w:tc>
      </w:tr>
    </w:tbl>
    <w:p>
      <w:pPr>
        <w:pStyle w:val="4"/>
        <w:numPr>
          <w:ilvl w:val="0"/>
          <w:numId w:val="0"/>
        </w:numPr>
        <w:ind w:left="643"/>
        <w:rPr>
          <w:color w:val="auto"/>
        </w:rPr>
      </w:pPr>
      <w:r>
        <w:rPr>
          <w:rFonts w:hint="eastAsia"/>
          <w:color w:val="auto"/>
        </w:rPr>
        <w:t>二</w:t>
      </w:r>
      <w:r>
        <w:rPr>
          <w:color w:val="auto"/>
        </w:rPr>
        <w:t>、</w:t>
      </w:r>
      <w:r>
        <w:rPr>
          <w:rFonts w:hint="eastAsia"/>
          <w:color w:val="auto"/>
        </w:rPr>
        <w:t>完善县域干线公路</w:t>
      </w:r>
    </w:p>
    <w:p>
      <w:pPr>
        <w:ind w:firstLine="562"/>
        <w:rPr>
          <w:color w:val="auto"/>
        </w:rPr>
      </w:pPr>
      <w:r>
        <w:rPr>
          <w:rFonts w:hint="eastAsia"/>
          <w:b/>
          <w:color w:val="auto"/>
        </w:rPr>
        <w:t>完善县域横向和纵向过境交通</w:t>
      </w:r>
      <w:r>
        <w:rPr>
          <w:rFonts w:hint="eastAsia"/>
          <w:color w:val="auto"/>
        </w:rPr>
        <w:t>。结合普通干线公路绕城，谋划建设县城环线，加快推动省道S248阜平县城改线段工程项目建设，谋划国道G207绕城项目，实现过境交通与城区交通互不干扰。</w:t>
      </w:r>
    </w:p>
    <w:p>
      <w:pPr>
        <w:ind w:firstLine="562"/>
        <w:rPr>
          <w:color w:val="auto"/>
        </w:rPr>
      </w:pPr>
      <w:r>
        <w:rPr>
          <w:rFonts w:hint="eastAsia"/>
          <w:b/>
          <w:color w:val="auto"/>
        </w:rPr>
        <w:t>加强县城与乡镇联系公路建设</w:t>
      </w:r>
      <w:r>
        <w:rPr>
          <w:rFonts w:hint="eastAsia"/>
          <w:color w:val="auto"/>
        </w:rPr>
        <w:t>。完善县域横向干线公路通道，加强县城与平阳镇、王林口镇、天生桥镇、龙泉关镇便捷联系，推动G337南栗元铺至龙泉关段项目建设，推进国道G337阜平曲阳界至杨树湾段、河口至南栗元铺段项目前期</w:t>
      </w:r>
      <w:r>
        <w:rPr>
          <w:color w:val="auto"/>
        </w:rPr>
        <w:t>工作</w:t>
      </w:r>
      <w:r>
        <w:rPr>
          <w:rFonts w:hint="eastAsia"/>
          <w:color w:val="auto"/>
        </w:rPr>
        <w:t>。完善县域纵向干线公路通道，加强阜平与周边县便捷联系，推进国道G207阜平县城</w:t>
      </w:r>
      <w:r>
        <w:rPr>
          <w:color w:val="auto"/>
        </w:rPr>
        <w:t>改线</w:t>
      </w:r>
      <w:r>
        <w:rPr>
          <w:rFonts w:hint="eastAsia"/>
          <w:color w:val="auto"/>
        </w:rPr>
        <w:t>段项目前期工作，适时开工建设。</w:t>
      </w:r>
    </w:p>
    <w:p>
      <w:pPr>
        <w:ind w:firstLine="562"/>
        <w:rPr>
          <w:color w:val="auto"/>
        </w:rPr>
      </w:pPr>
      <w:r>
        <w:rPr>
          <w:rFonts w:hint="eastAsia"/>
          <w:b/>
          <w:color w:val="auto"/>
        </w:rPr>
        <w:t>加强县域旅游公路建设</w:t>
      </w:r>
      <w:r>
        <w:rPr>
          <w:rFonts w:hint="eastAsia"/>
          <w:color w:val="auto"/>
        </w:rPr>
        <w:t>。服务全域旅游发展，加快构建县域旅游环线，推动省道S248阜平县城改线段、城南庄至北果园公路等项目建设；强化园区、景区对外联系，结合开发推动连接道路建设，实现所有产业园区、旅游景区与县城或高速公路顺畅衔接。</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专栏6-2</w:t>
            </w:r>
            <w:r>
              <w:rPr>
                <w:rFonts w:ascii="黑体" w:hAnsi="黑体" w:eastAsia="黑体"/>
                <w:color w:val="auto"/>
                <w:sz w:val="24"/>
                <w:szCs w:val="28"/>
              </w:rPr>
              <w:t xml:space="preserve"> </w:t>
            </w:r>
            <w:r>
              <w:rPr>
                <w:rFonts w:hint="eastAsia" w:ascii="黑体" w:hAnsi="黑体" w:eastAsia="黑体"/>
                <w:color w:val="auto"/>
                <w:sz w:val="24"/>
                <w:szCs w:val="28"/>
              </w:rPr>
              <w:t>县域交通网络重点项目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b/>
                <w:color w:val="auto"/>
                <w:sz w:val="24"/>
                <w:szCs w:val="28"/>
              </w:rPr>
            </w:pPr>
            <w:r>
              <w:rPr>
                <w:rFonts w:hint="eastAsia"/>
                <w:b/>
                <w:color w:val="auto"/>
                <w:sz w:val="24"/>
                <w:szCs w:val="28"/>
              </w:rPr>
              <w:t>1.“十四五”时期</w:t>
            </w:r>
            <w:r>
              <w:rPr>
                <w:b/>
                <w:color w:val="auto"/>
                <w:sz w:val="24"/>
                <w:szCs w:val="28"/>
              </w:rPr>
              <w:t>实施</w:t>
            </w:r>
            <w:r>
              <w:rPr>
                <w:rFonts w:hint="eastAsia"/>
                <w:b/>
                <w:color w:val="auto"/>
                <w:sz w:val="24"/>
                <w:szCs w:val="28"/>
              </w:rPr>
              <w:t>项目</w:t>
            </w:r>
          </w:p>
          <w:p>
            <w:pPr>
              <w:adjustRightInd w:val="0"/>
              <w:snapToGrid w:val="0"/>
              <w:ind w:firstLine="482"/>
              <w:rPr>
                <w:color w:val="auto"/>
                <w:sz w:val="24"/>
                <w:szCs w:val="32"/>
              </w:rPr>
            </w:pPr>
            <w:r>
              <w:rPr>
                <w:rFonts w:hint="eastAsia"/>
                <w:b/>
                <w:color w:val="auto"/>
                <w:sz w:val="24"/>
                <w:szCs w:val="32"/>
              </w:rPr>
              <w:t>国道G337南栗元铺至龙泉关段</w:t>
            </w:r>
            <w:r>
              <w:rPr>
                <w:rFonts w:hint="eastAsia"/>
                <w:color w:val="auto"/>
                <w:sz w:val="24"/>
                <w:szCs w:val="32"/>
              </w:rPr>
              <w:t>。</w:t>
            </w:r>
            <w:r>
              <w:rPr>
                <w:rFonts w:hint="eastAsia"/>
                <w:color w:val="auto"/>
                <w:sz w:val="24"/>
                <w:szCs w:val="28"/>
              </w:rPr>
              <w:t>长约</w:t>
            </w:r>
            <w:r>
              <w:rPr>
                <w:rFonts w:hint="eastAsia"/>
                <w:color w:val="auto"/>
                <w:sz w:val="24"/>
                <w:szCs w:val="32"/>
              </w:rPr>
              <w:t>15.9公里，二级公路，估算总投资3.1亿元。</w:t>
            </w:r>
          </w:p>
          <w:p>
            <w:pPr>
              <w:adjustRightInd w:val="0"/>
              <w:snapToGrid w:val="0"/>
              <w:ind w:firstLine="482"/>
              <w:rPr>
                <w:color w:val="auto"/>
                <w:sz w:val="24"/>
                <w:szCs w:val="28"/>
              </w:rPr>
            </w:pPr>
            <w:r>
              <w:rPr>
                <w:rFonts w:hint="eastAsia"/>
                <w:b/>
                <w:color w:val="auto"/>
                <w:sz w:val="24"/>
                <w:szCs w:val="28"/>
              </w:rPr>
              <w:t>省道S248阜平县城改线段</w:t>
            </w:r>
            <w:r>
              <w:rPr>
                <w:rFonts w:hint="eastAsia"/>
                <w:color w:val="auto"/>
                <w:sz w:val="24"/>
                <w:szCs w:val="28"/>
              </w:rPr>
              <w:t>。长约11.5公里，</w:t>
            </w:r>
            <w:r>
              <w:rPr>
                <w:rFonts w:hint="eastAsia"/>
                <w:color w:val="auto"/>
                <w:sz w:val="24"/>
                <w:szCs w:val="32"/>
              </w:rPr>
              <w:t>一级公路，路基宽21.5米，全线设大桥5座、中桥1座、小桥1座、隧道2座，估算总投资8.</w:t>
            </w:r>
            <w:r>
              <w:rPr>
                <w:color w:val="auto"/>
                <w:sz w:val="24"/>
                <w:szCs w:val="32"/>
              </w:rPr>
              <w:t>88</w:t>
            </w:r>
            <w:r>
              <w:rPr>
                <w:rFonts w:hint="eastAsia"/>
                <w:color w:val="auto"/>
                <w:sz w:val="24"/>
                <w:szCs w:val="32"/>
              </w:rPr>
              <w:t>亿元。</w:t>
            </w:r>
          </w:p>
          <w:p>
            <w:pPr>
              <w:adjustRightInd w:val="0"/>
              <w:snapToGrid w:val="0"/>
              <w:ind w:firstLine="482"/>
              <w:rPr>
                <w:bCs/>
                <w:color w:val="auto"/>
                <w:sz w:val="24"/>
                <w:szCs w:val="28"/>
              </w:rPr>
            </w:pPr>
            <w:r>
              <w:rPr>
                <w:rFonts w:hint="eastAsia"/>
                <w:b/>
                <w:bCs/>
                <w:color w:val="auto"/>
                <w:sz w:val="24"/>
                <w:szCs w:val="28"/>
              </w:rPr>
              <w:t>城南庄至北果园公路</w:t>
            </w:r>
            <w:r>
              <w:rPr>
                <w:rFonts w:hint="eastAsia"/>
                <w:bCs/>
                <w:color w:val="auto"/>
                <w:sz w:val="24"/>
                <w:szCs w:val="28"/>
              </w:rPr>
              <w:t>。长约15.5公里，二级公路，估算总投资0.98亿元。</w:t>
            </w:r>
          </w:p>
          <w:p>
            <w:pPr>
              <w:adjustRightInd w:val="0"/>
              <w:snapToGrid w:val="0"/>
              <w:ind w:firstLine="482"/>
              <w:rPr>
                <w:color w:val="auto"/>
                <w:sz w:val="24"/>
                <w:szCs w:val="32"/>
              </w:rPr>
            </w:pPr>
            <w:r>
              <w:rPr>
                <w:rFonts w:hint="eastAsia"/>
                <w:b/>
                <w:color w:val="auto"/>
                <w:sz w:val="24"/>
                <w:szCs w:val="32"/>
              </w:rPr>
              <w:t>高铁站</w:t>
            </w:r>
            <w:r>
              <w:rPr>
                <w:b/>
                <w:color w:val="auto"/>
                <w:sz w:val="24"/>
                <w:szCs w:val="32"/>
              </w:rPr>
              <w:t>至北果园公路</w:t>
            </w:r>
            <w:r>
              <w:rPr>
                <w:color w:val="auto"/>
                <w:sz w:val="24"/>
                <w:szCs w:val="32"/>
              </w:rPr>
              <w:t>。</w:t>
            </w:r>
            <w:r>
              <w:rPr>
                <w:rFonts w:hint="eastAsia"/>
                <w:color w:val="auto"/>
                <w:sz w:val="24"/>
                <w:szCs w:val="32"/>
              </w:rPr>
              <w:t>长约6公里，二级公路，估算总投资0.6亿元。</w:t>
            </w:r>
          </w:p>
          <w:p>
            <w:pPr>
              <w:adjustRightInd w:val="0"/>
              <w:snapToGrid w:val="0"/>
              <w:ind w:firstLine="482"/>
              <w:rPr>
                <w:color w:val="auto"/>
                <w:sz w:val="24"/>
                <w:szCs w:val="32"/>
              </w:rPr>
            </w:pPr>
            <w:r>
              <w:rPr>
                <w:rFonts w:hint="eastAsia"/>
                <w:b/>
                <w:color w:val="auto"/>
                <w:sz w:val="24"/>
                <w:szCs w:val="32"/>
              </w:rPr>
              <w:t>史家寨至照旺台公路</w:t>
            </w:r>
            <w:r>
              <w:rPr>
                <w:rFonts w:hint="eastAsia"/>
                <w:color w:val="auto"/>
                <w:sz w:val="24"/>
                <w:szCs w:val="32"/>
              </w:rPr>
              <w:t>。路线长约10.1公里，二级公路，估算总投资1亿元。</w:t>
            </w:r>
          </w:p>
          <w:p>
            <w:pPr>
              <w:adjustRightInd w:val="0"/>
              <w:snapToGrid w:val="0"/>
              <w:ind w:firstLine="482"/>
              <w:rPr>
                <w:color w:val="auto"/>
                <w:sz w:val="24"/>
                <w:szCs w:val="32"/>
              </w:rPr>
            </w:pPr>
            <w:r>
              <w:rPr>
                <w:rFonts w:hint="eastAsia"/>
                <w:b/>
                <w:color w:val="auto"/>
                <w:sz w:val="24"/>
                <w:szCs w:val="32"/>
              </w:rPr>
              <w:t>G207至董家口公路</w:t>
            </w:r>
            <w:r>
              <w:rPr>
                <w:rFonts w:hint="eastAsia"/>
                <w:color w:val="auto"/>
                <w:sz w:val="24"/>
                <w:szCs w:val="32"/>
              </w:rPr>
              <w:t>。路线全长约14公里，二级公路，估算总投资</w:t>
            </w:r>
            <w:r>
              <w:rPr>
                <w:color w:val="auto"/>
                <w:sz w:val="24"/>
                <w:szCs w:val="32"/>
              </w:rPr>
              <w:t>2.5</w:t>
            </w:r>
            <w:r>
              <w:rPr>
                <w:rFonts w:hint="eastAsia"/>
                <w:color w:val="auto"/>
                <w:sz w:val="24"/>
                <w:szCs w:val="32"/>
              </w:rPr>
              <w:t>亿元。</w:t>
            </w:r>
          </w:p>
          <w:p>
            <w:pPr>
              <w:adjustRightInd w:val="0"/>
              <w:snapToGrid w:val="0"/>
              <w:ind w:firstLine="482"/>
              <w:rPr>
                <w:color w:val="auto"/>
                <w:sz w:val="24"/>
                <w:szCs w:val="32"/>
              </w:rPr>
            </w:pPr>
            <w:r>
              <w:rPr>
                <w:rFonts w:hint="eastAsia"/>
                <w:b/>
                <w:color w:val="auto"/>
                <w:sz w:val="24"/>
                <w:szCs w:val="32"/>
              </w:rPr>
              <w:t>神台至董家口公路改建</w:t>
            </w:r>
            <w:r>
              <w:rPr>
                <w:rFonts w:hint="eastAsia"/>
                <w:color w:val="auto"/>
                <w:sz w:val="24"/>
                <w:szCs w:val="32"/>
              </w:rPr>
              <w:t>。长约3.5公里，二级公路，估算总投资0.3亿元。</w:t>
            </w:r>
          </w:p>
          <w:p>
            <w:pPr>
              <w:adjustRightInd w:val="0"/>
              <w:snapToGrid w:val="0"/>
              <w:ind w:firstLine="482"/>
              <w:rPr>
                <w:color w:val="auto"/>
                <w:sz w:val="24"/>
                <w:szCs w:val="32"/>
              </w:rPr>
            </w:pPr>
            <w:r>
              <w:rPr>
                <w:rFonts w:hint="eastAsia"/>
                <w:b/>
                <w:color w:val="auto"/>
                <w:sz w:val="24"/>
                <w:szCs w:val="32"/>
              </w:rPr>
              <w:t>平阳至台峪公路改建</w:t>
            </w:r>
            <w:r>
              <w:rPr>
                <w:rFonts w:hint="eastAsia"/>
                <w:color w:val="auto"/>
                <w:sz w:val="24"/>
                <w:szCs w:val="32"/>
              </w:rPr>
              <w:t>。长约13.5公里，三级公路，估算总投资0.5亿元。</w:t>
            </w:r>
          </w:p>
          <w:p>
            <w:pPr>
              <w:adjustRightInd w:val="0"/>
              <w:snapToGrid w:val="0"/>
              <w:ind w:firstLine="482"/>
              <w:rPr>
                <w:b/>
                <w:color w:val="auto"/>
                <w:sz w:val="24"/>
                <w:szCs w:val="32"/>
              </w:rPr>
            </w:pPr>
            <w:r>
              <w:rPr>
                <w:rFonts w:hint="eastAsia"/>
                <w:b/>
                <w:color w:val="auto"/>
                <w:sz w:val="24"/>
                <w:szCs w:val="32"/>
              </w:rPr>
              <w:t>2.</w:t>
            </w:r>
            <w:r>
              <w:rPr>
                <w:rFonts w:hint="eastAsia"/>
                <w:b/>
                <w:color w:val="auto"/>
                <w:sz w:val="24"/>
                <w:szCs w:val="28"/>
              </w:rPr>
              <w:t>“十四五”时期推进</w:t>
            </w:r>
            <w:r>
              <w:rPr>
                <w:b/>
                <w:color w:val="auto"/>
                <w:sz w:val="24"/>
                <w:szCs w:val="28"/>
              </w:rPr>
              <w:t>前期项目</w:t>
            </w:r>
          </w:p>
          <w:p>
            <w:pPr>
              <w:adjustRightInd w:val="0"/>
              <w:snapToGrid w:val="0"/>
              <w:ind w:firstLine="482"/>
              <w:rPr>
                <w:b/>
                <w:color w:val="auto"/>
                <w:sz w:val="24"/>
                <w:szCs w:val="32"/>
              </w:rPr>
            </w:pPr>
            <w:r>
              <w:rPr>
                <w:rFonts w:hint="eastAsia"/>
                <w:b/>
                <w:color w:val="auto"/>
                <w:sz w:val="24"/>
                <w:szCs w:val="32"/>
              </w:rPr>
              <w:t>国道G337线阜平曲阳界至杨树湾段</w:t>
            </w:r>
            <w:r>
              <w:rPr>
                <w:rFonts w:hint="eastAsia"/>
                <w:color w:val="auto"/>
                <w:sz w:val="24"/>
                <w:szCs w:val="32"/>
              </w:rPr>
              <w:t>。长约23公里，一级公路，估算总投资20.7亿元。</w:t>
            </w:r>
          </w:p>
          <w:p>
            <w:pPr>
              <w:adjustRightInd w:val="0"/>
              <w:snapToGrid w:val="0"/>
              <w:ind w:firstLine="482"/>
              <w:rPr>
                <w:color w:val="auto"/>
                <w:sz w:val="24"/>
                <w:szCs w:val="32"/>
              </w:rPr>
            </w:pPr>
            <w:r>
              <w:rPr>
                <w:rFonts w:hint="eastAsia"/>
                <w:b/>
                <w:color w:val="auto"/>
                <w:sz w:val="24"/>
                <w:szCs w:val="32"/>
              </w:rPr>
              <w:t>国道G207阜平县城改线段</w:t>
            </w:r>
            <w:r>
              <w:rPr>
                <w:rFonts w:hint="eastAsia"/>
                <w:color w:val="auto"/>
                <w:sz w:val="24"/>
                <w:szCs w:val="32"/>
              </w:rPr>
              <w:t>。长约38公里，二级公路，估算总投资11亿元。</w:t>
            </w:r>
          </w:p>
          <w:p>
            <w:pPr>
              <w:adjustRightInd w:val="0"/>
              <w:snapToGrid w:val="0"/>
              <w:ind w:firstLine="482"/>
              <w:rPr>
                <w:rFonts w:ascii="仿宋_GB2312" w:eastAsia="仿宋_GB2312"/>
                <w:bCs/>
                <w:color w:val="auto"/>
                <w:sz w:val="24"/>
                <w:szCs w:val="28"/>
              </w:rPr>
            </w:pPr>
            <w:r>
              <w:rPr>
                <w:rFonts w:hint="eastAsia"/>
                <w:b/>
                <w:color w:val="auto"/>
                <w:sz w:val="24"/>
                <w:szCs w:val="32"/>
              </w:rPr>
              <w:t>国道G337河口至南栗元铺段</w:t>
            </w:r>
            <w:r>
              <w:rPr>
                <w:rFonts w:hint="eastAsia"/>
                <w:color w:val="auto"/>
                <w:sz w:val="24"/>
                <w:szCs w:val="32"/>
              </w:rPr>
              <w:t>。</w:t>
            </w:r>
            <w:r>
              <w:rPr>
                <w:rFonts w:hint="eastAsia"/>
                <w:color w:val="auto"/>
                <w:spacing w:val="-8"/>
                <w:sz w:val="24"/>
                <w:szCs w:val="32"/>
              </w:rPr>
              <w:t>长约15公里，二级公路，估算总投资6.5亿元。</w:t>
            </w:r>
          </w:p>
        </w:tc>
      </w:tr>
    </w:tbl>
    <w:p>
      <w:pPr>
        <w:pStyle w:val="4"/>
        <w:numPr>
          <w:ilvl w:val="0"/>
          <w:numId w:val="0"/>
        </w:numPr>
        <w:ind w:left="643"/>
        <w:rPr>
          <w:color w:val="auto"/>
        </w:rPr>
      </w:pPr>
      <w:r>
        <w:rPr>
          <w:rFonts w:hint="eastAsia"/>
          <w:color w:val="auto"/>
        </w:rPr>
        <w:t>三</w:t>
      </w:r>
      <w:r>
        <w:rPr>
          <w:color w:val="auto"/>
        </w:rPr>
        <w:t>、</w:t>
      </w:r>
      <w:r>
        <w:rPr>
          <w:rFonts w:hint="eastAsia"/>
          <w:color w:val="auto"/>
        </w:rPr>
        <w:t>提升运输服务水平</w:t>
      </w:r>
    </w:p>
    <w:p>
      <w:pPr>
        <w:ind w:firstLine="562"/>
        <w:rPr>
          <w:color w:val="auto"/>
        </w:rPr>
      </w:pPr>
      <w:r>
        <w:rPr>
          <w:rFonts w:hint="eastAsia"/>
          <w:b/>
          <w:color w:val="auto"/>
        </w:rPr>
        <w:t>加快客货场站建设</w:t>
      </w:r>
      <w:r>
        <w:rPr>
          <w:rFonts w:hint="eastAsia"/>
          <w:color w:val="auto"/>
        </w:rPr>
        <w:t>。结合高铁站建设，谋划建设综合客运枢纽，规划形成“一核多点”客运枢纽布局，实现高铁客运与公路客运、城市公交高效衔接。“一核”指阜平城区综合枢纽，包括主城区客运站、阜平高铁站及客运站，结合城乡客运班线公交化改造，加快推进老城区客运站改造；“多点”指12个乡镇各规划一个综合服务站，建设集城乡客运、公交、乡村物流等功能于一体的乡镇综合服务站。加快城乡客运一体化发展，推动县城公交向周边延伸，结合产业和旅游发展，逐步开发商务快车、精品班线、旅游包车等个性化运输模式。</w:t>
      </w:r>
    </w:p>
    <w:p>
      <w:pPr>
        <w:ind w:firstLine="562"/>
        <w:rPr>
          <w:color w:val="auto"/>
        </w:rPr>
      </w:pPr>
      <w:r>
        <w:rPr>
          <w:rFonts w:hint="eastAsia"/>
          <w:b/>
          <w:color w:val="auto"/>
        </w:rPr>
        <w:t>提高运输装备水平</w:t>
      </w:r>
      <w:r>
        <w:rPr>
          <w:rFonts w:hint="eastAsia"/>
          <w:color w:val="auto"/>
        </w:rPr>
        <w:t>。推动</w:t>
      </w:r>
      <w:r>
        <w:rPr>
          <w:color w:val="auto"/>
        </w:rPr>
        <w:t>车辆电动化、新能源化和清洁化发展，</w:t>
      </w:r>
      <w:r>
        <w:rPr>
          <w:rFonts w:hint="eastAsia"/>
          <w:color w:val="auto"/>
        </w:rPr>
        <w:t>鼓励发展适合农村客运的安全、实用、经济型客车，推进车辆标准化建设；在公共交通和</w:t>
      </w:r>
      <w:r>
        <w:rPr>
          <w:color w:val="auto"/>
        </w:rPr>
        <w:t>出租车</w:t>
      </w:r>
      <w:r>
        <w:rPr>
          <w:rFonts w:hint="eastAsia"/>
          <w:color w:val="auto"/>
        </w:rPr>
        <w:t>等领域加快推广混合动力、纯电动等清洁能源客车，新增公交车全部使用节能环保新能源或清洁燃料车辆；引导物流</w:t>
      </w:r>
      <w:r>
        <w:rPr>
          <w:color w:val="auto"/>
        </w:rPr>
        <w:t>配送</w:t>
      </w:r>
      <w:r>
        <w:rPr>
          <w:rFonts w:hint="eastAsia"/>
          <w:color w:val="auto"/>
        </w:rPr>
        <w:t>车辆向专业化、标准化和清洁化方向发展，加快更新老旧车辆，促进高效、节能运输车辆发展。</w:t>
      </w:r>
    </w:p>
    <w:p>
      <w:pPr>
        <w:pStyle w:val="3"/>
        <w:spacing w:before="204"/>
        <w:ind w:firstLine="560" w:firstLineChars="200"/>
        <w:rPr>
          <w:color w:val="auto"/>
          <w:szCs w:val="30"/>
        </w:rPr>
      </w:pPr>
      <w:bookmarkStart w:id="26" w:name="_Toc62244279"/>
      <w:r>
        <w:rPr>
          <w:color w:val="auto"/>
          <w:szCs w:val="30"/>
        </w:rPr>
        <w:t>第二节</w:t>
      </w:r>
      <w:r>
        <w:rPr>
          <w:rFonts w:hint="eastAsia"/>
          <w:color w:val="auto"/>
          <w:szCs w:val="30"/>
        </w:rPr>
        <w:t xml:space="preserve">  提升水资源</w:t>
      </w:r>
      <w:r>
        <w:rPr>
          <w:color w:val="auto"/>
          <w:szCs w:val="30"/>
        </w:rPr>
        <w:t>安全保障</w:t>
      </w:r>
      <w:r>
        <w:rPr>
          <w:rFonts w:hint="eastAsia"/>
          <w:color w:val="auto"/>
          <w:szCs w:val="30"/>
        </w:rPr>
        <w:t>能力</w:t>
      </w:r>
      <w:bookmarkEnd w:id="26"/>
    </w:p>
    <w:p>
      <w:pPr>
        <w:ind w:firstLine="560"/>
        <w:rPr>
          <w:color w:val="auto"/>
        </w:rPr>
      </w:pPr>
      <w:r>
        <w:rPr>
          <w:rFonts w:hint="eastAsia"/>
          <w:color w:val="auto"/>
        </w:rPr>
        <w:t>着力做好首都</w:t>
      </w:r>
      <w:r>
        <w:rPr>
          <w:color w:val="auto"/>
        </w:rPr>
        <w:t>重要备用水源地和白洋淀水源补给地的保护与建设，</w:t>
      </w:r>
      <w:r>
        <w:rPr>
          <w:rFonts w:hint="eastAsia"/>
          <w:color w:val="auto"/>
        </w:rPr>
        <w:t>全面提升水资源优化配置和水安全保障能力。</w:t>
      </w:r>
    </w:p>
    <w:p>
      <w:pPr>
        <w:pStyle w:val="4"/>
        <w:numPr>
          <w:ilvl w:val="0"/>
          <w:numId w:val="0"/>
        </w:numPr>
        <w:ind w:left="643"/>
        <w:rPr>
          <w:color w:val="auto"/>
        </w:rPr>
      </w:pPr>
      <w:r>
        <w:rPr>
          <w:rFonts w:hint="eastAsia"/>
          <w:color w:val="auto"/>
        </w:rPr>
        <w:t>一</w:t>
      </w:r>
      <w:r>
        <w:rPr>
          <w:color w:val="auto"/>
        </w:rPr>
        <w:t>、</w:t>
      </w:r>
      <w:r>
        <w:rPr>
          <w:rFonts w:hint="eastAsia"/>
          <w:color w:val="auto"/>
        </w:rPr>
        <w:t>补齐生态和</w:t>
      </w:r>
      <w:r>
        <w:rPr>
          <w:color w:val="auto"/>
        </w:rPr>
        <w:t>供水</w:t>
      </w:r>
      <w:r>
        <w:rPr>
          <w:rFonts w:hint="eastAsia"/>
          <w:color w:val="auto"/>
        </w:rPr>
        <w:t>短板</w:t>
      </w:r>
    </w:p>
    <w:p>
      <w:pPr>
        <w:ind w:firstLine="562"/>
        <w:rPr>
          <w:color w:val="auto"/>
        </w:rPr>
      </w:pPr>
      <w:r>
        <w:rPr>
          <w:rFonts w:hint="eastAsia"/>
          <w:b/>
          <w:color w:val="auto"/>
        </w:rPr>
        <w:t>重保护、促修复，补齐生态短板</w:t>
      </w:r>
      <w:r>
        <w:rPr>
          <w:rFonts w:hint="eastAsia"/>
          <w:color w:val="auto"/>
        </w:rPr>
        <w:t>。以水安全风险防控为底线，以“一核两廊多点”绿色生态水网为抓手，加快推进水生态文明建设。深化水土保持生态建设，持续</w:t>
      </w:r>
      <w:r>
        <w:rPr>
          <w:color w:val="auto"/>
        </w:rPr>
        <w:t>实施国家水土保持重点建设工程，</w:t>
      </w:r>
      <w:r>
        <w:rPr>
          <w:rFonts w:hint="eastAsia"/>
          <w:color w:val="auto"/>
        </w:rPr>
        <w:t>积极</w:t>
      </w:r>
      <w:r>
        <w:rPr>
          <w:color w:val="auto"/>
        </w:rPr>
        <w:t>开展生态清洁小流域建设工程，</w:t>
      </w:r>
      <w:r>
        <w:rPr>
          <w:rFonts w:hint="eastAsia"/>
          <w:color w:val="auto"/>
        </w:rPr>
        <w:t>实施</w:t>
      </w:r>
      <w:r>
        <w:rPr>
          <w:color w:val="auto"/>
        </w:rPr>
        <w:t>水源地保护工程，强化入河湖污染源综合治理，重点加强饮用水水源地保护，实现从源头到取水口的全过程保护</w:t>
      </w:r>
      <w:r>
        <w:rPr>
          <w:rFonts w:hint="eastAsia"/>
          <w:color w:val="auto"/>
        </w:rPr>
        <w:t>；加强河湖生态</w:t>
      </w:r>
      <w:r>
        <w:rPr>
          <w:color w:val="auto"/>
        </w:rPr>
        <w:t>保护与修复，</w:t>
      </w:r>
      <w:r>
        <w:rPr>
          <w:rFonts w:hint="eastAsia"/>
          <w:color w:val="auto"/>
        </w:rPr>
        <w:t>开展河道沿岸绿化造林和底泥清淤工程，强化区域协作，加大江河源头区、水源涵养区、生态敏感区保护力度，保证河流生态基流。加强水资源与产业融合发展，展示全县</w:t>
      </w:r>
      <w:r>
        <w:rPr>
          <w:color w:val="auto"/>
        </w:rPr>
        <w:t>水资源</w:t>
      </w:r>
      <w:r>
        <w:rPr>
          <w:rFonts w:hint="eastAsia"/>
          <w:color w:val="auto"/>
        </w:rPr>
        <w:t>独有的生态空间景观，深入挖掘大清河水系水文化资源，整合演绎阜平县红色旅游文化；实施水域岸线</w:t>
      </w:r>
      <w:r>
        <w:rPr>
          <w:color w:val="auto"/>
        </w:rPr>
        <w:t>并治，</w:t>
      </w:r>
      <w:r>
        <w:rPr>
          <w:rFonts w:hint="eastAsia"/>
          <w:color w:val="auto"/>
        </w:rPr>
        <w:t>积极推进“美丽乡村”“美丽河湖建设”，打造农村水系综合整治的河北地区示范样板。</w:t>
      </w:r>
    </w:p>
    <w:p>
      <w:pPr>
        <w:ind w:firstLine="562"/>
        <w:rPr>
          <w:color w:val="auto"/>
        </w:rPr>
      </w:pPr>
      <w:r>
        <w:rPr>
          <w:rFonts w:hint="eastAsia"/>
          <w:b/>
          <w:color w:val="auto"/>
        </w:rPr>
        <w:t>除隐患、重防御，补齐</w:t>
      </w:r>
      <w:r>
        <w:rPr>
          <w:b/>
          <w:color w:val="auto"/>
        </w:rPr>
        <w:t>防洪短板</w:t>
      </w:r>
      <w:r>
        <w:rPr>
          <w:rFonts w:hint="eastAsia"/>
          <w:color w:val="auto"/>
        </w:rPr>
        <w:t>。全面实施防汛水利提升工程，消除防洪工程安全隐患，开展防洪隐患排查和安全鉴定，推进河道堤防</w:t>
      </w:r>
      <w:r>
        <w:rPr>
          <w:color w:val="auto"/>
        </w:rPr>
        <w:t>险工险段治理</w:t>
      </w:r>
      <w:r>
        <w:rPr>
          <w:rFonts w:hint="eastAsia"/>
          <w:color w:val="auto"/>
        </w:rPr>
        <w:t>、病险水库水闸除险加固、塘坝除险加固及新建工程</w:t>
      </w:r>
      <w:r>
        <w:rPr>
          <w:color w:val="auto"/>
        </w:rPr>
        <w:t>。</w:t>
      </w:r>
      <w:r>
        <w:rPr>
          <w:rFonts w:hint="eastAsia"/>
          <w:color w:val="auto"/>
        </w:rPr>
        <w:t>加大中小河流治理力度，推进重点河段治理工程，加大全县6条</w:t>
      </w:r>
      <w:r>
        <w:rPr>
          <w:color w:val="auto"/>
        </w:rPr>
        <w:t>骨干河道治理力度</w:t>
      </w:r>
      <w:r>
        <w:rPr>
          <w:rFonts w:hint="eastAsia"/>
          <w:color w:val="auto"/>
        </w:rPr>
        <w:t>。提升</w:t>
      </w:r>
      <w:r>
        <w:rPr>
          <w:color w:val="auto"/>
        </w:rPr>
        <w:t>防洪防灾能力</w:t>
      </w:r>
      <w:r>
        <w:rPr>
          <w:rFonts w:hint="eastAsia"/>
          <w:color w:val="auto"/>
        </w:rPr>
        <w:t>，加强山洪灾害防治，优化</w:t>
      </w:r>
      <w:r>
        <w:rPr>
          <w:color w:val="auto"/>
        </w:rPr>
        <w:t>自动雨水情监测站网布局，提升监测预警</w:t>
      </w:r>
      <w:r>
        <w:rPr>
          <w:rFonts w:hint="eastAsia"/>
          <w:color w:val="auto"/>
        </w:rPr>
        <w:t>能力；开展</w:t>
      </w:r>
      <w:r>
        <w:rPr>
          <w:color w:val="auto"/>
        </w:rPr>
        <w:t>重点</w:t>
      </w:r>
      <w:r>
        <w:rPr>
          <w:rFonts w:hint="eastAsia"/>
          <w:color w:val="auto"/>
        </w:rPr>
        <w:t>地区</w:t>
      </w:r>
      <w:r>
        <w:rPr>
          <w:color w:val="auto"/>
        </w:rPr>
        <w:t>山洪沟防洪治理，</w:t>
      </w:r>
      <w:r>
        <w:rPr>
          <w:rFonts w:hint="eastAsia"/>
          <w:color w:val="auto"/>
        </w:rPr>
        <w:t>保障重点乡镇防洪安全；完善中心城区防洪圈建设，加快</w:t>
      </w:r>
      <w:r>
        <w:rPr>
          <w:color w:val="auto"/>
        </w:rPr>
        <w:t>建设中心城区西区、东区两个核心区域</w:t>
      </w:r>
      <w:r>
        <w:rPr>
          <w:rFonts w:hint="eastAsia"/>
          <w:color w:val="auto"/>
        </w:rPr>
        <w:t>的</w:t>
      </w:r>
      <w:r>
        <w:rPr>
          <w:color w:val="auto"/>
        </w:rPr>
        <w:t>防洪圈工程，</w:t>
      </w:r>
      <w:r>
        <w:rPr>
          <w:rFonts w:hint="eastAsia"/>
          <w:color w:val="auto"/>
        </w:rPr>
        <w:t>减轻</w:t>
      </w:r>
      <w:r>
        <w:rPr>
          <w:color w:val="auto"/>
        </w:rPr>
        <w:t>城区防洪压力</w:t>
      </w:r>
      <w:r>
        <w:rPr>
          <w:rFonts w:hint="eastAsia"/>
          <w:color w:val="auto"/>
        </w:rPr>
        <w:t>。</w:t>
      </w:r>
    </w:p>
    <w:p>
      <w:pPr>
        <w:ind w:firstLine="562"/>
        <w:rPr>
          <w:color w:val="auto"/>
        </w:rPr>
      </w:pPr>
      <w:r>
        <w:rPr>
          <w:rFonts w:hint="eastAsia"/>
          <w:b/>
          <w:color w:val="auto"/>
          <w:szCs w:val="30"/>
        </w:rPr>
        <w:t>丰水源、扩厂网，补齐供水</w:t>
      </w:r>
      <w:r>
        <w:rPr>
          <w:b/>
          <w:color w:val="auto"/>
          <w:szCs w:val="30"/>
        </w:rPr>
        <w:t>短板</w:t>
      </w:r>
      <w:r>
        <w:rPr>
          <w:rFonts w:hint="eastAsia"/>
          <w:color w:val="auto"/>
          <w:szCs w:val="30"/>
        </w:rPr>
        <w:t>。</w:t>
      </w:r>
      <w:r>
        <w:rPr>
          <w:rFonts w:hint="eastAsia"/>
          <w:color w:val="auto"/>
        </w:rPr>
        <w:t>按照“源、厂、网”一体化要求，构建</w:t>
      </w:r>
      <w:r>
        <w:rPr>
          <w:color w:val="auto"/>
        </w:rPr>
        <w:t>多水源保障网络</w:t>
      </w:r>
      <w:r>
        <w:rPr>
          <w:rFonts w:hint="eastAsia"/>
          <w:color w:val="auto"/>
        </w:rPr>
        <w:t>，抓紧</w:t>
      </w:r>
      <w:r>
        <w:rPr>
          <w:color w:val="auto"/>
        </w:rPr>
        <w:t>推进石槽沟水库、大湾水库</w:t>
      </w:r>
      <w:r>
        <w:rPr>
          <w:rFonts w:hint="eastAsia"/>
          <w:color w:val="auto"/>
        </w:rPr>
        <w:t>等</w:t>
      </w:r>
      <w:r>
        <w:rPr>
          <w:color w:val="auto"/>
        </w:rPr>
        <w:t>重点工程，</w:t>
      </w:r>
      <w:r>
        <w:rPr>
          <w:rFonts w:hint="eastAsia"/>
          <w:color w:val="auto"/>
        </w:rPr>
        <w:t>合理</w:t>
      </w:r>
      <w:r>
        <w:rPr>
          <w:color w:val="auto"/>
        </w:rPr>
        <w:t>开发利用沙河、县北河以及平阳河三大水系水资源</w:t>
      </w:r>
      <w:r>
        <w:rPr>
          <w:rFonts w:hint="eastAsia"/>
          <w:color w:val="auto"/>
        </w:rPr>
        <w:t>，</w:t>
      </w:r>
      <w:r>
        <w:rPr>
          <w:color w:val="auto"/>
        </w:rPr>
        <w:t>解决区域资源性缺水问题；</w:t>
      </w:r>
      <w:r>
        <w:rPr>
          <w:rFonts w:hint="eastAsia"/>
          <w:color w:val="auto"/>
        </w:rPr>
        <w:t>续建</w:t>
      </w:r>
      <w:r>
        <w:rPr>
          <w:color w:val="auto"/>
        </w:rPr>
        <w:t>新建一批中小型水库，</w:t>
      </w:r>
      <w:r>
        <w:rPr>
          <w:rFonts w:hint="eastAsia"/>
          <w:color w:val="auto"/>
        </w:rPr>
        <w:t>缓解工程性</w:t>
      </w:r>
      <w:r>
        <w:rPr>
          <w:color w:val="auto"/>
        </w:rPr>
        <w:t>缺水问题；</w:t>
      </w:r>
      <w:r>
        <w:rPr>
          <w:rFonts w:hint="eastAsia"/>
          <w:color w:val="auto"/>
        </w:rPr>
        <w:t>继续</w:t>
      </w:r>
      <w:r>
        <w:rPr>
          <w:color w:val="auto"/>
        </w:rPr>
        <w:t>加大县城和</w:t>
      </w:r>
      <w:r>
        <w:rPr>
          <w:rFonts w:hint="eastAsia"/>
          <w:color w:val="auto"/>
        </w:rPr>
        <w:t>园区</w:t>
      </w:r>
      <w:r>
        <w:rPr>
          <w:color w:val="auto"/>
        </w:rPr>
        <w:t>再生水利用设施建设</w:t>
      </w:r>
      <w:r>
        <w:rPr>
          <w:rFonts w:hint="eastAsia"/>
          <w:color w:val="auto"/>
        </w:rPr>
        <w:t>，</w:t>
      </w:r>
      <w:r>
        <w:rPr>
          <w:color w:val="auto"/>
        </w:rPr>
        <w:t>结合海绵城市建设</w:t>
      </w:r>
      <w:r>
        <w:rPr>
          <w:rFonts w:hint="eastAsia"/>
          <w:color w:val="auto"/>
        </w:rPr>
        <w:t>提高</w:t>
      </w:r>
      <w:r>
        <w:rPr>
          <w:color w:val="auto"/>
        </w:rPr>
        <w:t>水资源利用率及污水再生回用</w:t>
      </w:r>
      <w:r>
        <w:rPr>
          <w:rFonts w:hint="eastAsia"/>
          <w:color w:val="auto"/>
        </w:rPr>
        <w:t>率，推进</w:t>
      </w:r>
      <w:r>
        <w:rPr>
          <w:color w:val="auto"/>
        </w:rPr>
        <w:t>非常规水源建设</w:t>
      </w:r>
      <w:r>
        <w:rPr>
          <w:rFonts w:hint="eastAsia"/>
          <w:color w:val="auto"/>
        </w:rPr>
        <w:t>。构建完善</w:t>
      </w:r>
      <w:r>
        <w:rPr>
          <w:color w:val="auto"/>
        </w:rPr>
        <w:t>城乡厂网体系</w:t>
      </w:r>
      <w:r>
        <w:rPr>
          <w:rFonts w:hint="eastAsia"/>
          <w:color w:val="auto"/>
        </w:rPr>
        <w:t>，按照“分区分质供水”要求</w:t>
      </w:r>
      <w:r>
        <w:rPr>
          <w:color w:val="auto"/>
        </w:rPr>
        <w:t>，</w:t>
      </w:r>
      <w:r>
        <w:rPr>
          <w:rFonts w:hint="eastAsia"/>
          <w:color w:val="auto"/>
        </w:rPr>
        <w:t>扩建</w:t>
      </w:r>
      <w:r>
        <w:rPr>
          <w:color w:val="auto"/>
        </w:rPr>
        <w:t>、</w:t>
      </w:r>
      <w:r>
        <w:rPr>
          <w:rFonts w:hint="eastAsia"/>
          <w:color w:val="auto"/>
        </w:rPr>
        <w:t>整合</w:t>
      </w:r>
      <w:r>
        <w:rPr>
          <w:color w:val="auto"/>
        </w:rPr>
        <w:t>、新建一批标准水厂，凸显供水规模效应</w:t>
      </w:r>
      <w:r>
        <w:rPr>
          <w:rFonts w:hint="eastAsia"/>
          <w:color w:val="auto"/>
        </w:rPr>
        <w:t>；持续推进农村饮水安全巩固提升工程，以</w:t>
      </w:r>
      <w:r>
        <w:rPr>
          <w:color w:val="auto"/>
        </w:rPr>
        <w:t>千吨万人供水工程和千人供水工程为主、千人</w:t>
      </w:r>
      <w:r>
        <w:rPr>
          <w:rFonts w:hint="eastAsia"/>
          <w:color w:val="auto"/>
        </w:rPr>
        <w:t>以下</w:t>
      </w:r>
      <w:r>
        <w:rPr>
          <w:color w:val="auto"/>
        </w:rPr>
        <w:t>集中及分散供水工程为辅，确保农村饮水安全全面达标</w:t>
      </w:r>
      <w:r>
        <w:rPr>
          <w:rFonts w:hint="eastAsia"/>
          <w:color w:val="auto"/>
        </w:rPr>
        <w:t>，到2025年</w:t>
      </w:r>
      <w:r>
        <w:rPr>
          <w:color w:val="auto"/>
        </w:rPr>
        <w:t>，</w:t>
      </w:r>
      <w:r>
        <w:rPr>
          <w:rFonts w:hint="eastAsia"/>
          <w:color w:val="auto"/>
        </w:rPr>
        <w:t>在保证质量和安全前提下，集中供水率达99%以上。积极防范县域供水风险，合理确定城镇应急备用水源方案，加快推进</w:t>
      </w:r>
      <w:r>
        <w:rPr>
          <w:color w:val="auto"/>
        </w:rPr>
        <w:t>应急备用</w:t>
      </w:r>
      <w:r>
        <w:rPr>
          <w:rFonts w:hint="eastAsia"/>
          <w:color w:val="auto"/>
        </w:rPr>
        <w:t>水源建设；落实最严格水资源管理制度，抓好重要饮用水水源地安全保障达标建设；围绕高街大桥、中兴街、太行大桥、北环路、白云东街、三关庙北街、环山路东西段，</w:t>
      </w:r>
      <w:r>
        <w:rPr>
          <w:color w:val="auto"/>
        </w:rPr>
        <w:t>加速实施县城供水</w:t>
      </w:r>
      <w:r>
        <w:rPr>
          <w:rFonts w:hint="eastAsia"/>
          <w:color w:val="auto"/>
        </w:rPr>
        <w:t>承载</w:t>
      </w:r>
      <w:r>
        <w:rPr>
          <w:color w:val="auto"/>
        </w:rPr>
        <w:t>能力提升工程</w:t>
      </w:r>
      <w:r>
        <w:rPr>
          <w:rFonts w:hint="eastAsia"/>
          <w:color w:val="auto"/>
        </w:rPr>
        <w:t>，到2025年，基本实现城镇供水双水源保障，稳步提高城镇供水能力和应急供水能力。</w:t>
      </w:r>
    </w:p>
    <w:p>
      <w:pPr>
        <w:pStyle w:val="4"/>
        <w:numPr>
          <w:ilvl w:val="0"/>
          <w:numId w:val="0"/>
        </w:numPr>
        <w:ind w:left="643"/>
        <w:rPr>
          <w:color w:val="auto"/>
        </w:rPr>
      </w:pPr>
      <w:r>
        <w:rPr>
          <w:rFonts w:hint="eastAsia"/>
          <w:color w:val="auto"/>
        </w:rPr>
        <w:t>二</w:t>
      </w:r>
      <w:r>
        <w:rPr>
          <w:color w:val="auto"/>
        </w:rPr>
        <w:t>、</w:t>
      </w:r>
      <w:r>
        <w:rPr>
          <w:rFonts w:hint="eastAsia"/>
          <w:color w:val="auto"/>
        </w:rPr>
        <w:t>系统</w:t>
      </w:r>
      <w:r>
        <w:rPr>
          <w:color w:val="auto"/>
        </w:rPr>
        <w:t>建设节水型社会</w:t>
      </w:r>
    </w:p>
    <w:p>
      <w:pPr>
        <w:ind w:firstLine="562"/>
        <w:rPr>
          <w:color w:val="auto"/>
        </w:rPr>
      </w:pPr>
      <w:r>
        <w:rPr>
          <w:rFonts w:hint="eastAsia"/>
          <w:b/>
          <w:color w:val="auto"/>
        </w:rPr>
        <w:t>强化农业节水增效</w:t>
      </w:r>
      <w:r>
        <w:rPr>
          <w:rFonts w:hint="eastAsia"/>
          <w:color w:val="auto"/>
        </w:rPr>
        <w:t>。调整</w:t>
      </w:r>
      <w:r>
        <w:rPr>
          <w:color w:val="auto"/>
        </w:rPr>
        <w:t>农业种植结构，</w:t>
      </w:r>
      <w:r>
        <w:rPr>
          <w:rFonts w:hint="eastAsia"/>
          <w:color w:val="auto"/>
        </w:rPr>
        <w:t>推动</w:t>
      </w:r>
      <w:r>
        <w:rPr>
          <w:color w:val="auto"/>
        </w:rPr>
        <w:t>农业用水精细化管理，加快推进灌区节水工程建设，</w:t>
      </w:r>
      <w:r>
        <w:rPr>
          <w:rFonts w:hint="eastAsia"/>
          <w:color w:val="auto"/>
        </w:rPr>
        <w:t>力争实现重要中型灌区和部分一般中型灌区续建配套与节水改造，逐步开展农田水利现代化工程。</w:t>
      </w:r>
    </w:p>
    <w:p>
      <w:pPr>
        <w:ind w:firstLine="562"/>
        <w:rPr>
          <w:color w:val="auto"/>
        </w:rPr>
      </w:pPr>
      <w:r>
        <w:rPr>
          <w:rFonts w:hint="eastAsia"/>
          <w:b/>
          <w:color w:val="auto"/>
        </w:rPr>
        <w:t>加强工业节水减排</w:t>
      </w:r>
      <w:r>
        <w:rPr>
          <w:rFonts w:hint="eastAsia"/>
          <w:color w:val="auto"/>
        </w:rPr>
        <w:t>。优化产业结构和布局，建立高耗水行业负面清单，严控新建扩建高耗水项目，重点抓好高耗水行业技改工程；加快构筑以生物医药、新能源、新材料、现代物流等新兴节水产业体系；推动工业企业向园区集中，建设节水型企业和节水型工业园区。</w:t>
      </w:r>
    </w:p>
    <w:p>
      <w:pPr>
        <w:ind w:firstLine="562"/>
        <w:rPr>
          <w:rFonts w:ascii="Times New Roman" w:hAnsi="Times New Roman" w:eastAsia="仿宋_GB2312"/>
          <w:color w:val="auto"/>
        </w:rPr>
      </w:pPr>
      <w:r>
        <w:rPr>
          <w:rFonts w:hint="eastAsia"/>
          <w:b/>
          <w:color w:val="auto"/>
        </w:rPr>
        <w:t>深化城镇节水降损</w:t>
      </w:r>
      <w:r>
        <w:rPr>
          <w:rFonts w:hint="eastAsia"/>
          <w:color w:val="auto"/>
        </w:rPr>
        <w:t>。加强供水管网更新改造，有效降低漏损率；推进城镇节水载体创建，不断扩大节水载体覆盖面，发挥示范带头作用；强化计划用水管理，实现城镇居民用水“一户一表”全覆盖，加快完善主城以外区域阶梯水价政策。加强</w:t>
      </w:r>
      <w:r>
        <w:rPr>
          <w:color w:val="auto"/>
        </w:rPr>
        <w:t>节水宣传教育，建设节水科普教育基地，建立常态化宣传机制，提高民众整体节水意识</w:t>
      </w:r>
      <w:r>
        <w:rPr>
          <w:rFonts w:hint="eastAsia"/>
          <w:color w:val="auto"/>
        </w:rPr>
        <w:t>。到2025年</w:t>
      </w:r>
      <w:r>
        <w:rPr>
          <w:color w:val="auto"/>
        </w:rPr>
        <w:t>，以水定需、量水而行的水资源承载能力倒逼机制基本形成，在全省率先建成新时代节水型城市。</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6-3 </w:t>
            </w:r>
            <w:r>
              <w:rPr>
                <w:rFonts w:hint="eastAsia" w:ascii="黑体" w:hAnsi="黑体" w:eastAsia="黑体"/>
                <w:color w:val="auto"/>
                <w:sz w:val="24"/>
                <w:szCs w:val="28"/>
              </w:rPr>
              <w:t>县域水资源</w:t>
            </w:r>
            <w:r>
              <w:rPr>
                <w:rFonts w:ascii="黑体" w:hAnsi="黑体" w:eastAsia="黑体"/>
                <w:color w:val="auto"/>
                <w:sz w:val="24"/>
                <w:szCs w:val="28"/>
              </w:rPr>
              <w:t>安全保障</w:t>
            </w:r>
            <w:r>
              <w:rPr>
                <w:rFonts w:hint="eastAsia" w:ascii="黑体" w:hAnsi="黑体" w:eastAsia="黑体"/>
                <w:color w:val="auto"/>
                <w:sz w:val="24"/>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b/>
                <w:color w:val="auto"/>
                <w:sz w:val="24"/>
                <w:szCs w:val="28"/>
              </w:rPr>
            </w:pPr>
            <w:r>
              <w:rPr>
                <w:rFonts w:hint="eastAsia"/>
                <w:b/>
                <w:color w:val="auto"/>
                <w:sz w:val="24"/>
                <w:szCs w:val="28"/>
              </w:rPr>
              <w:t>1.重点</w:t>
            </w:r>
            <w:r>
              <w:rPr>
                <w:b/>
                <w:color w:val="auto"/>
                <w:sz w:val="24"/>
                <w:szCs w:val="28"/>
              </w:rPr>
              <w:t>水源建设工程</w:t>
            </w:r>
          </w:p>
          <w:p>
            <w:pPr>
              <w:adjustRightInd w:val="0"/>
              <w:snapToGrid w:val="0"/>
              <w:ind w:firstLine="482"/>
              <w:rPr>
                <w:color w:val="auto"/>
                <w:sz w:val="24"/>
                <w:szCs w:val="28"/>
              </w:rPr>
            </w:pPr>
            <w:r>
              <w:rPr>
                <w:rFonts w:hint="eastAsia"/>
                <w:b/>
                <w:color w:val="auto"/>
                <w:sz w:val="24"/>
                <w:szCs w:val="28"/>
              </w:rPr>
              <w:t>石漕沟水库枢纽工程</w:t>
            </w:r>
            <w:r>
              <w:rPr>
                <w:rFonts w:hint="eastAsia"/>
                <w:color w:val="auto"/>
                <w:sz w:val="24"/>
                <w:szCs w:val="28"/>
              </w:rPr>
              <w:t>。工程等别为III等，工程规模为中型，包括引水工程、石漕沟水库和供水工程。项目估算总投资</w:t>
            </w:r>
            <w:r>
              <w:rPr>
                <w:color w:val="auto"/>
                <w:sz w:val="24"/>
                <w:szCs w:val="28"/>
              </w:rPr>
              <w:t>13.16</w:t>
            </w:r>
            <w:r>
              <w:rPr>
                <w:rFonts w:hint="eastAsia"/>
                <w:color w:val="auto"/>
                <w:sz w:val="24"/>
                <w:szCs w:val="28"/>
              </w:rPr>
              <w:t>亿元。</w:t>
            </w:r>
          </w:p>
          <w:p>
            <w:pPr>
              <w:adjustRightInd w:val="0"/>
              <w:snapToGrid w:val="0"/>
              <w:ind w:firstLine="482"/>
              <w:rPr>
                <w:color w:val="auto"/>
                <w:sz w:val="24"/>
                <w:szCs w:val="28"/>
              </w:rPr>
            </w:pPr>
            <w:r>
              <w:rPr>
                <w:rFonts w:hint="eastAsia"/>
                <w:b/>
                <w:color w:val="auto"/>
                <w:sz w:val="24"/>
                <w:szCs w:val="28"/>
              </w:rPr>
              <w:t>大湾水利枢纽工程</w:t>
            </w:r>
            <w:r>
              <w:rPr>
                <w:rFonts w:hint="eastAsia"/>
                <w:color w:val="auto"/>
                <w:sz w:val="24"/>
                <w:szCs w:val="28"/>
              </w:rPr>
              <w:t>。工程等别为Ⅳ等工程，工程规模为小（1）型，包括大湾水库工程和供水工程。项目估算总投资</w:t>
            </w:r>
            <w:r>
              <w:rPr>
                <w:color w:val="auto"/>
                <w:sz w:val="24"/>
                <w:szCs w:val="28"/>
              </w:rPr>
              <w:t>1.86</w:t>
            </w:r>
            <w:r>
              <w:rPr>
                <w:rFonts w:hint="eastAsia"/>
                <w:color w:val="auto"/>
                <w:sz w:val="24"/>
                <w:szCs w:val="28"/>
              </w:rPr>
              <w:t>亿元。</w:t>
            </w:r>
          </w:p>
          <w:p>
            <w:pPr>
              <w:adjustRightInd w:val="0"/>
              <w:snapToGrid w:val="0"/>
              <w:ind w:firstLine="482"/>
              <w:rPr>
                <w:color w:val="auto"/>
                <w:sz w:val="24"/>
                <w:szCs w:val="28"/>
              </w:rPr>
            </w:pPr>
            <w:r>
              <w:rPr>
                <w:rFonts w:hint="eastAsia"/>
                <w:b/>
                <w:color w:val="auto"/>
                <w:sz w:val="24"/>
                <w:szCs w:val="28"/>
              </w:rPr>
              <w:t>新建水库工程</w:t>
            </w:r>
            <w:r>
              <w:rPr>
                <w:color w:val="auto"/>
                <w:sz w:val="24"/>
                <w:szCs w:val="28"/>
              </w:rPr>
              <w:t>。</w:t>
            </w:r>
            <w:r>
              <w:rPr>
                <w:rFonts w:hint="eastAsia"/>
                <w:color w:val="auto"/>
                <w:sz w:val="24"/>
                <w:szCs w:val="28"/>
              </w:rPr>
              <w:t>新建石槽沟、大湾、罗家庄及枣园水库。项目</w:t>
            </w:r>
            <w:r>
              <w:rPr>
                <w:color w:val="auto"/>
                <w:sz w:val="24"/>
                <w:szCs w:val="28"/>
              </w:rPr>
              <w:t>估算总投资</w:t>
            </w:r>
            <w:r>
              <w:rPr>
                <w:rFonts w:hint="eastAsia"/>
                <w:color w:val="auto"/>
                <w:sz w:val="24"/>
                <w:szCs w:val="28"/>
              </w:rPr>
              <w:t>15.2亿元</w:t>
            </w:r>
            <w:r>
              <w:rPr>
                <w:color w:val="auto"/>
                <w:sz w:val="24"/>
                <w:szCs w:val="28"/>
              </w:rPr>
              <w:t>。</w:t>
            </w:r>
          </w:p>
          <w:p>
            <w:pPr>
              <w:adjustRightInd w:val="0"/>
              <w:snapToGrid w:val="0"/>
              <w:ind w:firstLine="482"/>
              <w:rPr>
                <w:b/>
                <w:color w:val="auto"/>
                <w:sz w:val="24"/>
                <w:szCs w:val="28"/>
              </w:rPr>
            </w:pPr>
            <w:r>
              <w:rPr>
                <w:rFonts w:hint="eastAsia"/>
                <w:b/>
                <w:color w:val="auto"/>
                <w:sz w:val="24"/>
                <w:szCs w:val="28"/>
              </w:rPr>
              <w:t>2.中小</w:t>
            </w:r>
            <w:r>
              <w:rPr>
                <w:b/>
                <w:color w:val="auto"/>
                <w:sz w:val="24"/>
                <w:szCs w:val="28"/>
              </w:rPr>
              <w:t>河流治理工程</w:t>
            </w:r>
          </w:p>
          <w:p>
            <w:pPr>
              <w:adjustRightInd w:val="0"/>
              <w:snapToGrid w:val="0"/>
              <w:ind w:firstLine="480"/>
              <w:rPr>
                <w:color w:val="auto"/>
                <w:sz w:val="24"/>
                <w:szCs w:val="28"/>
              </w:rPr>
            </w:pPr>
            <w:r>
              <w:rPr>
                <w:rFonts w:hint="eastAsia"/>
                <w:color w:val="auto"/>
                <w:sz w:val="24"/>
                <w:szCs w:val="28"/>
              </w:rPr>
              <w:t>对沙河、平阳河、板峪河、鹞子河、北流河、胭脂河共215.5千米河道进行综合治理，主要工程措施为河道疏浚、堤防、护坡及护岸、滚水坝、景观工程、水生态修复工程等。项目估算总</w:t>
            </w:r>
            <w:r>
              <w:rPr>
                <w:color w:val="auto"/>
                <w:sz w:val="24"/>
                <w:szCs w:val="28"/>
              </w:rPr>
              <w:t>投资19.7</w:t>
            </w:r>
            <w:r>
              <w:rPr>
                <w:rFonts w:hint="eastAsia"/>
                <w:color w:val="auto"/>
                <w:sz w:val="24"/>
                <w:szCs w:val="28"/>
              </w:rPr>
              <w:t>亿元。</w:t>
            </w:r>
          </w:p>
          <w:p>
            <w:pPr>
              <w:adjustRightInd w:val="0"/>
              <w:snapToGrid w:val="0"/>
              <w:ind w:firstLine="482"/>
              <w:rPr>
                <w:b/>
                <w:color w:val="auto"/>
                <w:sz w:val="24"/>
                <w:szCs w:val="28"/>
              </w:rPr>
            </w:pPr>
            <w:r>
              <w:rPr>
                <w:rFonts w:hint="eastAsia"/>
                <w:b/>
                <w:color w:val="auto"/>
                <w:sz w:val="24"/>
                <w:szCs w:val="28"/>
              </w:rPr>
              <w:t>3.河湖生态</w:t>
            </w:r>
            <w:r>
              <w:rPr>
                <w:b/>
                <w:color w:val="auto"/>
                <w:sz w:val="24"/>
                <w:szCs w:val="28"/>
              </w:rPr>
              <w:t>保护与修复工程</w:t>
            </w:r>
          </w:p>
          <w:p>
            <w:pPr>
              <w:adjustRightInd w:val="0"/>
              <w:snapToGrid w:val="0"/>
              <w:ind w:firstLine="480"/>
              <w:rPr>
                <w:color w:val="auto"/>
                <w:sz w:val="24"/>
                <w:szCs w:val="28"/>
              </w:rPr>
            </w:pPr>
            <w:r>
              <w:rPr>
                <w:rFonts w:hint="eastAsia"/>
                <w:color w:val="auto"/>
                <w:sz w:val="24"/>
                <w:szCs w:val="28"/>
              </w:rPr>
              <w:t>对平阳河及王快水库周边进行生态保护与修复工程，实施</w:t>
            </w:r>
            <w:r>
              <w:rPr>
                <w:color w:val="auto"/>
                <w:sz w:val="24"/>
                <w:szCs w:val="28"/>
              </w:rPr>
              <w:t>滨河生态缓冲带</w:t>
            </w:r>
            <w:r>
              <w:rPr>
                <w:rFonts w:hint="eastAsia"/>
                <w:color w:val="auto"/>
                <w:sz w:val="24"/>
                <w:szCs w:val="28"/>
              </w:rPr>
              <w:t>10千米、</w:t>
            </w:r>
            <w:r>
              <w:rPr>
                <w:color w:val="auto"/>
                <w:sz w:val="24"/>
                <w:szCs w:val="28"/>
              </w:rPr>
              <w:t>水库生态缓冲带</w:t>
            </w:r>
            <w:r>
              <w:rPr>
                <w:rFonts w:hint="eastAsia"/>
                <w:color w:val="auto"/>
                <w:sz w:val="24"/>
                <w:szCs w:val="28"/>
              </w:rPr>
              <w:t>180亩。项目</w:t>
            </w:r>
            <w:r>
              <w:rPr>
                <w:color w:val="auto"/>
                <w:sz w:val="24"/>
                <w:szCs w:val="28"/>
              </w:rPr>
              <w:t>估算总投资</w:t>
            </w:r>
            <w:r>
              <w:rPr>
                <w:rFonts w:hint="eastAsia"/>
                <w:color w:val="auto"/>
                <w:sz w:val="24"/>
                <w:szCs w:val="28"/>
              </w:rPr>
              <w:t>5亿元</w:t>
            </w:r>
            <w:r>
              <w:rPr>
                <w:color w:val="auto"/>
                <w:sz w:val="24"/>
                <w:szCs w:val="28"/>
              </w:rPr>
              <w:t>。</w:t>
            </w:r>
          </w:p>
          <w:p>
            <w:pPr>
              <w:adjustRightInd w:val="0"/>
              <w:snapToGrid w:val="0"/>
              <w:ind w:firstLine="482"/>
              <w:rPr>
                <w:b/>
                <w:color w:val="auto"/>
                <w:sz w:val="24"/>
                <w:szCs w:val="28"/>
              </w:rPr>
            </w:pPr>
            <w:r>
              <w:rPr>
                <w:rFonts w:hint="eastAsia"/>
                <w:b/>
                <w:color w:val="auto"/>
                <w:sz w:val="24"/>
                <w:szCs w:val="28"/>
              </w:rPr>
              <w:t>4.市政管网建设工程</w:t>
            </w:r>
          </w:p>
          <w:p>
            <w:pPr>
              <w:adjustRightInd w:val="0"/>
              <w:snapToGrid w:val="0"/>
              <w:ind w:firstLine="482"/>
              <w:rPr>
                <w:color w:val="auto"/>
                <w:sz w:val="24"/>
                <w:szCs w:val="28"/>
              </w:rPr>
            </w:pPr>
            <w:r>
              <w:rPr>
                <w:rFonts w:hint="eastAsia"/>
                <w:b/>
                <w:color w:val="auto"/>
                <w:sz w:val="24"/>
                <w:szCs w:val="28"/>
              </w:rPr>
              <w:t>县城承载能力提升（供水）工程</w:t>
            </w:r>
            <w:r>
              <w:rPr>
                <w:rFonts w:hint="eastAsia"/>
                <w:color w:val="auto"/>
                <w:sz w:val="24"/>
                <w:szCs w:val="28"/>
              </w:rPr>
              <w:t>。主要建设高街大桥、中兴街、太行大桥、北环路、白云东街、三关庙北街、环山路东、西段供水管网11210米、给水增压泵站3座，改造老城区管网129067米、智能水表5415块，同时配套阀门管件及水表井。项目估算总投资1</w:t>
            </w:r>
            <w:r>
              <w:rPr>
                <w:color w:val="auto"/>
                <w:sz w:val="24"/>
                <w:szCs w:val="28"/>
              </w:rPr>
              <w:t>.</w:t>
            </w:r>
            <w:r>
              <w:rPr>
                <w:rFonts w:hint="eastAsia"/>
                <w:color w:val="auto"/>
                <w:sz w:val="24"/>
                <w:szCs w:val="28"/>
              </w:rPr>
              <w:t>015亿元。</w:t>
            </w:r>
          </w:p>
          <w:p>
            <w:pPr>
              <w:adjustRightInd w:val="0"/>
              <w:snapToGrid w:val="0"/>
              <w:ind w:firstLine="482"/>
              <w:rPr>
                <w:color w:val="auto"/>
                <w:sz w:val="24"/>
                <w:szCs w:val="28"/>
              </w:rPr>
            </w:pPr>
            <w:r>
              <w:rPr>
                <w:rFonts w:hint="eastAsia"/>
                <w:b/>
                <w:color w:val="auto"/>
                <w:sz w:val="24"/>
                <w:szCs w:val="28"/>
              </w:rPr>
              <w:t>阜平县城区管网建设工程</w:t>
            </w:r>
            <w:r>
              <w:rPr>
                <w:rFonts w:hint="eastAsia"/>
                <w:color w:val="auto"/>
                <w:sz w:val="24"/>
                <w:szCs w:val="28"/>
              </w:rPr>
              <w:t>。建设污水管网配套管线8945米，供热管网新建热力管网5900米。项目估算总投资0.749亿元。</w:t>
            </w:r>
          </w:p>
          <w:p>
            <w:pPr>
              <w:adjustRightInd w:val="0"/>
              <w:snapToGrid w:val="0"/>
              <w:ind w:firstLine="482"/>
              <w:rPr>
                <w:b/>
                <w:color w:val="auto"/>
                <w:sz w:val="24"/>
                <w:szCs w:val="28"/>
              </w:rPr>
            </w:pPr>
            <w:r>
              <w:rPr>
                <w:b/>
                <w:color w:val="auto"/>
                <w:sz w:val="24"/>
                <w:szCs w:val="28"/>
              </w:rPr>
              <w:t>5.</w:t>
            </w:r>
            <w:r>
              <w:rPr>
                <w:rFonts w:hint="eastAsia"/>
                <w:b/>
                <w:color w:val="auto"/>
                <w:sz w:val="24"/>
                <w:szCs w:val="28"/>
              </w:rPr>
              <w:t>再生水利用工程</w:t>
            </w:r>
          </w:p>
          <w:p>
            <w:pPr>
              <w:adjustRightInd w:val="0"/>
              <w:snapToGrid w:val="0"/>
              <w:ind w:firstLine="480"/>
              <w:rPr>
                <w:color w:val="auto"/>
                <w:sz w:val="24"/>
                <w:szCs w:val="28"/>
              </w:rPr>
            </w:pPr>
            <w:r>
              <w:rPr>
                <w:rFonts w:hint="eastAsia"/>
                <w:color w:val="auto"/>
                <w:sz w:val="24"/>
                <w:szCs w:val="28"/>
              </w:rPr>
              <w:t>新建处理规模为1.25万吨/日的中水净化设施一处，容量2000</w:t>
            </w:r>
            <w:r>
              <w:rPr>
                <w:color w:val="auto"/>
                <w:sz w:val="24"/>
                <w:szCs w:val="28"/>
              </w:rPr>
              <w:t>m</w:t>
            </w:r>
            <w:r>
              <w:rPr>
                <w:rFonts w:ascii="Calibri" w:hAnsi="Calibri" w:cs="Calibri"/>
                <w:color w:val="auto"/>
                <w:sz w:val="24"/>
                <w:szCs w:val="28"/>
              </w:rPr>
              <w:t>³</w:t>
            </w:r>
            <w:r>
              <w:rPr>
                <w:rFonts w:hint="eastAsia"/>
                <w:color w:val="auto"/>
                <w:sz w:val="24"/>
                <w:szCs w:val="28"/>
              </w:rPr>
              <w:t>高位水池一座，铺设21.75千米的再生水管道及配套设施建设。估算总投资1</w:t>
            </w:r>
            <w:r>
              <w:rPr>
                <w:color w:val="auto"/>
                <w:sz w:val="24"/>
                <w:szCs w:val="28"/>
              </w:rPr>
              <w:t>.</w:t>
            </w:r>
            <w:r>
              <w:rPr>
                <w:rFonts w:hint="eastAsia"/>
                <w:color w:val="auto"/>
                <w:sz w:val="24"/>
                <w:szCs w:val="28"/>
              </w:rPr>
              <w:t>415亿元。</w:t>
            </w:r>
          </w:p>
          <w:p>
            <w:pPr>
              <w:adjustRightInd w:val="0"/>
              <w:snapToGrid w:val="0"/>
              <w:ind w:firstLine="482"/>
              <w:rPr>
                <w:b/>
                <w:color w:val="auto"/>
                <w:sz w:val="24"/>
                <w:szCs w:val="28"/>
              </w:rPr>
            </w:pPr>
            <w:r>
              <w:rPr>
                <w:b/>
                <w:color w:val="auto"/>
                <w:sz w:val="24"/>
                <w:szCs w:val="28"/>
              </w:rPr>
              <w:t>6</w:t>
            </w:r>
            <w:r>
              <w:rPr>
                <w:rFonts w:hint="eastAsia"/>
                <w:b/>
                <w:color w:val="auto"/>
                <w:sz w:val="24"/>
                <w:szCs w:val="28"/>
              </w:rPr>
              <w:t>.农村</w:t>
            </w:r>
            <w:r>
              <w:rPr>
                <w:b/>
                <w:color w:val="auto"/>
                <w:sz w:val="24"/>
                <w:szCs w:val="28"/>
              </w:rPr>
              <w:t>饮用水提质增效工程</w:t>
            </w:r>
          </w:p>
          <w:p>
            <w:pPr>
              <w:adjustRightInd w:val="0"/>
              <w:snapToGrid w:val="0"/>
              <w:ind w:firstLine="480"/>
              <w:rPr>
                <w:rFonts w:ascii="仿宋_GB2312" w:eastAsia="仿宋_GB2312"/>
                <w:bCs/>
                <w:color w:val="auto"/>
                <w:sz w:val="24"/>
                <w:szCs w:val="28"/>
              </w:rPr>
            </w:pPr>
            <w:r>
              <w:rPr>
                <w:rFonts w:hint="eastAsia"/>
                <w:color w:val="auto"/>
                <w:sz w:val="24"/>
                <w:szCs w:val="28"/>
              </w:rPr>
              <w:t>在全县13个乡镇建设集中式地下水井供水工程，并配套建设蓄水池和供水管网。项目</w:t>
            </w:r>
            <w:r>
              <w:rPr>
                <w:color w:val="auto"/>
                <w:sz w:val="24"/>
                <w:szCs w:val="28"/>
              </w:rPr>
              <w:t>估算总投资</w:t>
            </w:r>
            <w:r>
              <w:rPr>
                <w:rFonts w:hint="eastAsia"/>
                <w:color w:val="auto"/>
                <w:sz w:val="24"/>
                <w:szCs w:val="28"/>
              </w:rPr>
              <w:t>0.889亿元</w:t>
            </w:r>
            <w:r>
              <w:rPr>
                <w:color w:val="auto"/>
                <w:sz w:val="24"/>
                <w:szCs w:val="28"/>
              </w:rPr>
              <w:t>。</w:t>
            </w:r>
          </w:p>
        </w:tc>
      </w:tr>
    </w:tbl>
    <w:p>
      <w:pPr>
        <w:pStyle w:val="3"/>
        <w:spacing w:before="204"/>
        <w:ind w:firstLine="560" w:firstLineChars="200"/>
        <w:rPr>
          <w:color w:val="auto"/>
          <w:szCs w:val="30"/>
        </w:rPr>
      </w:pPr>
      <w:bookmarkStart w:id="27" w:name="_Toc62244280"/>
      <w:r>
        <w:rPr>
          <w:rFonts w:hint="eastAsia"/>
          <w:color w:val="auto"/>
          <w:szCs w:val="30"/>
        </w:rPr>
        <w:t>第三节  加强绿色高效能源供给</w:t>
      </w:r>
      <w:r>
        <w:rPr>
          <w:color w:val="auto"/>
          <w:szCs w:val="30"/>
        </w:rPr>
        <w:t>能力</w:t>
      </w:r>
      <w:bookmarkEnd w:id="27"/>
    </w:p>
    <w:p>
      <w:pPr>
        <w:ind w:firstLine="560"/>
        <w:rPr>
          <w:color w:val="auto"/>
        </w:rPr>
      </w:pPr>
      <w:r>
        <w:rPr>
          <w:rFonts w:hint="eastAsia"/>
          <w:color w:val="auto"/>
        </w:rPr>
        <w:t>强化电力、天然气、新能源输配网络建设，加快构建</w:t>
      </w:r>
      <w:r>
        <w:rPr>
          <w:color w:val="auto"/>
        </w:rPr>
        <w:t>坚强可靠、清洁高效的能源基础设施体系，</w:t>
      </w:r>
      <w:r>
        <w:rPr>
          <w:rFonts w:hint="eastAsia"/>
          <w:color w:val="auto"/>
        </w:rPr>
        <w:t>提高能源安全保障能力。</w:t>
      </w:r>
    </w:p>
    <w:p>
      <w:pPr>
        <w:pStyle w:val="4"/>
        <w:numPr>
          <w:ilvl w:val="0"/>
          <w:numId w:val="0"/>
        </w:numPr>
        <w:ind w:left="643"/>
        <w:rPr>
          <w:color w:val="auto"/>
        </w:rPr>
      </w:pPr>
      <w:r>
        <w:rPr>
          <w:rFonts w:hint="eastAsia"/>
          <w:color w:val="auto"/>
        </w:rPr>
        <w:t>一</w:t>
      </w:r>
      <w:r>
        <w:rPr>
          <w:color w:val="auto"/>
        </w:rPr>
        <w:t>、</w:t>
      </w:r>
      <w:r>
        <w:rPr>
          <w:rFonts w:hint="eastAsia"/>
          <w:color w:val="auto"/>
        </w:rPr>
        <w:t>强化安全</w:t>
      </w:r>
      <w:r>
        <w:rPr>
          <w:color w:val="auto"/>
        </w:rPr>
        <w:t>电力供应</w:t>
      </w:r>
    </w:p>
    <w:p>
      <w:pPr>
        <w:ind w:firstLine="560"/>
        <w:rPr>
          <w:color w:val="auto"/>
        </w:rPr>
      </w:pPr>
      <w:r>
        <w:rPr>
          <w:rFonts w:hint="eastAsia"/>
          <w:color w:val="auto"/>
        </w:rPr>
        <w:t>以远景目标网架为引领，规划建设“网架坚强，稳定可靠、可持续发展”的县域配电网。加强检测</w:t>
      </w:r>
      <w:r>
        <w:rPr>
          <w:color w:val="auto"/>
        </w:rPr>
        <w:t>检修，</w:t>
      </w:r>
      <w:r>
        <w:rPr>
          <w:rFonts w:hint="eastAsia"/>
          <w:color w:val="auto"/>
        </w:rPr>
        <w:t>改造</w:t>
      </w:r>
      <w:r>
        <w:rPr>
          <w:color w:val="auto"/>
        </w:rPr>
        <w:t>优化</w:t>
      </w:r>
      <w:r>
        <w:rPr>
          <w:rFonts w:hint="eastAsia"/>
          <w:color w:val="auto"/>
        </w:rPr>
        <w:t>现有</w:t>
      </w:r>
      <w:r>
        <w:rPr>
          <w:color w:val="auto"/>
        </w:rPr>
        <w:t>电网网架</w:t>
      </w:r>
      <w:r>
        <w:rPr>
          <w:rFonts w:hint="eastAsia"/>
          <w:color w:val="auto"/>
        </w:rPr>
        <w:t>结构</w:t>
      </w:r>
      <w:r>
        <w:rPr>
          <w:color w:val="auto"/>
        </w:rPr>
        <w:t>，提高供电能力和可靠性</w:t>
      </w:r>
      <w:r>
        <w:rPr>
          <w:rFonts w:hint="eastAsia"/>
          <w:color w:val="auto"/>
        </w:rPr>
        <w:t>；加快电网改造升级，加强重大项目建设，以新建为主、改造为辅不断扩充供电</w:t>
      </w:r>
      <w:r>
        <w:rPr>
          <w:color w:val="auto"/>
        </w:rPr>
        <w:t>网络，</w:t>
      </w:r>
      <w:r>
        <w:rPr>
          <w:rFonts w:hint="eastAsia"/>
          <w:color w:val="auto"/>
        </w:rPr>
        <w:t>新增阜东</w:t>
      </w:r>
      <w:r>
        <w:rPr>
          <w:color w:val="auto"/>
        </w:rPr>
        <w:t>110kV</w:t>
      </w:r>
      <w:r>
        <w:rPr>
          <w:rFonts w:hint="eastAsia"/>
          <w:color w:val="auto"/>
        </w:rPr>
        <w:t>变电站</w:t>
      </w:r>
      <w:r>
        <w:rPr>
          <w:color w:val="auto"/>
        </w:rPr>
        <w:t>1</w:t>
      </w:r>
      <w:r>
        <w:rPr>
          <w:rFonts w:hint="eastAsia"/>
          <w:color w:val="auto"/>
        </w:rPr>
        <w:t>座，新建</w:t>
      </w:r>
      <w:r>
        <w:rPr>
          <w:color w:val="auto"/>
        </w:rPr>
        <w:t>110kV</w:t>
      </w:r>
      <w:r>
        <w:rPr>
          <w:rFonts w:hint="eastAsia"/>
          <w:color w:val="auto"/>
        </w:rPr>
        <w:t>线路</w:t>
      </w:r>
      <w:r>
        <w:rPr>
          <w:color w:val="auto"/>
        </w:rPr>
        <w:t>2</w:t>
      </w:r>
      <w:r>
        <w:rPr>
          <w:rFonts w:hint="eastAsia"/>
          <w:color w:val="auto"/>
        </w:rPr>
        <w:t>条；新增吴王口、夏庄</w:t>
      </w:r>
      <w:r>
        <w:rPr>
          <w:color w:val="auto"/>
        </w:rPr>
        <w:t>35kV</w:t>
      </w:r>
      <w:r>
        <w:rPr>
          <w:rFonts w:hint="eastAsia"/>
          <w:color w:val="auto"/>
        </w:rPr>
        <w:t>配电化变电站</w:t>
      </w:r>
      <w:r>
        <w:rPr>
          <w:color w:val="auto"/>
        </w:rPr>
        <w:t>2</w:t>
      </w:r>
      <w:r>
        <w:rPr>
          <w:rFonts w:hint="eastAsia"/>
          <w:color w:val="auto"/>
        </w:rPr>
        <w:t>座，新建</w:t>
      </w:r>
      <w:r>
        <w:rPr>
          <w:color w:val="auto"/>
        </w:rPr>
        <w:t>35kV</w:t>
      </w:r>
      <w:r>
        <w:rPr>
          <w:rFonts w:hint="eastAsia"/>
          <w:color w:val="auto"/>
        </w:rPr>
        <w:t>线路</w:t>
      </w:r>
      <w:r>
        <w:rPr>
          <w:color w:val="auto"/>
        </w:rPr>
        <w:t>2</w:t>
      </w:r>
      <w:r>
        <w:rPr>
          <w:rFonts w:hint="eastAsia"/>
          <w:color w:val="auto"/>
        </w:rPr>
        <w:t>条；改造城北</w:t>
      </w:r>
      <w:r>
        <w:rPr>
          <w:color w:val="auto"/>
        </w:rPr>
        <w:t>35kV</w:t>
      </w:r>
      <w:r>
        <w:rPr>
          <w:rFonts w:hint="eastAsia"/>
          <w:color w:val="auto"/>
        </w:rPr>
        <w:t>变电站</w:t>
      </w:r>
      <w:r>
        <w:rPr>
          <w:color w:val="auto"/>
        </w:rPr>
        <w:t>1</w:t>
      </w:r>
      <w:r>
        <w:rPr>
          <w:rFonts w:hint="eastAsia"/>
          <w:color w:val="auto"/>
        </w:rPr>
        <w:t>座；改造阜平-百亩台、阜平-大台35kV线路2条；新建改造10kV线路699</w:t>
      </w:r>
      <w:r>
        <w:rPr>
          <w:color w:val="auto"/>
        </w:rPr>
        <w:t>.26</w:t>
      </w:r>
      <w:r>
        <w:rPr>
          <w:rFonts w:hint="eastAsia"/>
          <w:color w:val="auto"/>
        </w:rPr>
        <w:t>公里、配变</w:t>
      </w:r>
      <w:r>
        <w:rPr>
          <w:color w:val="auto"/>
        </w:rPr>
        <w:t>113</w:t>
      </w:r>
      <w:r>
        <w:rPr>
          <w:rFonts w:hint="eastAsia"/>
          <w:color w:val="auto"/>
        </w:rPr>
        <w:t>台；新建改造低压线路235.37公里。加快</w:t>
      </w:r>
      <w:r>
        <w:rPr>
          <w:color w:val="auto"/>
        </w:rPr>
        <w:t>老旧设备更新换代</w:t>
      </w:r>
      <w:r>
        <w:rPr>
          <w:rFonts w:hint="eastAsia"/>
          <w:color w:val="auto"/>
        </w:rPr>
        <w:t>，大力推广节能型和环保型产品的应用，大力发展智能电网，试点发展分布式电网，实施</w:t>
      </w:r>
      <w:r>
        <w:rPr>
          <w:color w:val="auto"/>
        </w:rPr>
        <w:t>电网终端智能化改造</w:t>
      </w:r>
      <w:r>
        <w:rPr>
          <w:rFonts w:hint="eastAsia"/>
          <w:color w:val="auto"/>
        </w:rPr>
        <w:t>，智能电表覆盖率达到100%。持续改善农村低压线路，</w:t>
      </w:r>
      <w:r>
        <w:rPr>
          <w:color w:val="auto"/>
        </w:rPr>
        <w:t>推进新一轮农村电网改造升级工程</w:t>
      </w:r>
      <w:r>
        <w:rPr>
          <w:rFonts w:hint="eastAsia"/>
          <w:color w:val="auto"/>
        </w:rPr>
        <w:t>。围绕</w:t>
      </w:r>
      <w:r>
        <w:rPr>
          <w:color w:val="auto"/>
        </w:rPr>
        <w:t>全域旅游</w:t>
      </w:r>
      <w:r>
        <w:rPr>
          <w:rFonts w:hint="eastAsia"/>
          <w:color w:val="auto"/>
        </w:rPr>
        <w:t>重点</w:t>
      </w:r>
      <w:r>
        <w:rPr>
          <w:color w:val="auto"/>
        </w:rPr>
        <w:t>布局，推进新能源汽车充电</w:t>
      </w:r>
      <w:r>
        <w:rPr>
          <w:rFonts w:hint="eastAsia"/>
          <w:color w:val="auto"/>
        </w:rPr>
        <w:t>设施建设</w:t>
      </w:r>
      <w:r>
        <w:rPr>
          <w:color w:val="auto"/>
        </w:rPr>
        <w:t>，依托</w:t>
      </w:r>
      <w:r>
        <w:rPr>
          <w:rFonts w:hint="eastAsia"/>
          <w:color w:val="auto"/>
        </w:rPr>
        <w:t>现有</w:t>
      </w:r>
      <w:r>
        <w:rPr>
          <w:color w:val="auto"/>
        </w:rPr>
        <w:t>公共场所</w:t>
      </w:r>
      <w:r>
        <w:rPr>
          <w:rFonts w:hint="eastAsia"/>
          <w:color w:val="auto"/>
        </w:rPr>
        <w:t>和小区</w:t>
      </w:r>
      <w:r>
        <w:rPr>
          <w:color w:val="auto"/>
        </w:rPr>
        <w:t>建设改造工程，发展</w:t>
      </w:r>
      <w:r>
        <w:rPr>
          <w:rFonts w:hint="eastAsia"/>
          <w:color w:val="auto"/>
        </w:rPr>
        <w:t>便捷</w:t>
      </w:r>
      <w:r>
        <w:rPr>
          <w:color w:val="auto"/>
        </w:rPr>
        <w:t>高效的充电设施网络</w:t>
      </w:r>
      <w:r>
        <w:rPr>
          <w:rFonts w:hint="eastAsia"/>
          <w:color w:val="auto"/>
        </w:rPr>
        <w:t>。至2025年，</w:t>
      </w:r>
      <w:r>
        <w:rPr>
          <w:color w:val="auto"/>
        </w:rPr>
        <w:t>全县</w:t>
      </w:r>
      <w:r>
        <w:rPr>
          <w:rFonts w:hint="eastAsia"/>
          <w:color w:val="auto"/>
        </w:rPr>
        <w:t>供电可靠率达到99.9%，综合电压合格率达到99%，各项指标均达到国网导则标准。</w:t>
      </w:r>
    </w:p>
    <w:p>
      <w:pPr>
        <w:pStyle w:val="4"/>
        <w:numPr>
          <w:ilvl w:val="0"/>
          <w:numId w:val="0"/>
        </w:numPr>
        <w:ind w:left="643"/>
        <w:rPr>
          <w:color w:val="auto"/>
        </w:rPr>
      </w:pPr>
      <w:r>
        <w:rPr>
          <w:rFonts w:hint="eastAsia"/>
          <w:color w:val="auto"/>
        </w:rPr>
        <w:t>二</w:t>
      </w:r>
      <w:r>
        <w:rPr>
          <w:color w:val="auto"/>
        </w:rPr>
        <w:t>、</w:t>
      </w:r>
      <w:r>
        <w:rPr>
          <w:rFonts w:hint="eastAsia"/>
          <w:color w:val="auto"/>
        </w:rPr>
        <w:t>完善</w:t>
      </w:r>
      <w:r>
        <w:rPr>
          <w:color w:val="auto"/>
        </w:rPr>
        <w:t>多元能源保障</w:t>
      </w:r>
    </w:p>
    <w:p>
      <w:pPr>
        <w:ind w:firstLine="562"/>
        <w:rPr>
          <w:color w:val="auto"/>
        </w:rPr>
      </w:pPr>
      <w:r>
        <w:rPr>
          <w:rFonts w:hint="eastAsia"/>
          <w:b/>
          <w:color w:val="auto"/>
        </w:rPr>
        <w:t>推进</w:t>
      </w:r>
      <w:r>
        <w:rPr>
          <w:b/>
          <w:color w:val="auto"/>
        </w:rPr>
        <w:t>燃气输送工程</w:t>
      </w:r>
      <w:r>
        <w:rPr>
          <w:rFonts w:hint="eastAsia"/>
          <w:color w:val="auto"/>
        </w:rPr>
        <w:t>。加强天然气供气基础实施建设，实施中心城区天然气管网工程，辅助液化气作为供气气源。龙泉关、天生桥、中心城区、王林口及平阳镇接入管道天然气，分别设置门站；其余镇区、乡政府驻地采用LNG气源，辅助瓶装液化气。农村采用瓶装液化气，采用集中和分散沼气池相结合的方针，推广新农村沼气建设。合理规划输气管道工程及支线建设，落实计划气量，推进有条件管线实现互联互通，优化储气设施建设布局。力争“十四五”期间，建成比较成熟完善的供、输、储配套体系，燃气普及率实现96%。</w:t>
      </w:r>
    </w:p>
    <w:p>
      <w:pPr>
        <w:ind w:firstLine="562"/>
        <w:rPr>
          <w:color w:val="auto"/>
        </w:rPr>
      </w:pPr>
      <w:r>
        <w:rPr>
          <w:rFonts w:hint="eastAsia"/>
          <w:b/>
          <w:color w:val="auto"/>
        </w:rPr>
        <w:t>推动清洁</w:t>
      </w:r>
      <w:r>
        <w:rPr>
          <w:b/>
          <w:color w:val="auto"/>
        </w:rPr>
        <w:t>能源替代</w:t>
      </w:r>
      <w:r>
        <w:rPr>
          <w:rFonts w:hint="eastAsia"/>
          <w:color w:val="auto"/>
        </w:rPr>
        <w:t>。以保定市能源互联网示范区建设为契机，以现状热源厂为基础，统筹天然气、电力、地热等能源，形成多能互补的清洁供热系统。深入</w:t>
      </w:r>
      <w:r>
        <w:rPr>
          <w:color w:val="auto"/>
        </w:rPr>
        <w:t>实施电能替代工程，</w:t>
      </w:r>
      <w:r>
        <w:rPr>
          <w:rFonts w:hint="eastAsia"/>
          <w:color w:val="auto"/>
        </w:rPr>
        <w:t>提升新能源生产</w:t>
      </w:r>
      <w:r>
        <w:rPr>
          <w:color w:val="auto"/>
        </w:rPr>
        <w:t>、供应和</w:t>
      </w:r>
      <w:r>
        <w:rPr>
          <w:rFonts w:hint="eastAsia"/>
          <w:color w:val="auto"/>
        </w:rPr>
        <w:t>消纳能力，通过</w:t>
      </w:r>
      <w:r>
        <w:rPr>
          <w:color w:val="auto"/>
        </w:rPr>
        <w:t>示范先行，大力推广</w:t>
      </w:r>
      <w:r>
        <w:rPr>
          <w:rFonts w:hint="eastAsia"/>
          <w:color w:val="auto"/>
        </w:rPr>
        <w:t>电能</w:t>
      </w:r>
      <w:r>
        <w:rPr>
          <w:color w:val="auto"/>
        </w:rPr>
        <w:t>替代技术，</w:t>
      </w:r>
      <w:r>
        <w:rPr>
          <w:rFonts w:hint="eastAsia"/>
          <w:color w:val="auto"/>
        </w:rPr>
        <w:t>鼓励</w:t>
      </w:r>
      <w:r>
        <w:rPr>
          <w:color w:val="auto"/>
        </w:rPr>
        <w:t>新型用电产品，</w:t>
      </w:r>
      <w:r>
        <w:rPr>
          <w:rFonts w:hint="eastAsia"/>
          <w:color w:val="auto"/>
        </w:rPr>
        <w:t>以点带面</w:t>
      </w:r>
      <w:r>
        <w:rPr>
          <w:color w:val="auto"/>
        </w:rPr>
        <w:t>实施县域乡村电气化提升工程。</w:t>
      </w:r>
      <w:r>
        <w:rPr>
          <w:rFonts w:hint="eastAsia"/>
          <w:color w:val="auto"/>
        </w:rPr>
        <w:t>加快</w:t>
      </w:r>
      <w:r>
        <w:rPr>
          <w:color w:val="auto"/>
        </w:rPr>
        <w:t>推动县</w:t>
      </w:r>
      <w:r>
        <w:rPr>
          <w:rFonts w:hint="eastAsia"/>
          <w:color w:val="auto"/>
        </w:rPr>
        <w:t>抽水蓄能电站、生活垃圾焚烧项目</w:t>
      </w:r>
      <w:r>
        <w:rPr>
          <w:color w:val="auto"/>
        </w:rPr>
        <w:t>建设，</w:t>
      </w:r>
      <w:r>
        <w:rPr>
          <w:rFonts w:hint="eastAsia"/>
          <w:color w:val="auto"/>
        </w:rPr>
        <w:t>提升</w:t>
      </w:r>
      <w:r>
        <w:rPr>
          <w:color w:val="auto"/>
        </w:rPr>
        <w:t>全县绿色高效能用供给水平</w:t>
      </w:r>
      <w:r>
        <w:rPr>
          <w:rFonts w:hint="eastAsia"/>
          <w:color w:val="auto"/>
        </w:rPr>
        <w:t>。鼓励</w:t>
      </w:r>
      <w:r>
        <w:rPr>
          <w:color w:val="auto"/>
        </w:rPr>
        <w:t>使用和</w:t>
      </w:r>
      <w:r>
        <w:rPr>
          <w:rFonts w:hint="eastAsia"/>
          <w:color w:val="auto"/>
        </w:rPr>
        <w:t>积极推广新能源技术应用，建设分布式能源示范区。</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6-4 </w:t>
            </w:r>
            <w:r>
              <w:rPr>
                <w:rFonts w:hint="eastAsia" w:ascii="黑体" w:hAnsi="黑体" w:eastAsia="黑体"/>
                <w:color w:val="auto"/>
                <w:sz w:val="24"/>
                <w:szCs w:val="28"/>
              </w:rPr>
              <w:t>绿色高效能源</w:t>
            </w:r>
            <w:r>
              <w:rPr>
                <w:rFonts w:ascii="黑体" w:hAnsi="黑体" w:eastAsia="黑体"/>
                <w:color w:val="auto"/>
                <w:sz w:val="24"/>
                <w:szCs w:val="28"/>
              </w:rPr>
              <w:t>供给</w:t>
            </w:r>
            <w:r>
              <w:rPr>
                <w:rFonts w:hint="eastAsia" w:ascii="黑体" w:hAnsi="黑体" w:eastAsia="黑体"/>
                <w:color w:val="auto"/>
                <w:sz w:val="24"/>
                <w:szCs w:val="28"/>
              </w:rPr>
              <w:t>重点项目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1</w:t>
            </w:r>
            <w:r>
              <w:rPr>
                <w:rFonts w:ascii="仿宋_GB2312" w:hAnsi="Times New Roman" w:eastAsia="仿宋_GB2312"/>
                <w:b/>
                <w:color w:val="auto"/>
                <w:sz w:val="24"/>
                <w:szCs w:val="28"/>
              </w:rPr>
              <w:t>.</w:t>
            </w:r>
            <w:r>
              <w:rPr>
                <w:rFonts w:hint="eastAsia" w:ascii="仿宋_GB2312" w:hAnsi="Times New Roman" w:eastAsia="仿宋_GB2312"/>
                <w:b/>
                <w:color w:val="auto"/>
                <w:sz w:val="24"/>
                <w:szCs w:val="28"/>
              </w:rPr>
              <w:t>保定阜东110千伏输变电工程</w:t>
            </w:r>
            <w:r>
              <w:rPr>
                <w:rFonts w:hint="eastAsia" w:ascii="仿宋_GB2312" w:hAnsi="Times New Roman" w:eastAsia="仿宋_GB2312"/>
                <w:color w:val="auto"/>
                <w:sz w:val="24"/>
                <w:szCs w:val="28"/>
              </w:rPr>
              <w:t>。已纳入县“十四五”乡村电网规划。项目</w:t>
            </w:r>
            <w:r>
              <w:rPr>
                <w:rFonts w:ascii="仿宋_GB2312" w:hAnsi="Times New Roman" w:eastAsia="仿宋_GB2312"/>
                <w:color w:val="auto"/>
                <w:sz w:val="24"/>
                <w:szCs w:val="28"/>
              </w:rPr>
              <w:t>规划</w:t>
            </w:r>
            <w:r>
              <w:rPr>
                <w:rFonts w:hint="eastAsia" w:ascii="仿宋_GB2312" w:hAnsi="Times New Roman" w:eastAsia="仿宋_GB2312"/>
                <w:color w:val="auto"/>
                <w:sz w:val="24"/>
                <w:szCs w:val="28"/>
              </w:rPr>
              <w:t>新建110kV线路2条，长度14公里，新建110kV变电站1座，新增主变2台，容量100兆伏安。项目</w:t>
            </w:r>
            <w:r>
              <w:rPr>
                <w:rFonts w:ascii="仿宋_GB2312" w:hAnsi="Times New Roman" w:eastAsia="仿宋_GB2312"/>
                <w:color w:val="auto"/>
                <w:sz w:val="24"/>
                <w:szCs w:val="28"/>
              </w:rPr>
              <w:t>估算</w:t>
            </w:r>
            <w:r>
              <w:rPr>
                <w:rFonts w:hint="eastAsia" w:ascii="仿宋_GB2312" w:hAnsi="Times New Roman" w:eastAsia="仿宋_GB2312"/>
                <w:color w:val="auto"/>
                <w:sz w:val="24"/>
                <w:szCs w:val="28"/>
              </w:rPr>
              <w:t>总投资0.648亿元。</w:t>
            </w:r>
          </w:p>
          <w:p>
            <w:pPr>
              <w:adjustRightInd w:val="0"/>
              <w:snapToGrid w:val="0"/>
              <w:ind w:firstLine="482"/>
              <w:rPr>
                <w:rFonts w:cs="仿宋"/>
                <w:color w:val="auto"/>
                <w:sz w:val="24"/>
                <w:szCs w:val="28"/>
              </w:rPr>
            </w:pPr>
            <w:r>
              <w:rPr>
                <w:rFonts w:hint="eastAsia" w:ascii="仿宋_GB2312" w:hAnsi="Times New Roman" w:eastAsia="仿宋_GB2312"/>
                <w:b/>
                <w:color w:val="auto"/>
                <w:sz w:val="24"/>
                <w:szCs w:val="28"/>
              </w:rPr>
              <w:t>2.抽水蓄能电站项目</w:t>
            </w:r>
            <w:r>
              <w:rPr>
                <w:rFonts w:hint="eastAsia" w:ascii="仿宋_GB2312" w:hAnsi="Times New Roman" w:eastAsia="仿宋_GB2312"/>
                <w:color w:val="auto"/>
                <w:sz w:val="24"/>
                <w:szCs w:val="28"/>
              </w:rPr>
              <w:t>。拟装机容量1200MW，安装4台单机容量300MW立轴混流可逆式水泵水轮机。建成后可</w:t>
            </w:r>
            <w:r>
              <w:rPr>
                <w:rFonts w:ascii="仿宋_GB2312" w:hAnsi="Times New Roman" w:eastAsia="仿宋_GB2312"/>
                <w:color w:val="auto"/>
                <w:sz w:val="24"/>
                <w:szCs w:val="28"/>
              </w:rPr>
              <w:t>实现</w:t>
            </w:r>
            <w:r>
              <w:rPr>
                <w:rFonts w:hint="eastAsia" w:ascii="仿宋_GB2312" w:hAnsi="Times New Roman" w:eastAsia="仿宋_GB2312"/>
                <w:color w:val="auto"/>
                <w:sz w:val="24"/>
                <w:szCs w:val="28"/>
              </w:rPr>
              <w:t>年发电量20亿千瓦，拉动地方GDP约168亿元—224亿元，建设期每年可提供税收3000万元，建成后每年可实现利税1亿元，受益100年，具有较高的经济社会效益。</w:t>
            </w:r>
            <w:r>
              <w:rPr>
                <w:rFonts w:hint="eastAsia" w:cs="仿宋"/>
                <w:color w:val="auto"/>
                <w:sz w:val="24"/>
                <w:szCs w:val="28"/>
              </w:rPr>
              <w:t>力争项目进入两年一次的站点规划调整，纳入国家《水电发展“十四五”规划》。</w:t>
            </w:r>
          </w:p>
          <w:p>
            <w:pPr>
              <w:adjustRightInd w:val="0"/>
              <w:snapToGrid w:val="0"/>
              <w:ind w:firstLine="482"/>
              <w:rPr>
                <w:rFonts w:ascii="仿宋_GB2312" w:hAnsi="Times New Roman" w:eastAsia="仿宋_GB2312"/>
                <w:color w:val="auto"/>
                <w:sz w:val="24"/>
                <w:szCs w:val="28"/>
              </w:rPr>
            </w:pPr>
            <w:r>
              <w:rPr>
                <w:rFonts w:ascii="仿宋_GB2312" w:hAnsi="Times New Roman" w:eastAsia="仿宋_GB2312"/>
                <w:b/>
                <w:color w:val="auto"/>
                <w:sz w:val="24"/>
                <w:szCs w:val="28"/>
              </w:rPr>
              <w:t>3.</w:t>
            </w:r>
            <w:r>
              <w:rPr>
                <w:rFonts w:hint="eastAsia" w:ascii="仿宋_GB2312" w:hAnsi="Times New Roman" w:eastAsia="仿宋_GB2312"/>
                <w:b/>
                <w:color w:val="auto"/>
                <w:sz w:val="24"/>
                <w:szCs w:val="28"/>
              </w:rPr>
              <w:t>生活垃圾焚烧项目</w:t>
            </w:r>
            <w:r>
              <w:rPr>
                <w:rFonts w:hint="eastAsia" w:ascii="仿宋_GB2312" w:hAnsi="Times New Roman" w:eastAsia="仿宋_GB2312"/>
                <w:color w:val="auto"/>
                <w:sz w:val="24"/>
                <w:szCs w:val="28"/>
              </w:rPr>
              <w:t>。设计日处理能力600吨，装机容量15MW，考虑热电联产，预留供热接口，具备供热能力。估算</w:t>
            </w:r>
            <w:r>
              <w:rPr>
                <w:rFonts w:ascii="仿宋_GB2312" w:hAnsi="Times New Roman" w:eastAsia="仿宋_GB2312"/>
                <w:color w:val="auto"/>
                <w:sz w:val="24"/>
                <w:szCs w:val="28"/>
              </w:rPr>
              <w:t>总投资为</w:t>
            </w:r>
            <w:r>
              <w:rPr>
                <w:rFonts w:hint="eastAsia" w:ascii="仿宋_GB2312" w:hAnsi="Times New Roman" w:eastAsia="仿宋_GB2312"/>
                <w:color w:val="auto"/>
                <w:sz w:val="24"/>
                <w:szCs w:val="28"/>
              </w:rPr>
              <w:t>4.2亿元</w:t>
            </w:r>
            <w:r>
              <w:rPr>
                <w:rFonts w:ascii="仿宋_GB2312" w:hAnsi="Times New Roman" w:eastAsia="仿宋_GB2312"/>
                <w:color w:val="auto"/>
                <w:sz w:val="24"/>
                <w:szCs w:val="28"/>
              </w:rPr>
              <w:t>。</w:t>
            </w:r>
          </w:p>
          <w:p>
            <w:pPr>
              <w:adjustRightInd w:val="0"/>
              <w:snapToGrid w:val="0"/>
              <w:ind w:firstLine="482"/>
              <w:rPr>
                <w:rFonts w:ascii="仿宋_GB2312" w:hAnsi="Times New Roman" w:eastAsia="仿宋_GB2312"/>
                <w:color w:val="auto"/>
                <w:sz w:val="24"/>
                <w:szCs w:val="28"/>
              </w:rPr>
            </w:pPr>
            <w:r>
              <w:rPr>
                <w:rFonts w:ascii="仿宋_GB2312" w:hAnsi="Times New Roman" w:eastAsia="仿宋_GB2312"/>
                <w:b/>
                <w:color w:val="auto"/>
                <w:sz w:val="24"/>
                <w:szCs w:val="28"/>
              </w:rPr>
              <w:t>4.</w:t>
            </w:r>
            <w:r>
              <w:rPr>
                <w:rFonts w:hint="eastAsia" w:ascii="仿宋_GB2312" w:hAnsi="Times New Roman" w:eastAsia="仿宋_GB2312"/>
                <w:b/>
                <w:color w:val="auto"/>
                <w:sz w:val="24"/>
                <w:szCs w:val="28"/>
              </w:rPr>
              <w:t>生活垃圾焚烧发电配套</w:t>
            </w:r>
            <w:r>
              <w:rPr>
                <w:rFonts w:ascii="仿宋_GB2312" w:hAnsi="Times New Roman" w:eastAsia="仿宋_GB2312"/>
                <w:b/>
                <w:color w:val="auto"/>
                <w:sz w:val="24"/>
                <w:szCs w:val="28"/>
              </w:rPr>
              <w:t>设施</w:t>
            </w:r>
            <w:r>
              <w:rPr>
                <w:rFonts w:hint="eastAsia" w:ascii="仿宋_GB2312" w:hAnsi="Times New Roman" w:eastAsia="仿宋_GB2312"/>
                <w:b/>
                <w:color w:val="auto"/>
                <w:sz w:val="24"/>
                <w:szCs w:val="28"/>
              </w:rPr>
              <w:t>项目</w:t>
            </w:r>
            <w:r>
              <w:rPr>
                <w:rFonts w:hint="eastAsia" w:ascii="仿宋_GB2312" w:hAnsi="Times New Roman" w:eastAsia="仿宋_GB2312"/>
                <w:color w:val="auto"/>
                <w:sz w:val="24"/>
                <w:szCs w:val="28"/>
              </w:rPr>
              <w:t>。项目</w:t>
            </w:r>
            <w:r>
              <w:rPr>
                <w:rFonts w:ascii="仿宋_GB2312" w:hAnsi="Times New Roman" w:eastAsia="仿宋_GB2312"/>
                <w:color w:val="auto"/>
                <w:sz w:val="24"/>
                <w:szCs w:val="28"/>
              </w:rPr>
              <w:t>包括</w:t>
            </w:r>
            <w:r>
              <w:rPr>
                <w:rFonts w:hint="eastAsia" w:ascii="仿宋_GB2312" w:hAnsi="Times New Roman" w:eastAsia="仿宋_GB2312"/>
                <w:color w:val="auto"/>
                <w:sz w:val="24"/>
                <w:szCs w:val="28"/>
              </w:rPr>
              <w:t>新建库容为27.4万立方米飞灰填埋库一座，</w:t>
            </w:r>
            <w:r>
              <w:rPr>
                <w:rFonts w:ascii="仿宋_GB2312" w:hAnsi="Times New Roman" w:eastAsia="仿宋_GB2312"/>
                <w:color w:val="auto"/>
                <w:sz w:val="24"/>
                <w:szCs w:val="28"/>
              </w:rPr>
              <w:t>以及</w:t>
            </w:r>
            <w:r>
              <w:rPr>
                <w:rFonts w:hint="eastAsia" w:ascii="仿宋_GB2312" w:hAnsi="Times New Roman" w:eastAsia="仿宋_GB2312"/>
                <w:color w:val="auto"/>
                <w:sz w:val="24"/>
                <w:szCs w:val="28"/>
              </w:rPr>
              <w:t>渗滤液处理工程、炉渣处理设施、垃圾暂存区、污水综合处理系统、中水泵站、给水泵站。同时进行中水和自来水供水管道及配套管理用房等附属工程建设。项目</w:t>
            </w:r>
            <w:r>
              <w:rPr>
                <w:rFonts w:ascii="仿宋_GB2312" w:hAnsi="Times New Roman" w:eastAsia="仿宋_GB2312"/>
                <w:color w:val="auto"/>
                <w:sz w:val="24"/>
                <w:szCs w:val="28"/>
              </w:rPr>
              <w:t>估算总投资</w:t>
            </w:r>
            <w:r>
              <w:rPr>
                <w:rFonts w:hint="eastAsia" w:ascii="仿宋_GB2312" w:hAnsi="Times New Roman" w:eastAsia="仿宋_GB2312"/>
                <w:color w:val="auto"/>
                <w:sz w:val="24"/>
                <w:szCs w:val="28"/>
              </w:rPr>
              <w:t>1</w:t>
            </w:r>
            <w:r>
              <w:rPr>
                <w:rFonts w:ascii="仿宋_GB2312" w:hAnsi="Times New Roman" w:eastAsia="仿宋_GB2312"/>
                <w:color w:val="auto"/>
                <w:sz w:val="24"/>
                <w:szCs w:val="28"/>
              </w:rPr>
              <w:t>.5</w:t>
            </w:r>
            <w:r>
              <w:rPr>
                <w:rFonts w:hint="eastAsia" w:ascii="仿宋_GB2312" w:hAnsi="Times New Roman" w:eastAsia="仿宋_GB2312"/>
                <w:color w:val="auto"/>
                <w:sz w:val="24"/>
                <w:szCs w:val="28"/>
              </w:rPr>
              <w:t>亿元。</w:t>
            </w:r>
          </w:p>
          <w:p>
            <w:pPr>
              <w:adjustRightInd w:val="0"/>
              <w:snapToGrid w:val="0"/>
              <w:ind w:firstLine="482"/>
              <w:rPr>
                <w:rFonts w:ascii="仿宋_GB2312" w:hAnsi="Times New Roman" w:eastAsia="仿宋_GB2312"/>
                <w:color w:val="auto"/>
                <w:sz w:val="24"/>
                <w:szCs w:val="28"/>
              </w:rPr>
            </w:pPr>
            <w:r>
              <w:rPr>
                <w:rFonts w:ascii="仿宋_GB2312" w:eastAsia="仿宋_GB2312"/>
                <w:b/>
                <w:bCs/>
                <w:color w:val="auto"/>
                <w:sz w:val="24"/>
                <w:szCs w:val="28"/>
              </w:rPr>
              <w:t>5</w:t>
            </w:r>
            <w:r>
              <w:rPr>
                <w:rFonts w:hint="eastAsia" w:ascii="仿宋_GB2312" w:eastAsia="仿宋_GB2312"/>
                <w:b/>
                <w:bCs/>
                <w:color w:val="auto"/>
                <w:sz w:val="24"/>
                <w:szCs w:val="28"/>
              </w:rPr>
              <w:t>.阜平县垃圾分类收集清运一体化建设项目</w:t>
            </w:r>
            <w:r>
              <w:rPr>
                <w:rFonts w:hint="eastAsia" w:ascii="仿宋_GB2312" w:eastAsia="仿宋_GB2312"/>
                <w:bCs/>
                <w:color w:val="auto"/>
                <w:sz w:val="24"/>
                <w:szCs w:val="28"/>
              </w:rPr>
              <w:t>。</w:t>
            </w:r>
            <w:r>
              <w:rPr>
                <w:rFonts w:ascii="仿宋_GB2312" w:eastAsia="仿宋_GB2312"/>
                <w:bCs/>
                <w:color w:val="auto"/>
                <w:sz w:val="24"/>
                <w:szCs w:val="28"/>
              </w:rPr>
              <w:t>城区</w:t>
            </w:r>
            <w:r>
              <w:rPr>
                <w:rFonts w:hint="eastAsia" w:ascii="仿宋_GB2312" w:eastAsia="仿宋_GB2312"/>
                <w:bCs/>
                <w:color w:val="auto"/>
                <w:sz w:val="24"/>
                <w:szCs w:val="28"/>
              </w:rPr>
              <w:t>新建一座日处理量40吨餐厨垃圾处理厂，新增压缩式垃圾车60辆，城区建设智能四分类垃圾箱1035套，乡镇配备垃圾桶6932个，建设大数据垃圾分类监控系统1套、垃圾亭1733座。</w:t>
            </w:r>
            <w:r>
              <w:rPr>
                <w:rFonts w:hint="eastAsia" w:ascii="仿宋_GB2312" w:hAnsi="Times New Roman" w:eastAsia="仿宋_GB2312"/>
                <w:color w:val="auto"/>
                <w:sz w:val="24"/>
                <w:szCs w:val="28"/>
              </w:rPr>
              <w:t>项目</w:t>
            </w:r>
            <w:r>
              <w:rPr>
                <w:rFonts w:ascii="仿宋_GB2312" w:hAnsi="Times New Roman" w:eastAsia="仿宋_GB2312"/>
                <w:color w:val="auto"/>
                <w:sz w:val="24"/>
                <w:szCs w:val="28"/>
              </w:rPr>
              <w:t>估算总投资0.82</w:t>
            </w:r>
            <w:r>
              <w:rPr>
                <w:rFonts w:hint="eastAsia" w:ascii="仿宋_GB2312" w:hAnsi="Times New Roman" w:eastAsia="仿宋_GB2312"/>
                <w:color w:val="auto"/>
                <w:sz w:val="24"/>
                <w:szCs w:val="28"/>
              </w:rPr>
              <w:t>亿元。</w:t>
            </w:r>
          </w:p>
          <w:p>
            <w:pPr>
              <w:adjustRightInd w:val="0"/>
              <w:snapToGrid w:val="0"/>
              <w:ind w:firstLine="482"/>
              <w:rPr>
                <w:rFonts w:ascii="仿宋_GB2312" w:eastAsia="仿宋_GB2312"/>
                <w:bCs/>
                <w:color w:val="auto"/>
                <w:sz w:val="24"/>
                <w:szCs w:val="28"/>
              </w:rPr>
            </w:pPr>
            <w:r>
              <w:rPr>
                <w:rFonts w:ascii="仿宋_GB2312" w:eastAsia="仿宋_GB2312"/>
                <w:b/>
                <w:bCs/>
                <w:color w:val="auto"/>
                <w:sz w:val="24"/>
                <w:szCs w:val="28"/>
              </w:rPr>
              <w:t>6</w:t>
            </w:r>
            <w:r>
              <w:rPr>
                <w:rFonts w:hint="eastAsia" w:ascii="仿宋_GB2312" w:eastAsia="仿宋_GB2312"/>
                <w:b/>
                <w:bCs/>
                <w:color w:val="auto"/>
                <w:sz w:val="24"/>
                <w:szCs w:val="28"/>
              </w:rPr>
              <w:t>.阜平县再生水利用工程</w:t>
            </w:r>
            <w:r>
              <w:rPr>
                <w:rFonts w:hint="eastAsia" w:ascii="仿宋_GB2312" w:eastAsia="仿宋_GB2312"/>
                <w:bCs/>
                <w:color w:val="auto"/>
                <w:sz w:val="24"/>
                <w:szCs w:val="28"/>
              </w:rPr>
              <w:t>。新建处理规模为1.25万吨/日的中水净化设施一处，容量2000</w:t>
            </w:r>
            <w:r>
              <w:rPr>
                <w:rFonts w:ascii="仿宋_GB2312" w:eastAsia="仿宋_GB2312"/>
                <w:bCs/>
                <w:color w:val="auto"/>
                <w:sz w:val="24"/>
                <w:szCs w:val="28"/>
              </w:rPr>
              <w:t>m</w:t>
            </w:r>
            <w:r>
              <w:rPr>
                <w:rFonts w:ascii="Calibri" w:hAnsi="Calibri" w:eastAsia="仿宋_GB2312" w:cs="Calibri"/>
                <w:bCs/>
                <w:color w:val="auto"/>
                <w:sz w:val="24"/>
                <w:szCs w:val="28"/>
              </w:rPr>
              <w:t>³</w:t>
            </w:r>
            <w:r>
              <w:rPr>
                <w:rFonts w:hint="eastAsia" w:ascii="仿宋_GB2312" w:eastAsia="仿宋_GB2312"/>
                <w:bCs/>
                <w:color w:val="auto"/>
                <w:sz w:val="24"/>
                <w:szCs w:val="28"/>
              </w:rPr>
              <w:t>高位水池一座，同时铺设21.75km的再生水管道及配套设施建设。</w:t>
            </w:r>
            <w:r>
              <w:rPr>
                <w:rFonts w:hint="eastAsia" w:ascii="仿宋_GB2312" w:hAnsi="Times New Roman" w:eastAsia="仿宋_GB2312"/>
                <w:color w:val="auto"/>
                <w:sz w:val="24"/>
                <w:szCs w:val="28"/>
              </w:rPr>
              <w:t>项目</w:t>
            </w:r>
            <w:r>
              <w:rPr>
                <w:rFonts w:ascii="仿宋_GB2312" w:hAnsi="Times New Roman" w:eastAsia="仿宋_GB2312"/>
                <w:color w:val="auto"/>
                <w:sz w:val="24"/>
                <w:szCs w:val="28"/>
              </w:rPr>
              <w:t>估算总投资</w:t>
            </w:r>
            <w:r>
              <w:rPr>
                <w:rFonts w:hint="eastAsia" w:ascii="仿宋_GB2312" w:hAnsi="Times New Roman" w:eastAsia="仿宋_GB2312"/>
                <w:color w:val="auto"/>
                <w:sz w:val="24"/>
                <w:szCs w:val="28"/>
              </w:rPr>
              <w:t>1</w:t>
            </w:r>
            <w:r>
              <w:rPr>
                <w:rFonts w:ascii="仿宋_GB2312" w:hAnsi="Times New Roman" w:eastAsia="仿宋_GB2312"/>
                <w:color w:val="auto"/>
                <w:sz w:val="24"/>
                <w:szCs w:val="28"/>
              </w:rPr>
              <w:t>.415</w:t>
            </w:r>
            <w:r>
              <w:rPr>
                <w:rFonts w:hint="eastAsia" w:ascii="仿宋_GB2312" w:hAnsi="Times New Roman" w:eastAsia="仿宋_GB2312"/>
                <w:color w:val="auto"/>
                <w:sz w:val="24"/>
                <w:szCs w:val="28"/>
              </w:rPr>
              <w:t>亿元。</w:t>
            </w:r>
          </w:p>
        </w:tc>
      </w:tr>
    </w:tbl>
    <w:p>
      <w:pPr>
        <w:pStyle w:val="3"/>
        <w:spacing w:before="204"/>
        <w:ind w:firstLine="560" w:firstLineChars="200"/>
        <w:rPr>
          <w:color w:val="auto"/>
          <w:szCs w:val="30"/>
        </w:rPr>
      </w:pPr>
      <w:bookmarkStart w:id="28" w:name="_Toc62244281"/>
      <w:r>
        <w:rPr>
          <w:color w:val="auto"/>
          <w:szCs w:val="30"/>
        </w:rPr>
        <w:t>第</w:t>
      </w:r>
      <w:r>
        <w:rPr>
          <w:rFonts w:hint="eastAsia"/>
          <w:color w:val="auto"/>
          <w:szCs w:val="30"/>
        </w:rPr>
        <w:t>四</w:t>
      </w:r>
      <w:r>
        <w:rPr>
          <w:color w:val="auto"/>
          <w:szCs w:val="30"/>
        </w:rPr>
        <w:t>节</w:t>
      </w:r>
      <w:r>
        <w:rPr>
          <w:rFonts w:hint="eastAsia"/>
          <w:color w:val="auto"/>
          <w:szCs w:val="30"/>
        </w:rPr>
        <w:t xml:space="preserve">  推进“智慧阜平”系统工程建设</w:t>
      </w:r>
      <w:bookmarkEnd w:id="28"/>
    </w:p>
    <w:p>
      <w:pPr>
        <w:pStyle w:val="4"/>
        <w:numPr>
          <w:ilvl w:val="0"/>
          <w:numId w:val="0"/>
        </w:numPr>
        <w:ind w:left="643"/>
        <w:rPr>
          <w:color w:val="auto"/>
        </w:rPr>
      </w:pPr>
      <w:r>
        <w:rPr>
          <w:rFonts w:hint="eastAsia"/>
          <w:color w:val="auto"/>
        </w:rPr>
        <w:t>一</w:t>
      </w:r>
      <w:r>
        <w:rPr>
          <w:color w:val="auto"/>
        </w:rPr>
        <w:t>、</w:t>
      </w:r>
      <w:r>
        <w:rPr>
          <w:rFonts w:hint="eastAsia"/>
          <w:color w:val="auto"/>
        </w:rPr>
        <w:t>加速推进信息</w:t>
      </w:r>
      <w:r>
        <w:rPr>
          <w:color w:val="auto"/>
        </w:rPr>
        <w:t>网络设施</w:t>
      </w:r>
      <w:r>
        <w:rPr>
          <w:rFonts w:hint="eastAsia"/>
          <w:color w:val="auto"/>
        </w:rPr>
        <w:t>建设</w:t>
      </w:r>
    </w:p>
    <w:p>
      <w:pPr>
        <w:ind w:firstLine="560"/>
        <w:rPr>
          <w:color w:val="auto"/>
        </w:rPr>
      </w:pPr>
      <w:r>
        <w:rPr>
          <w:rFonts w:hint="eastAsia"/>
          <w:color w:val="auto"/>
        </w:rPr>
        <w:t>继续深化4G网络</w:t>
      </w:r>
      <w:r>
        <w:rPr>
          <w:color w:val="auto"/>
        </w:rPr>
        <w:t>全覆盖，</w:t>
      </w:r>
      <w:r>
        <w:rPr>
          <w:rFonts w:hint="eastAsia"/>
          <w:color w:val="auto"/>
        </w:rPr>
        <w:t>加速</w:t>
      </w:r>
      <w:r>
        <w:rPr>
          <w:color w:val="auto"/>
        </w:rPr>
        <w:t>推进</w:t>
      </w:r>
      <w:r>
        <w:rPr>
          <w:rFonts w:hint="eastAsia"/>
          <w:color w:val="auto"/>
        </w:rPr>
        <w:t>5G网络</w:t>
      </w:r>
      <w:r>
        <w:rPr>
          <w:color w:val="auto"/>
        </w:rPr>
        <w:t>建设</w:t>
      </w:r>
      <w:r>
        <w:rPr>
          <w:rFonts w:hint="eastAsia"/>
          <w:color w:val="auto"/>
        </w:rPr>
        <w:t>，完成规模部署，加快建设新一代信息网络设施和数字化应用设施，推动传统基础设施数字化建设和改造。提高</w:t>
      </w:r>
      <w:r>
        <w:rPr>
          <w:color w:val="auto"/>
        </w:rPr>
        <w:t>乡村地区光纤宽带接入能力，推动网络服务普及运用。</w:t>
      </w:r>
      <w:r>
        <w:rPr>
          <w:rFonts w:hint="eastAsia"/>
          <w:color w:val="auto"/>
        </w:rPr>
        <w:t>加快布局全面感知智慧运用和智能终端，建设系统化、集成化信息网络，以龙头企业为引领，全面</w:t>
      </w:r>
      <w:r>
        <w:rPr>
          <w:color w:val="auto"/>
        </w:rPr>
        <w:t>推动传统产业数字化改造</w:t>
      </w:r>
      <w:r>
        <w:rPr>
          <w:rFonts w:hint="eastAsia"/>
          <w:color w:val="auto"/>
        </w:rPr>
        <w:t>，推动新一代信息技术与传统制造业深度融合</w:t>
      </w:r>
      <w:r>
        <w:rPr>
          <w:color w:val="auto"/>
        </w:rPr>
        <w:t>；</w:t>
      </w:r>
      <w:r>
        <w:rPr>
          <w:rFonts w:hint="eastAsia"/>
          <w:color w:val="auto"/>
        </w:rPr>
        <w:t>提高社会治理信息的采集、传输和应用能力，构建人防、物防和技防网络，积极推动智慧小区建设和小区智慧化改造，实现社区精细化管理；围绕全域领域布局，推动“旅游</w:t>
      </w:r>
      <w:r>
        <w:rPr>
          <w:color w:val="auto"/>
        </w:rPr>
        <w:t>+信息化”，打造融合体验旅游产品。</w:t>
      </w:r>
      <w:r>
        <w:rPr>
          <w:rFonts w:hint="eastAsia"/>
          <w:color w:val="auto"/>
        </w:rPr>
        <w:t>力争2022年实现城区、乡镇、景区5G连续覆盖，行政村覆盖率达到65%；2025年</w:t>
      </w:r>
      <w:r>
        <w:rPr>
          <w:color w:val="auto"/>
        </w:rPr>
        <w:t>实现</w:t>
      </w:r>
      <w:r>
        <w:rPr>
          <w:rFonts w:hint="eastAsia"/>
          <w:color w:val="auto"/>
        </w:rPr>
        <w:t>县域</w:t>
      </w:r>
      <w:r>
        <w:rPr>
          <w:color w:val="auto"/>
        </w:rPr>
        <w:t>全覆盖。</w:t>
      </w:r>
      <w:r>
        <w:rPr>
          <w:rFonts w:hint="eastAsia"/>
          <w:color w:val="auto"/>
        </w:rPr>
        <w:t>对全省乃至全国欠发达地区通过智慧建设实现跨越式发展形成示范作用</w:t>
      </w:r>
    </w:p>
    <w:p>
      <w:pPr>
        <w:pStyle w:val="4"/>
        <w:numPr>
          <w:ilvl w:val="0"/>
          <w:numId w:val="0"/>
        </w:numPr>
        <w:ind w:left="643"/>
        <w:rPr>
          <w:color w:val="auto"/>
        </w:rPr>
      </w:pPr>
      <w:r>
        <w:rPr>
          <w:rFonts w:hint="eastAsia"/>
          <w:color w:val="auto"/>
        </w:rPr>
        <w:t>二</w:t>
      </w:r>
      <w:r>
        <w:rPr>
          <w:color w:val="auto"/>
        </w:rPr>
        <w:t>、</w:t>
      </w:r>
      <w:r>
        <w:rPr>
          <w:rFonts w:hint="eastAsia"/>
          <w:color w:val="auto"/>
        </w:rPr>
        <w:t>探索</w:t>
      </w:r>
      <w:r>
        <w:rPr>
          <w:color w:val="auto"/>
        </w:rPr>
        <w:t>推动新型基础设施</w:t>
      </w:r>
      <w:r>
        <w:rPr>
          <w:rFonts w:hint="eastAsia"/>
          <w:color w:val="auto"/>
        </w:rPr>
        <w:t>建设</w:t>
      </w:r>
    </w:p>
    <w:p>
      <w:pPr>
        <w:ind w:firstLine="560"/>
        <w:rPr>
          <w:color w:val="auto"/>
        </w:rPr>
      </w:pPr>
      <w:r>
        <w:rPr>
          <w:rFonts w:hint="eastAsia"/>
          <w:color w:val="auto"/>
        </w:rPr>
        <w:t>系统布局新型基础设施，加快5</w:t>
      </w:r>
      <w:r>
        <w:rPr>
          <w:color w:val="auto"/>
        </w:rPr>
        <w:t>G</w:t>
      </w:r>
      <w:r>
        <w:rPr>
          <w:rFonts w:hint="eastAsia"/>
          <w:color w:val="auto"/>
        </w:rPr>
        <w:t>、工业互联网、大数据中心等建设，超前布局全域智能推进战略，逐步打造数字阜平、智慧阜平。加快建设阜平城市数字平台，实现技术融合、数据融合、业务协同与敏捷创新，发展成为</w:t>
      </w:r>
      <w:r>
        <w:rPr>
          <w:color w:val="auto"/>
        </w:rPr>
        <w:t>全县</w:t>
      </w:r>
      <w:r>
        <w:rPr>
          <w:rFonts w:hint="eastAsia"/>
          <w:color w:val="auto"/>
        </w:rPr>
        <w:t>产业数字化、数字产业化的核心发动机；加快</w:t>
      </w:r>
      <w:r>
        <w:rPr>
          <w:color w:val="auto"/>
        </w:rPr>
        <w:t>建设</w:t>
      </w:r>
      <w:r>
        <w:rPr>
          <w:rFonts w:hint="eastAsia"/>
          <w:color w:val="auto"/>
        </w:rPr>
        <w:t>智慧城市运营管理中心（</w:t>
      </w:r>
      <w:r>
        <w:rPr>
          <w:color w:val="auto"/>
        </w:rPr>
        <w:t>IOC</w:t>
      </w:r>
      <w:r>
        <w:rPr>
          <w:rFonts w:hint="eastAsia"/>
          <w:color w:val="auto"/>
        </w:rPr>
        <w:t>），切实提升城市管理效率和治理能力。积极推动四大网络运营商布局5G、数字经济等“新基建”项目，推动与制造、能源、交通、农业等领域的融合发展，探索在城市安全、社会管理、公共服务、教育医疗等领域的应用。加快建设信息安全测评中心、网络与信息安全应急响应中心、容灾备份中心等信息安全基础设施，强化互联网安全管理。2021年</w:t>
      </w:r>
      <w:r>
        <w:rPr>
          <w:color w:val="auto"/>
        </w:rPr>
        <w:t>底</w:t>
      </w:r>
      <w:r>
        <w:rPr>
          <w:rFonts w:hint="eastAsia"/>
          <w:color w:val="auto"/>
        </w:rPr>
        <w:t>，</w:t>
      </w:r>
      <w:r>
        <w:rPr>
          <w:color w:val="auto"/>
        </w:rPr>
        <w:t>力争</w:t>
      </w:r>
      <w:r>
        <w:rPr>
          <w:rFonts w:hint="eastAsia"/>
          <w:color w:val="auto"/>
        </w:rPr>
        <w:t>完成四星级新型智慧城市试点中期验收。</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0" w:firstLineChars="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6-5 </w:t>
            </w:r>
            <w:r>
              <w:rPr>
                <w:rFonts w:hint="eastAsia" w:ascii="黑体" w:hAnsi="黑体" w:eastAsia="黑体"/>
                <w:color w:val="auto"/>
                <w:sz w:val="24"/>
                <w:szCs w:val="28"/>
              </w:rPr>
              <w:t>“智慧阜平”重点</w:t>
            </w:r>
            <w:r>
              <w:rPr>
                <w:rFonts w:ascii="黑体" w:hAnsi="黑体" w:eastAsia="黑体"/>
                <w:color w:val="auto"/>
                <w:sz w:val="24"/>
                <w:szCs w:val="28"/>
              </w:rPr>
              <w:t>实施</w:t>
            </w:r>
            <w:r>
              <w:rPr>
                <w:rFonts w:hint="eastAsia" w:ascii="黑体" w:hAnsi="黑体" w:eastAsia="黑体"/>
                <w:color w:val="auto"/>
                <w:sz w:val="24"/>
                <w:szCs w:val="28"/>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cs="仿宋"/>
                <w:b/>
                <w:color w:val="auto"/>
                <w:sz w:val="24"/>
                <w:szCs w:val="28"/>
              </w:rPr>
            </w:pPr>
            <w:r>
              <w:rPr>
                <w:rFonts w:hint="eastAsia" w:ascii="仿宋_GB2312" w:hAnsi="Times New Roman" w:eastAsia="仿宋_GB2312"/>
                <w:b/>
                <w:color w:val="auto"/>
                <w:sz w:val="24"/>
                <w:szCs w:val="28"/>
              </w:rPr>
              <w:t>1．</w:t>
            </w:r>
            <w:r>
              <w:rPr>
                <w:rFonts w:hint="eastAsia" w:cs="仿宋"/>
                <w:b/>
                <w:color w:val="auto"/>
                <w:sz w:val="24"/>
                <w:szCs w:val="28"/>
              </w:rPr>
              <w:t>美邻中心-智慧城市ICT建设项目</w:t>
            </w:r>
          </w:p>
          <w:p>
            <w:pPr>
              <w:adjustRightInd w:val="0"/>
              <w:snapToGrid w:val="0"/>
              <w:ind w:firstLine="480"/>
              <w:rPr>
                <w:rFonts w:cs="仿宋"/>
                <w:color w:val="auto"/>
                <w:sz w:val="24"/>
                <w:szCs w:val="28"/>
              </w:rPr>
            </w:pPr>
            <w:r>
              <w:rPr>
                <w:rFonts w:hint="eastAsia" w:cs="仿宋"/>
                <w:color w:val="auto"/>
                <w:sz w:val="24"/>
                <w:szCs w:val="28"/>
              </w:rPr>
              <w:t>阜东新区美邻中心打造智慧城市建设重点项目落地的物理空间。项目总用地面积23345.99平方米（合35.02亩），建筑占地面积9298.83平方米，总建筑面积64930.81平方米。项目总投资33000万元。</w:t>
            </w:r>
          </w:p>
          <w:p>
            <w:pPr>
              <w:adjustRightInd w:val="0"/>
              <w:snapToGrid w:val="0"/>
              <w:ind w:firstLine="482"/>
              <w:rPr>
                <w:rFonts w:ascii="仿宋_GB2312" w:hAnsi="Times New Roman" w:eastAsia="仿宋_GB2312"/>
                <w:b/>
                <w:color w:val="auto"/>
                <w:sz w:val="24"/>
                <w:szCs w:val="28"/>
              </w:rPr>
            </w:pPr>
            <w:r>
              <w:rPr>
                <w:rFonts w:hint="eastAsia" w:ascii="仿宋_GB2312" w:hAnsi="Times New Roman" w:eastAsia="仿宋_GB2312"/>
                <w:b/>
                <w:color w:val="auto"/>
                <w:sz w:val="24"/>
                <w:szCs w:val="28"/>
              </w:rPr>
              <w:t>2．智慧城市底座--城市数字平台</w:t>
            </w:r>
          </w:p>
          <w:p>
            <w:pPr>
              <w:adjustRightInd w:val="0"/>
              <w:snapToGrid w:val="0"/>
              <w:ind w:firstLine="480"/>
              <w:rPr>
                <w:rFonts w:ascii="仿宋_GB2312" w:hAnsi="Times New Roman" w:eastAsia="仿宋_GB2312"/>
                <w:color w:val="auto"/>
                <w:sz w:val="24"/>
                <w:szCs w:val="28"/>
              </w:rPr>
            </w:pPr>
            <w:r>
              <w:rPr>
                <w:rFonts w:hint="eastAsia" w:ascii="仿宋_GB2312" w:hAnsi="Times New Roman" w:eastAsia="仿宋_GB2312"/>
                <w:color w:val="auto"/>
                <w:sz w:val="24"/>
                <w:szCs w:val="28"/>
              </w:rPr>
              <w:t>搭建一体化共享平台，为阜平智慧城市应用及数据提供载体，数据中心建成后接入数据，2021年11月与指挥中心同步交付使用。</w:t>
            </w:r>
          </w:p>
          <w:p>
            <w:pPr>
              <w:adjustRightInd w:val="0"/>
              <w:snapToGrid w:val="0"/>
              <w:ind w:firstLine="482"/>
              <w:rPr>
                <w:rFonts w:ascii="仿宋_GB2312" w:hAnsi="Times New Roman" w:eastAsia="仿宋_GB2312"/>
                <w:b/>
                <w:color w:val="auto"/>
                <w:sz w:val="24"/>
                <w:szCs w:val="28"/>
              </w:rPr>
            </w:pPr>
            <w:r>
              <w:rPr>
                <w:rFonts w:ascii="仿宋_GB2312" w:hAnsi="Times New Roman" w:eastAsia="仿宋_GB2312"/>
                <w:b/>
                <w:color w:val="auto"/>
                <w:sz w:val="24"/>
                <w:szCs w:val="28"/>
              </w:rPr>
              <w:t>3</w:t>
            </w:r>
            <w:r>
              <w:rPr>
                <w:rFonts w:hint="eastAsia" w:ascii="仿宋_GB2312" w:hAnsi="Times New Roman" w:eastAsia="仿宋_GB2312"/>
                <w:b/>
                <w:color w:val="auto"/>
                <w:sz w:val="24"/>
                <w:szCs w:val="28"/>
              </w:rPr>
              <w:t>．智慧城市</w:t>
            </w:r>
            <w:r>
              <w:rPr>
                <w:rFonts w:hint="eastAsia" w:ascii="仿宋_GB2312" w:hAnsi="Times New Roman" w:eastAsia="仿宋_GB2312"/>
                <w:b/>
                <w:bCs/>
                <w:color w:val="auto"/>
                <w:sz w:val="24"/>
                <w:szCs w:val="28"/>
              </w:rPr>
              <w:t>一期应用建设</w:t>
            </w:r>
            <w:r>
              <w:rPr>
                <w:rFonts w:hint="eastAsia" w:ascii="仿宋_GB2312" w:hAnsi="Times New Roman" w:eastAsia="仿宋_GB2312"/>
                <w:b/>
                <w:color w:val="auto"/>
                <w:sz w:val="24"/>
                <w:szCs w:val="28"/>
              </w:rPr>
              <w:t>项目</w:t>
            </w:r>
          </w:p>
          <w:p>
            <w:pPr>
              <w:adjustRightInd w:val="0"/>
              <w:snapToGrid w:val="0"/>
              <w:ind w:firstLine="480"/>
              <w:rPr>
                <w:rFonts w:ascii="仿宋_GB2312" w:hAnsi="Times New Roman" w:eastAsia="仿宋_GB2312"/>
                <w:color w:val="auto"/>
                <w:sz w:val="24"/>
                <w:szCs w:val="28"/>
              </w:rPr>
            </w:pPr>
            <w:r>
              <w:rPr>
                <w:rFonts w:hint="eastAsia" w:ascii="仿宋_GB2312" w:hAnsi="Times New Roman" w:eastAsia="仿宋_GB2312"/>
                <w:color w:val="auto"/>
                <w:sz w:val="24"/>
                <w:szCs w:val="28"/>
              </w:rPr>
              <w:t>以整合现有资源为主，由智慧城市领导小组和智慧办根据县域需求，筛选启动部分应用开发及项目建设。优先</w:t>
            </w:r>
            <w:r>
              <w:rPr>
                <w:rFonts w:ascii="仿宋_GB2312" w:hAnsi="Times New Roman" w:eastAsia="仿宋_GB2312"/>
                <w:color w:val="auto"/>
                <w:sz w:val="24"/>
                <w:szCs w:val="28"/>
              </w:rPr>
              <w:t>纳入</w:t>
            </w:r>
            <w:r>
              <w:rPr>
                <w:rFonts w:hint="eastAsia" w:ascii="仿宋_GB2312" w:hAnsi="Times New Roman" w:eastAsia="仿宋_GB2312"/>
                <w:color w:val="auto"/>
                <w:sz w:val="24"/>
                <w:szCs w:val="28"/>
              </w:rPr>
              <w:t>政府迫切需求类</w:t>
            </w:r>
            <w:r>
              <w:rPr>
                <w:rFonts w:ascii="仿宋_GB2312" w:hAnsi="Times New Roman" w:eastAsia="仿宋_GB2312"/>
                <w:color w:val="auto"/>
                <w:sz w:val="24"/>
                <w:szCs w:val="28"/>
              </w:rPr>
              <w:t>的</w:t>
            </w:r>
            <w:r>
              <w:rPr>
                <w:rFonts w:hint="eastAsia" w:ascii="仿宋_GB2312" w:hAnsi="Times New Roman" w:eastAsia="仿宋_GB2312"/>
                <w:color w:val="auto"/>
                <w:sz w:val="24"/>
                <w:szCs w:val="28"/>
              </w:rPr>
              <w:t>智慧社区、智慧政务、智慧健康服务</w:t>
            </w:r>
            <w:r>
              <w:rPr>
                <w:rFonts w:ascii="仿宋_GB2312" w:hAnsi="Times New Roman" w:eastAsia="仿宋_GB2312"/>
                <w:color w:val="auto"/>
                <w:sz w:val="24"/>
                <w:szCs w:val="28"/>
              </w:rPr>
              <w:t>，</w:t>
            </w:r>
            <w:r>
              <w:rPr>
                <w:rFonts w:hint="eastAsia" w:ascii="仿宋_GB2312" w:hAnsi="Times New Roman" w:eastAsia="仿宋_GB2312"/>
                <w:color w:val="auto"/>
                <w:sz w:val="24"/>
                <w:szCs w:val="28"/>
              </w:rPr>
              <w:t>投资回报类的智慧交通、智慧泊车、智慧旅游服务</w:t>
            </w:r>
            <w:r>
              <w:rPr>
                <w:rFonts w:ascii="仿宋_GB2312" w:hAnsi="Times New Roman" w:eastAsia="仿宋_GB2312"/>
                <w:color w:val="auto"/>
                <w:sz w:val="24"/>
                <w:szCs w:val="28"/>
              </w:rPr>
              <w:t>。</w:t>
            </w:r>
            <w:r>
              <w:rPr>
                <w:rFonts w:hint="eastAsia" w:ascii="仿宋_GB2312" w:hAnsi="Times New Roman" w:eastAsia="仿宋_GB2312"/>
                <w:color w:val="auto"/>
                <w:sz w:val="24"/>
                <w:szCs w:val="28"/>
              </w:rPr>
              <w:t>2021年11月在平台内至少完成接入两个应用。</w:t>
            </w:r>
          </w:p>
          <w:p>
            <w:pPr>
              <w:adjustRightInd w:val="0"/>
              <w:snapToGrid w:val="0"/>
              <w:ind w:firstLine="482"/>
              <w:rPr>
                <w:rFonts w:ascii="仿宋_GB2312" w:hAnsi="Times New Roman" w:eastAsia="仿宋_GB2312"/>
                <w:b/>
                <w:color w:val="auto"/>
                <w:sz w:val="24"/>
                <w:szCs w:val="28"/>
              </w:rPr>
            </w:pPr>
            <w:r>
              <w:rPr>
                <w:rFonts w:hint="eastAsia" w:ascii="仿宋_GB2312" w:hAnsi="Times New Roman" w:eastAsia="仿宋_GB2312"/>
                <w:b/>
                <w:color w:val="auto"/>
                <w:sz w:val="24"/>
                <w:szCs w:val="28"/>
              </w:rPr>
              <w:t>4．“</w:t>
            </w:r>
            <w:r>
              <w:rPr>
                <w:rFonts w:ascii="仿宋_GB2312" w:hAnsi="Times New Roman" w:eastAsia="仿宋_GB2312"/>
                <w:b/>
                <w:color w:val="auto"/>
                <w:sz w:val="24"/>
                <w:szCs w:val="28"/>
              </w:rPr>
              <w:t>智慧</w:t>
            </w:r>
            <w:r>
              <w:rPr>
                <w:rFonts w:hint="eastAsia" w:ascii="仿宋_GB2312" w:hAnsi="Times New Roman" w:eastAsia="仿宋_GB2312"/>
                <w:b/>
                <w:color w:val="auto"/>
                <w:sz w:val="24"/>
                <w:szCs w:val="28"/>
              </w:rPr>
              <w:t>阜平”先行实施工程</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阜平县智慧交管实施工程</w:t>
            </w:r>
            <w:r>
              <w:rPr>
                <w:rFonts w:hint="eastAsia" w:ascii="仿宋_GB2312" w:eastAsia="仿宋_GB2312"/>
                <w:bCs/>
                <w:color w:val="auto"/>
                <w:sz w:val="24"/>
                <w:szCs w:val="28"/>
              </w:rPr>
              <w:t>。</w:t>
            </w:r>
            <w:r>
              <w:rPr>
                <w:rFonts w:ascii="仿宋_GB2312" w:eastAsia="仿宋_GB2312"/>
                <w:bCs/>
                <w:color w:val="auto"/>
                <w:sz w:val="24"/>
                <w:szCs w:val="28"/>
              </w:rPr>
              <w:t>建设内容包括</w:t>
            </w:r>
            <w:r>
              <w:rPr>
                <w:rFonts w:hint="eastAsia" w:ascii="仿宋_GB2312" w:eastAsia="仿宋_GB2312"/>
                <w:bCs/>
                <w:color w:val="auto"/>
                <w:sz w:val="24"/>
                <w:szCs w:val="28"/>
              </w:rPr>
              <w:t>卡口建设，违法抓拍诱导屏，电子围栏和人脸识别等</w:t>
            </w:r>
            <w:r>
              <w:rPr>
                <w:rFonts w:ascii="仿宋_GB2312" w:eastAsia="仿宋_GB2312"/>
                <w:bCs/>
                <w:color w:val="auto"/>
                <w:sz w:val="24"/>
                <w:szCs w:val="28"/>
              </w:rPr>
              <w:t>，估算总投资为</w:t>
            </w:r>
            <w:r>
              <w:rPr>
                <w:rFonts w:hint="eastAsia" w:ascii="仿宋_GB2312" w:eastAsia="仿宋_GB2312"/>
                <w:bCs/>
                <w:color w:val="auto"/>
                <w:sz w:val="24"/>
                <w:szCs w:val="28"/>
              </w:rPr>
              <w:t>5000万元。</w:t>
            </w:r>
          </w:p>
          <w:p>
            <w:pPr>
              <w:adjustRightInd w:val="0"/>
              <w:snapToGrid w:val="0"/>
              <w:ind w:firstLine="482"/>
              <w:rPr>
                <w:rFonts w:ascii="仿宋_GB2312" w:eastAsia="仿宋_GB2312"/>
                <w:bCs/>
                <w:color w:val="auto"/>
                <w:sz w:val="24"/>
                <w:szCs w:val="28"/>
              </w:rPr>
            </w:pPr>
            <w:r>
              <w:rPr>
                <w:rFonts w:hint="eastAsia" w:ascii="仿宋_GB2312" w:hAnsi="Times New Roman" w:eastAsia="仿宋_GB2312"/>
                <w:b/>
                <w:color w:val="auto"/>
                <w:sz w:val="24"/>
                <w:szCs w:val="28"/>
              </w:rPr>
              <w:t>阜平县</w:t>
            </w:r>
            <w:r>
              <w:rPr>
                <w:rFonts w:ascii="仿宋_GB2312" w:hAnsi="Times New Roman" w:eastAsia="仿宋_GB2312"/>
                <w:b/>
                <w:color w:val="auto"/>
                <w:sz w:val="24"/>
                <w:szCs w:val="28"/>
              </w:rPr>
              <w:t>智慧</w:t>
            </w:r>
            <w:r>
              <w:rPr>
                <w:rFonts w:hint="eastAsia" w:ascii="仿宋_GB2312" w:hAnsi="Times New Roman" w:eastAsia="仿宋_GB2312"/>
                <w:b/>
                <w:color w:val="auto"/>
                <w:sz w:val="24"/>
                <w:szCs w:val="28"/>
              </w:rPr>
              <w:t>小区试点工程</w:t>
            </w:r>
            <w:r>
              <w:rPr>
                <w:rFonts w:hint="eastAsia" w:ascii="仿宋_GB2312" w:hAnsi="Times New Roman" w:eastAsia="仿宋_GB2312"/>
                <w:color w:val="auto"/>
                <w:sz w:val="24"/>
                <w:szCs w:val="28"/>
              </w:rPr>
              <w:t>。</w:t>
            </w:r>
            <w:r>
              <w:rPr>
                <w:rFonts w:ascii="仿宋_GB2312" w:eastAsia="仿宋_GB2312"/>
                <w:bCs/>
                <w:color w:val="auto"/>
                <w:sz w:val="24"/>
                <w:szCs w:val="28"/>
              </w:rPr>
              <w:t>建设内容包括</w:t>
            </w:r>
            <w:r>
              <w:rPr>
                <w:rFonts w:hint="eastAsia" w:ascii="仿宋_GB2312" w:eastAsia="仿宋_GB2312"/>
                <w:bCs/>
                <w:color w:val="auto"/>
                <w:sz w:val="24"/>
                <w:szCs w:val="28"/>
              </w:rPr>
              <w:t>小区监控、车辆识别、人脸识别设备等</w:t>
            </w:r>
            <w:r>
              <w:rPr>
                <w:rFonts w:ascii="仿宋_GB2312" w:eastAsia="仿宋_GB2312"/>
                <w:bCs/>
                <w:color w:val="auto"/>
                <w:sz w:val="24"/>
                <w:szCs w:val="28"/>
              </w:rPr>
              <w:t>，估算总投资为2</w:t>
            </w:r>
            <w:r>
              <w:rPr>
                <w:rFonts w:hint="eastAsia" w:ascii="仿宋_GB2312" w:eastAsia="仿宋_GB2312"/>
                <w:bCs/>
                <w:color w:val="auto"/>
                <w:sz w:val="24"/>
                <w:szCs w:val="28"/>
              </w:rPr>
              <w:t>000万元。</w:t>
            </w:r>
          </w:p>
        </w:tc>
      </w:tr>
    </w:tbl>
    <w:p>
      <w:pPr>
        <w:ind w:firstLine="560"/>
        <w:rPr>
          <w:color w:val="auto"/>
        </w:rPr>
      </w:pPr>
    </w:p>
    <w:p>
      <w:pPr>
        <w:ind w:firstLine="560"/>
        <w:rPr>
          <w:color w:val="auto"/>
        </w:rPr>
      </w:pPr>
    </w:p>
    <w:p>
      <w:pPr>
        <w:pStyle w:val="2"/>
        <w:spacing w:line="240" w:lineRule="auto"/>
        <w:jc w:val="center"/>
        <w:rPr>
          <w:color w:val="auto"/>
        </w:rPr>
      </w:pPr>
      <w:bookmarkStart w:id="29" w:name="_Toc62244282"/>
      <w:r>
        <w:rPr>
          <w:rFonts w:hint="eastAsia"/>
          <w:color w:val="auto"/>
        </w:rPr>
        <w:t>第七章  持续改善</w:t>
      </w:r>
      <w:r>
        <w:rPr>
          <w:color w:val="auto"/>
        </w:rPr>
        <w:t>人民生活</w:t>
      </w:r>
      <w:r>
        <w:rPr>
          <w:rFonts w:hint="eastAsia"/>
          <w:color w:val="auto"/>
        </w:rPr>
        <w:t>品质，创建和谐阜平</w:t>
      </w:r>
      <w:bookmarkEnd w:id="29"/>
    </w:p>
    <w:p>
      <w:pPr>
        <w:ind w:firstLine="560"/>
        <w:rPr>
          <w:rFonts w:asciiTheme="minorEastAsia" w:hAnsiTheme="minorEastAsia" w:eastAsiaTheme="minorEastAsia"/>
          <w:color w:val="auto"/>
          <w:sz w:val="24"/>
        </w:rPr>
      </w:pPr>
      <w:r>
        <w:rPr>
          <w:rFonts w:hint="eastAsia"/>
          <w:color w:val="auto"/>
        </w:rPr>
        <w:t>坚持以人民为中心，围绕基本公共服务均等化目标，实施民生优先战略，持续强化普惠性、基础性、兜底性民生工程建设，推进创新多样化</w:t>
      </w:r>
      <w:r>
        <w:rPr>
          <w:color w:val="auto"/>
        </w:rPr>
        <w:t>、品质化</w:t>
      </w:r>
      <w:r>
        <w:rPr>
          <w:rFonts w:hint="eastAsia"/>
          <w:color w:val="auto"/>
        </w:rPr>
        <w:t>需求</w:t>
      </w:r>
      <w:r>
        <w:rPr>
          <w:color w:val="auto"/>
        </w:rPr>
        <w:t>供给</w:t>
      </w:r>
      <w:r>
        <w:rPr>
          <w:rFonts w:hint="eastAsia"/>
          <w:color w:val="auto"/>
        </w:rPr>
        <w:t>机制。</w:t>
      </w:r>
    </w:p>
    <w:p>
      <w:pPr>
        <w:pStyle w:val="3"/>
        <w:spacing w:before="204"/>
        <w:ind w:firstLine="560" w:firstLineChars="200"/>
        <w:rPr>
          <w:color w:val="auto"/>
          <w:szCs w:val="30"/>
        </w:rPr>
      </w:pPr>
      <w:bookmarkStart w:id="30" w:name="_Toc62244283"/>
      <w:r>
        <w:rPr>
          <w:rFonts w:hint="eastAsia"/>
          <w:color w:val="auto"/>
          <w:szCs w:val="30"/>
        </w:rPr>
        <w:t>第一节  大力实施“健康阜平”发展战略</w:t>
      </w:r>
      <w:bookmarkEnd w:id="30"/>
    </w:p>
    <w:p>
      <w:pPr>
        <w:ind w:firstLine="560"/>
        <w:rPr>
          <w:color w:val="auto"/>
          <w:shd w:val="clear" w:color="auto" w:fill="FFFFFF"/>
        </w:rPr>
      </w:pPr>
      <w:r>
        <w:rPr>
          <w:rFonts w:hint="eastAsia"/>
          <w:color w:val="auto"/>
          <w:shd w:val="clear" w:color="auto" w:fill="FFFFFF"/>
        </w:rPr>
        <w:t>大力落实健康中国战略，积极融入京雄石保生命健康廊道，加快转变健康领域发展方式，全面</w:t>
      </w:r>
      <w:r>
        <w:rPr>
          <w:color w:val="auto"/>
          <w:shd w:val="clear" w:color="auto" w:fill="FFFFFF"/>
        </w:rPr>
        <w:t>推进健康阜平建设</w:t>
      </w:r>
      <w:r>
        <w:rPr>
          <w:rFonts w:hint="eastAsia"/>
          <w:color w:val="auto"/>
          <w:shd w:val="clear" w:color="auto" w:fill="FFFFFF"/>
        </w:rPr>
        <w:t>。到2025年，</w:t>
      </w:r>
      <w:r>
        <w:rPr>
          <w:color w:val="auto"/>
          <w:shd w:val="clear" w:color="auto" w:fill="FFFFFF"/>
        </w:rPr>
        <w:t>基本形成促进全民健康的制度体系和彰显特色活力的健康产业。</w:t>
      </w:r>
    </w:p>
    <w:p>
      <w:pPr>
        <w:pStyle w:val="4"/>
        <w:numPr>
          <w:ilvl w:val="0"/>
          <w:numId w:val="0"/>
        </w:numPr>
        <w:ind w:left="643"/>
        <w:rPr>
          <w:color w:val="auto"/>
        </w:rPr>
      </w:pPr>
      <w:r>
        <w:rPr>
          <w:rFonts w:hint="eastAsia"/>
          <w:color w:val="auto"/>
        </w:rPr>
        <w:t>一</w:t>
      </w:r>
      <w:r>
        <w:rPr>
          <w:color w:val="auto"/>
        </w:rPr>
        <w:t>、</w:t>
      </w:r>
      <w:r>
        <w:rPr>
          <w:rFonts w:hint="eastAsia"/>
          <w:color w:val="auto"/>
        </w:rPr>
        <w:t>全面构建医疗卫生服务体系</w:t>
      </w:r>
    </w:p>
    <w:p>
      <w:pPr>
        <w:ind w:firstLine="562"/>
        <w:rPr>
          <w:color w:val="auto"/>
        </w:rPr>
      </w:pPr>
      <w:r>
        <w:rPr>
          <w:rFonts w:hint="eastAsia"/>
          <w:b/>
          <w:color w:val="auto"/>
          <w:shd w:val="clear" w:color="auto" w:fill="FFFFFF"/>
        </w:rPr>
        <w:t>构建整合型医疗卫生服务体系</w:t>
      </w:r>
      <w:r>
        <w:rPr>
          <w:rFonts w:hint="eastAsia"/>
          <w:color w:val="auto"/>
          <w:shd w:val="clear" w:color="auto" w:fill="FFFFFF"/>
        </w:rPr>
        <w:t>。按常住人口、服务半径及</w:t>
      </w:r>
      <w:r>
        <w:rPr>
          <w:color w:val="auto"/>
          <w:shd w:val="clear" w:color="auto" w:fill="FFFFFF"/>
        </w:rPr>
        <w:t>相关产业发展需求</w:t>
      </w:r>
      <w:r>
        <w:rPr>
          <w:rFonts w:hint="eastAsia"/>
          <w:color w:val="auto"/>
          <w:shd w:val="clear" w:color="auto" w:fill="FFFFFF"/>
        </w:rPr>
        <w:t>，合理布局县域基本医疗卫生资源，</w:t>
      </w:r>
      <w:r>
        <w:rPr>
          <w:color w:val="auto"/>
          <w:shd w:val="clear" w:color="auto" w:fill="FFFFFF"/>
        </w:rPr>
        <w:t>构建</w:t>
      </w:r>
      <w:r>
        <w:rPr>
          <w:rFonts w:hint="eastAsia"/>
          <w:color w:val="auto"/>
          <w:shd w:val="clear" w:color="auto" w:fill="FFFFFF"/>
        </w:rPr>
        <w:t>体系完整、功能互补、密切协作、运行高效的整合型医疗卫生服务体系。</w:t>
      </w:r>
      <w:r>
        <w:rPr>
          <w:rFonts w:hint="eastAsia"/>
          <w:color w:val="auto"/>
        </w:rPr>
        <w:t>推进县级综合医院（含中医院）提标改造，以门急诊、住院、医技科室为重点，增强传染病科室诊疗能力、重症监护室（ICU）救治能力，增加重要医疗物资储备，预留应急空间，强化平战结合，</w:t>
      </w:r>
      <w:r>
        <w:rPr>
          <w:rFonts w:hint="eastAsia"/>
          <w:color w:val="auto"/>
          <w:shd w:val="clear" w:color="auto" w:fill="FFFFFF"/>
        </w:rPr>
        <w:t>协同</w:t>
      </w:r>
      <w:r>
        <w:rPr>
          <w:rFonts w:hint="eastAsia"/>
          <w:color w:val="auto"/>
        </w:rPr>
        <w:t>推进县城与邻近地级市城区、省会城市医疗卫生设施统筹布局和衔接配合。</w:t>
      </w:r>
    </w:p>
    <w:p>
      <w:pPr>
        <w:ind w:firstLine="562"/>
        <w:rPr>
          <w:color w:val="auto"/>
          <w:shd w:val="clear" w:color="auto" w:fill="FFFFFF"/>
        </w:rPr>
      </w:pPr>
      <w:r>
        <w:rPr>
          <w:b/>
          <w:color w:val="auto"/>
        </w:rPr>
        <w:t>探索</w:t>
      </w:r>
      <w:r>
        <w:rPr>
          <w:rFonts w:hint="eastAsia"/>
          <w:b/>
          <w:color w:val="auto"/>
          <w:shd w:val="clear" w:color="auto" w:fill="FFFFFF"/>
        </w:rPr>
        <w:t>医养康养联合体协作模式</w:t>
      </w:r>
      <w:r>
        <w:rPr>
          <w:rFonts w:hint="eastAsia"/>
          <w:color w:val="auto"/>
          <w:shd w:val="clear" w:color="auto" w:fill="FFFFFF"/>
        </w:rPr>
        <w:t>。鼓励养老服务机构和医疗卫生服务机构探索</w:t>
      </w:r>
      <w:r>
        <w:rPr>
          <w:color w:val="auto"/>
          <w:shd w:val="clear" w:color="auto" w:fill="FFFFFF"/>
        </w:rPr>
        <w:t>协作</w:t>
      </w:r>
      <w:r>
        <w:rPr>
          <w:rFonts w:hint="eastAsia"/>
          <w:color w:val="auto"/>
          <w:shd w:val="clear" w:color="auto" w:fill="FFFFFF"/>
        </w:rPr>
        <w:t>，加快</w:t>
      </w:r>
      <w:r>
        <w:rPr>
          <w:color w:val="auto"/>
          <w:shd w:val="clear" w:color="auto" w:fill="FFFFFF"/>
        </w:rPr>
        <w:t>完善</w:t>
      </w:r>
      <w:r>
        <w:rPr>
          <w:rFonts w:hint="eastAsia"/>
          <w:color w:val="auto"/>
          <w:shd w:val="clear" w:color="auto" w:fill="FFFFFF"/>
        </w:rPr>
        <w:t>以县级医院为龙头、乡镇卫生院为枢纽、村卫生室为基础的县乡一体化管理机制和三级联动的县域医疗服务体系，提高服务体系整体绩效。重点探索京涿阜医联体服务新模式，构建远程医疗服务体系和</w:t>
      </w:r>
      <w:r>
        <w:rPr>
          <w:color w:val="auto"/>
          <w:shd w:val="clear" w:color="auto" w:fill="FFFFFF"/>
        </w:rPr>
        <w:t>分级共治</w:t>
      </w:r>
      <w:r>
        <w:rPr>
          <w:rFonts w:hint="eastAsia"/>
          <w:color w:val="auto"/>
          <w:shd w:val="clear" w:color="auto" w:fill="FFFFFF"/>
        </w:rPr>
        <w:t>医养服务模式。建立稳定高效的出院准备和转介机制，鼓励经医院诊治转入康复护理阶段的老年人自愿到社区养老机构、各类医养结合机构进行康复治疗。</w:t>
      </w:r>
    </w:p>
    <w:p>
      <w:pPr>
        <w:pStyle w:val="4"/>
        <w:numPr>
          <w:ilvl w:val="0"/>
          <w:numId w:val="0"/>
        </w:numPr>
        <w:ind w:left="643"/>
        <w:rPr>
          <w:color w:val="auto"/>
        </w:rPr>
      </w:pPr>
      <w:r>
        <w:rPr>
          <w:rFonts w:hint="eastAsia"/>
          <w:color w:val="auto"/>
        </w:rPr>
        <w:t>二</w:t>
      </w:r>
      <w:r>
        <w:rPr>
          <w:color w:val="auto"/>
        </w:rPr>
        <w:t>、</w:t>
      </w:r>
      <w:r>
        <w:rPr>
          <w:rFonts w:hint="eastAsia"/>
          <w:color w:val="auto"/>
        </w:rPr>
        <w:t>优化</w:t>
      </w:r>
      <w:r>
        <w:rPr>
          <w:color w:val="auto"/>
        </w:rPr>
        <w:t>完善</w:t>
      </w:r>
      <w:r>
        <w:rPr>
          <w:rFonts w:hint="eastAsia"/>
          <w:color w:val="auto"/>
        </w:rPr>
        <w:t>生命健康</w:t>
      </w:r>
      <w:r>
        <w:rPr>
          <w:color w:val="auto"/>
        </w:rPr>
        <w:t>服务内容</w:t>
      </w:r>
    </w:p>
    <w:p>
      <w:pPr>
        <w:ind w:firstLine="562"/>
        <w:rPr>
          <w:color w:val="auto"/>
        </w:rPr>
      </w:pPr>
      <w:r>
        <w:rPr>
          <w:rFonts w:hint="eastAsia"/>
          <w:b/>
          <w:color w:val="auto"/>
        </w:rPr>
        <w:t>加强全方位全周期健康服务</w:t>
      </w:r>
      <w:r>
        <w:rPr>
          <w:rFonts w:hint="eastAsia"/>
          <w:color w:val="auto"/>
          <w:shd w:val="clear" w:color="auto" w:fill="FFFFFF"/>
        </w:rPr>
        <w:t>。坚持政府主导与社会调动、个人参与相结合，落实预防为主，</w:t>
      </w:r>
      <w:r>
        <w:rPr>
          <w:rFonts w:hint="eastAsia"/>
          <w:color w:val="auto"/>
        </w:rPr>
        <w:t>强化全人群健康教育，</w:t>
      </w:r>
      <w:r>
        <w:rPr>
          <w:rFonts w:hint="eastAsia"/>
          <w:color w:val="auto"/>
          <w:shd w:val="clear" w:color="auto" w:fill="FFFFFF"/>
        </w:rPr>
        <w:t>倡导引领健康生活方式</w:t>
      </w:r>
      <w:r>
        <w:rPr>
          <w:rFonts w:hint="eastAsia"/>
          <w:color w:val="auto"/>
        </w:rPr>
        <w:t>。加强疾病综合预防</w:t>
      </w:r>
      <w:r>
        <w:rPr>
          <w:rFonts w:hint="eastAsia"/>
          <w:color w:val="auto"/>
          <w:shd w:val="clear" w:color="auto" w:fill="FFFFFF"/>
        </w:rPr>
        <w:t>，</w:t>
      </w:r>
      <w:r>
        <w:rPr>
          <w:rFonts w:hint="eastAsia"/>
          <w:color w:val="auto"/>
        </w:rPr>
        <w:t>为居民提供全程化、规范化的健康管理，</w:t>
      </w:r>
      <w:r>
        <w:rPr>
          <w:rFonts w:hint="eastAsia"/>
          <w:color w:val="auto"/>
          <w:shd w:val="clear" w:color="auto" w:fill="FFFFFF"/>
        </w:rPr>
        <w:t>强化早诊断、早治疗、早康复</w:t>
      </w:r>
      <w:r>
        <w:rPr>
          <w:rFonts w:hint="eastAsia"/>
          <w:color w:val="auto"/>
        </w:rPr>
        <w:t>。落实“防治结合”，为患者提供连续性诊疗服务，鼓励护理院、专业康复机构加入共建，提供一体化、便利化的疾病诊疗-康复-长期护理连续性服务。突出基层社区作用，完善社区健康服务网络，加大家庭床位巡诊服务供给，做实老年人家庭医生签约服务，加快推进健康服务向农村延伸。</w:t>
      </w:r>
    </w:p>
    <w:p>
      <w:pPr>
        <w:ind w:firstLine="562"/>
        <w:rPr>
          <w:color w:val="auto"/>
        </w:rPr>
      </w:pPr>
      <w:r>
        <w:rPr>
          <w:rFonts w:hint="eastAsia"/>
          <w:b/>
          <w:color w:val="auto"/>
        </w:rPr>
        <w:t>加强中医药及康养体系建设</w:t>
      </w:r>
      <w:r>
        <w:rPr>
          <w:rFonts w:hint="eastAsia"/>
          <w:color w:val="auto"/>
        </w:rPr>
        <w:t>。实施积极</w:t>
      </w:r>
      <w:r>
        <w:rPr>
          <w:color w:val="auto"/>
        </w:rPr>
        <w:t>应对人口老龄化战略，</w:t>
      </w:r>
      <w:r>
        <w:rPr>
          <w:rFonts w:hint="eastAsia"/>
          <w:color w:val="auto"/>
        </w:rPr>
        <w:t>大力发展</w:t>
      </w:r>
      <w:r>
        <w:rPr>
          <w:color w:val="auto"/>
        </w:rPr>
        <w:t>银发经济、健康经济。</w:t>
      </w:r>
      <w:r>
        <w:rPr>
          <w:rFonts w:hint="eastAsia"/>
          <w:color w:val="auto"/>
        </w:rPr>
        <w:t>积极推广和应用中医药预防保健方法和技术，充分发挥中医药在疾病预防控制、应对突发公共卫生事件、医疗、保健和康复服务中的作用；优化康养资源布局，全方位加强基层社区健康服务能力建设，加强社区养老、居家养老、智慧养老配套设施建设；完善政府和医保购买服务，加快建设以中医特色医疗康复托老中心为主体的“医养结合”综合项目。引导社会资本参与，培植一批高中低多层次的医养结合机构，发展集教育、健康、养生、文化等功能于一体的老年社区和服务综合体，打造京津冀康养服务新高地。</w:t>
      </w:r>
    </w:p>
    <w:p>
      <w:pPr>
        <w:pStyle w:val="4"/>
        <w:numPr>
          <w:ilvl w:val="0"/>
          <w:numId w:val="0"/>
        </w:numPr>
        <w:ind w:left="643"/>
        <w:rPr>
          <w:color w:val="auto"/>
        </w:rPr>
      </w:pPr>
      <w:r>
        <w:rPr>
          <w:rFonts w:hint="eastAsia"/>
          <w:color w:val="auto"/>
        </w:rPr>
        <w:t>三</w:t>
      </w:r>
      <w:r>
        <w:rPr>
          <w:color w:val="auto"/>
        </w:rPr>
        <w:t>、</w:t>
      </w:r>
      <w:r>
        <w:rPr>
          <w:rFonts w:hint="eastAsia"/>
          <w:color w:val="auto"/>
        </w:rPr>
        <w:t>构筑“健康阜平”全域生态圈</w:t>
      </w:r>
    </w:p>
    <w:p>
      <w:pPr>
        <w:ind w:firstLine="562"/>
        <w:rPr>
          <w:color w:val="auto"/>
        </w:rPr>
      </w:pPr>
      <w:r>
        <w:rPr>
          <w:rFonts w:hint="eastAsia"/>
          <w:b/>
          <w:color w:val="auto"/>
        </w:rPr>
        <w:t>配套优化</w:t>
      </w:r>
      <w:r>
        <w:rPr>
          <w:b/>
          <w:color w:val="auto"/>
        </w:rPr>
        <w:t>生命健康产业发展</w:t>
      </w:r>
      <w:r>
        <w:rPr>
          <w:rFonts w:hint="eastAsia"/>
          <w:b/>
          <w:color w:val="auto"/>
        </w:rPr>
        <w:t>，精准提升“中端”水平</w:t>
      </w:r>
      <w:r>
        <w:rPr>
          <w:rFonts w:hint="eastAsia"/>
          <w:color w:val="auto"/>
        </w:rPr>
        <w:t>。</w:t>
      </w:r>
      <w:r>
        <w:rPr>
          <w:rFonts w:hint="eastAsia"/>
          <w:color w:val="auto"/>
          <w:shd w:val="clear" w:color="auto" w:fill="FFFFFF"/>
        </w:rPr>
        <w:t>聚焦保定市</w:t>
      </w:r>
      <w:r>
        <w:rPr>
          <w:color w:val="auto"/>
          <w:shd w:val="clear" w:color="auto" w:fill="FFFFFF"/>
        </w:rPr>
        <w:t>国际医疗基地和</w:t>
      </w:r>
      <w:r>
        <w:rPr>
          <w:rFonts w:hint="eastAsia"/>
          <w:color w:val="auto"/>
          <w:shd w:val="clear" w:color="auto" w:fill="FFFFFF"/>
        </w:rPr>
        <w:t>京雄石保生命健康廊道建设，</w:t>
      </w:r>
      <w:r>
        <w:rPr>
          <w:rFonts w:hint="eastAsia"/>
          <w:color w:val="auto"/>
        </w:rPr>
        <w:t>针对区域产业总体布局，大力引进绿色</w:t>
      </w:r>
      <w:r>
        <w:rPr>
          <w:color w:val="auto"/>
        </w:rPr>
        <w:t>生态、</w:t>
      </w:r>
      <w:r>
        <w:rPr>
          <w:rFonts w:hint="eastAsia"/>
          <w:color w:val="auto"/>
        </w:rPr>
        <w:t>关联性带动性强的医疗器械制造企业和生产性服务企业；引导扶持传统加工企业向产业链中高端延伸，</w:t>
      </w:r>
      <w:r>
        <w:rPr>
          <w:rFonts w:hint="eastAsia"/>
          <w:color w:val="auto"/>
          <w:shd w:val="clear" w:color="auto" w:fill="FFFFFF"/>
        </w:rPr>
        <w:t>引入培养中药精深加工业，推进中药向预防、保健、康复、食疗等方向延伸发展，研发特色保健品和功能饮料的中药产品，实施药膳、药酒、药茶、饮料、保健品等药食两用产品深加工项目，拓展开发药材生物制品、绿色保健产品等高技术系列产品</w:t>
      </w:r>
      <w:r>
        <w:rPr>
          <w:rFonts w:hint="eastAsia"/>
          <w:color w:val="auto"/>
        </w:rPr>
        <w:t>，打造特色健康产品加工供应基地。</w:t>
      </w:r>
    </w:p>
    <w:p>
      <w:pPr>
        <w:ind w:firstLine="562"/>
        <w:rPr>
          <w:color w:val="auto"/>
          <w:sz w:val="24"/>
        </w:rPr>
      </w:pPr>
      <w:r>
        <w:rPr>
          <w:rFonts w:hint="eastAsia"/>
          <w:b/>
          <w:color w:val="auto"/>
        </w:rPr>
        <w:t>构建生命健康服务体系，着力强化“后端”功能</w:t>
      </w:r>
      <w:r>
        <w:rPr>
          <w:rFonts w:hint="eastAsia"/>
          <w:color w:val="auto"/>
        </w:rPr>
        <w:t>。</w:t>
      </w:r>
      <w:r>
        <w:rPr>
          <w:rFonts w:hint="eastAsia"/>
          <w:color w:val="auto"/>
          <w:shd w:val="clear" w:color="auto" w:fill="FFFFFF"/>
        </w:rPr>
        <w:t>引导推动现代医疗和医药产业高质量发展，主动谋划制定相关政策措施，支持“互联网+医疗健康”、基层互联网医院、医共体、远程诊疗、家庭医生等新型医疗服务以及医养结合、中医药等领域创新发展。</w:t>
      </w:r>
      <w:r>
        <w:rPr>
          <w:rFonts w:hint="eastAsia"/>
          <w:color w:val="auto"/>
        </w:rPr>
        <w:t>对接区域优势医药资源，发挥阜平生态、旅游、教育、医疗等资源优势，推动平台和产业布局，拓展</w:t>
      </w:r>
      <w:r>
        <w:rPr>
          <w:color w:val="auto"/>
        </w:rPr>
        <w:t>完善</w:t>
      </w:r>
      <w:r>
        <w:rPr>
          <w:rFonts w:hint="eastAsia"/>
          <w:color w:val="auto"/>
        </w:rPr>
        <w:t>服务体系，</w:t>
      </w:r>
      <w:r>
        <w:rPr>
          <w:color w:val="auto"/>
        </w:rPr>
        <w:t>增强服务</w:t>
      </w:r>
      <w:r>
        <w:rPr>
          <w:rFonts w:hint="eastAsia"/>
          <w:color w:val="auto"/>
        </w:rPr>
        <w:t>产品供给能力和水平。</w:t>
      </w:r>
    </w:p>
    <w:p>
      <w:pPr>
        <w:pStyle w:val="3"/>
        <w:spacing w:before="204"/>
        <w:ind w:firstLine="560" w:firstLineChars="200"/>
        <w:rPr>
          <w:color w:val="auto"/>
          <w:szCs w:val="30"/>
        </w:rPr>
      </w:pPr>
      <w:bookmarkStart w:id="31" w:name="_Toc62244284"/>
      <w:r>
        <w:rPr>
          <w:rFonts w:hint="eastAsia"/>
          <w:color w:val="auto"/>
          <w:szCs w:val="30"/>
        </w:rPr>
        <w:t>第二节  推动社会公共服务优质均等化</w:t>
      </w:r>
      <w:bookmarkEnd w:id="31"/>
    </w:p>
    <w:p>
      <w:pPr>
        <w:ind w:firstLine="560"/>
        <w:rPr>
          <w:color w:val="auto"/>
        </w:rPr>
      </w:pPr>
      <w:r>
        <w:rPr>
          <w:rFonts w:hint="eastAsia"/>
          <w:color w:val="auto"/>
        </w:rPr>
        <w:t>全面建立系统完善、层次分明、衔接配套、人人享有的基本公共服务标准体系，到202</w:t>
      </w:r>
      <w:r>
        <w:rPr>
          <w:color w:val="auto"/>
        </w:rPr>
        <w:t>5</w:t>
      </w:r>
      <w:r>
        <w:rPr>
          <w:rFonts w:hint="eastAsia"/>
          <w:color w:val="auto"/>
        </w:rPr>
        <w:t>年</w:t>
      </w:r>
      <w:r>
        <w:rPr>
          <w:color w:val="auto"/>
        </w:rPr>
        <w:t>，基本</w:t>
      </w:r>
      <w:r>
        <w:rPr>
          <w:rFonts w:hint="eastAsia"/>
          <w:color w:val="auto"/>
        </w:rPr>
        <w:t>构建“中心城区-重点镇-一般乡镇-中心村-基层村”五级县域公共服务设施配置体系。</w:t>
      </w:r>
    </w:p>
    <w:p>
      <w:pPr>
        <w:pStyle w:val="4"/>
        <w:numPr>
          <w:ilvl w:val="0"/>
          <w:numId w:val="0"/>
        </w:numPr>
        <w:ind w:left="643"/>
        <w:rPr>
          <w:color w:val="auto"/>
        </w:rPr>
      </w:pPr>
      <w:r>
        <w:rPr>
          <w:rFonts w:hint="eastAsia"/>
          <w:color w:val="auto"/>
        </w:rPr>
        <w:t>一</w:t>
      </w:r>
      <w:r>
        <w:rPr>
          <w:color w:val="auto"/>
        </w:rPr>
        <w:t>、</w:t>
      </w:r>
      <w:r>
        <w:rPr>
          <w:rFonts w:hint="eastAsia"/>
          <w:color w:val="auto"/>
        </w:rPr>
        <w:t>深化改革统筹发展教育事业</w:t>
      </w:r>
    </w:p>
    <w:p>
      <w:pPr>
        <w:ind w:firstLine="562"/>
        <w:rPr>
          <w:color w:val="auto"/>
        </w:rPr>
      </w:pPr>
      <w:r>
        <w:rPr>
          <w:rFonts w:hint="eastAsia"/>
          <w:b/>
          <w:color w:val="auto"/>
        </w:rPr>
        <w:t>巩固提升教育扶贫成果</w:t>
      </w:r>
      <w:r>
        <w:rPr>
          <w:rFonts w:hint="eastAsia"/>
          <w:color w:val="auto"/>
        </w:rPr>
        <w:t>。继续聚焦城乡薄弱学校和相对贫困家庭子女，建立动态调整的认定标准，实行差异化的学生资助政策，</w:t>
      </w:r>
      <w:r>
        <w:rPr>
          <w:color w:val="auto"/>
        </w:rPr>
        <w:t>保障</w:t>
      </w:r>
      <w:r>
        <w:rPr>
          <w:rFonts w:hint="eastAsia"/>
          <w:color w:val="auto"/>
        </w:rPr>
        <w:t>教育扶贫政策和措施有效惠及每个贫困家庭和贫困学生。实施乡村振兴战略教育行动，完善职业教育和培训体系，补齐城乡教育发展短板。</w:t>
      </w:r>
    </w:p>
    <w:p>
      <w:pPr>
        <w:ind w:firstLine="562"/>
        <w:rPr>
          <w:color w:val="auto"/>
        </w:rPr>
      </w:pPr>
      <w:r>
        <w:rPr>
          <w:rFonts w:hint="eastAsia"/>
          <w:b/>
          <w:color w:val="auto"/>
        </w:rPr>
        <w:t>深化教育领域综合改革</w:t>
      </w:r>
      <w:r>
        <w:rPr>
          <w:rFonts w:hint="eastAsia"/>
          <w:color w:val="auto"/>
        </w:rPr>
        <w:t>。推进城乡教育一体化布局，优化资源配置，促进公平发展和质量提升。推进学前教育优质普惠发展，构建以优质普惠为主、多元需求为辅的学前教育公共服务体系，重点发展农村学前教育，建立以公共财政为主的农村学前教育成本分担机制，到2025年，幼儿教育毛入园率达到</w:t>
      </w:r>
      <w:r>
        <w:rPr>
          <w:color w:val="auto"/>
        </w:rPr>
        <w:t>93</w:t>
      </w:r>
      <w:r>
        <w:rPr>
          <w:rFonts w:hint="eastAsia"/>
          <w:color w:val="auto"/>
        </w:rPr>
        <w:t>%，公办幼儿园占比达</w:t>
      </w:r>
      <w:r>
        <w:rPr>
          <w:color w:val="auto"/>
        </w:rPr>
        <w:t>70</w:t>
      </w:r>
      <w:r>
        <w:rPr>
          <w:rFonts w:hint="eastAsia"/>
          <w:color w:val="auto"/>
        </w:rPr>
        <w:t>%以上，普惠性幼儿园覆盖率达</w:t>
      </w:r>
      <w:r>
        <w:rPr>
          <w:color w:val="auto"/>
        </w:rPr>
        <w:t>85</w:t>
      </w:r>
      <w:r>
        <w:rPr>
          <w:rFonts w:hint="eastAsia"/>
          <w:color w:val="auto"/>
        </w:rPr>
        <w:t>%以上。继续推进义务教育优质均衡发展，优化中小学布局，保证县域内适龄人口就近入学需求，全面完成中心城区学校提质改造和乡村小规模学校、寄宿制学校改善</w:t>
      </w:r>
      <w:r>
        <w:rPr>
          <w:color w:val="auto"/>
        </w:rPr>
        <w:t>提升</w:t>
      </w:r>
      <w:r>
        <w:rPr>
          <w:rFonts w:hint="eastAsia"/>
          <w:color w:val="auto"/>
        </w:rPr>
        <w:t>，全面推进办学条件标准化，九年义务教育巩固率达到</w:t>
      </w:r>
      <w:r>
        <w:rPr>
          <w:color w:val="auto"/>
        </w:rPr>
        <w:t>100</w:t>
      </w:r>
      <w:r>
        <w:rPr>
          <w:rFonts w:hint="eastAsia"/>
          <w:color w:val="auto"/>
        </w:rPr>
        <w:t>%，义务教育阶段大班额比例为零。加快推进高中阶段教育发展，实施普通高中提升计划，加强标准化建设，着力提升教学质量，力争到2025年，高中学业水平考试成绩合格率达</w:t>
      </w:r>
      <w:r>
        <w:rPr>
          <w:color w:val="auto"/>
        </w:rPr>
        <w:t>100</w:t>
      </w:r>
      <w:r>
        <w:rPr>
          <w:rFonts w:hint="eastAsia"/>
          <w:color w:val="auto"/>
        </w:rPr>
        <w:t>%；统筹</w:t>
      </w:r>
      <w:r>
        <w:rPr>
          <w:color w:val="auto"/>
        </w:rPr>
        <w:t>实施</w:t>
      </w:r>
      <w:r>
        <w:rPr>
          <w:rFonts w:hint="eastAsia"/>
          <w:color w:val="auto"/>
        </w:rPr>
        <w:t>高中</w:t>
      </w:r>
      <w:r>
        <w:rPr>
          <w:color w:val="auto"/>
        </w:rPr>
        <w:t>教育</w:t>
      </w:r>
      <w:r>
        <w:rPr>
          <w:rFonts w:hint="eastAsia"/>
          <w:color w:val="auto"/>
        </w:rPr>
        <w:t>特色发展，鼓励学校多样化</w:t>
      </w:r>
      <w:r>
        <w:rPr>
          <w:color w:val="auto"/>
        </w:rPr>
        <w:t>发展，</w:t>
      </w:r>
      <w:r>
        <w:rPr>
          <w:rFonts w:hint="eastAsia"/>
          <w:color w:val="auto"/>
        </w:rPr>
        <w:t>推进课程基地和特色项目建设，2025年所有高中全部建有市级或县级课程基地。</w:t>
      </w:r>
    </w:p>
    <w:p>
      <w:pPr>
        <w:ind w:firstLine="562"/>
        <w:rPr>
          <w:color w:val="auto"/>
        </w:rPr>
      </w:pPr>
      <w:r>
        <w:rPr>
          <w:rFonts w:hint="eastAsia"/>
          <w:b/>
          <w:color w:val="auto"/>
        </w:rPr>
        <w:t>大力实施职业教育产教融合</w:t>
      </w:r>
      <w:r>
        <w:rPr>
          <w:rFonts w:hint="eastAsia"/>
          <w:color w:val="auto"/>
        </w:rPr>
        <w:t>。加快构建现代职业教育体系，打造满足全县产业需求、服务京津冀晋市场的高技能、高技术人才培养和输送基地。加快职教中心</w:t>
      </w:r>
      <w:r>
        <w:rPr>
          <w:color w:val="auto"/>
        </w:rPr>
        <w:t>升格高职院校步伐，</w:t>
      </w:r>
      <w:r>
        <w:rPr>
          <w:rFonts w:hint="eastAsia"/>
          <w:color w:val="auto"/>
        </w:rPr>
        <w:t>继续强化</w:t>
      </w:r>
      <w:r>
        <w:rPr>
          <w:color w:val="auto"/>
        </w:rPr>
        <w:t>与河北农业大学、河北金融学院、河北软件职业技术学院、保定职业技术学院的</w:t>
      </w:r>
      <w:r>
        <w:rPr>
          <w:rFonts w:hint="eastAsia"/>
          <w:color w:val="auto"/>
        </w:rPr>
        <w:t>深入</w:t>
      </w:r>
      <w:r>
        <w:rPr>
          <w:color w:val="auto"/>
        </w:rPr>
        <w:t>合作，</w:t>
      </w:r>
      <w:r>
        <w:rPr>
          <w:rFonts w:hint="eastAsia"/>
          <w:color w:val="auto"/>
        </w:rPr>
        <w:t>全力</w:t>
      </w:r>
      <w:r>
        <w:rPr>
          <w:color w:val="auto"/>
        </w:rPr>
        <w:t>推进学生发展指导中心建设，打造全国学生心理发展体验基地。</w:t>
      </w:r>
      <w:r>
        <w:rPr>
          <w:rFonts w:hint="eastAsia"/>
          <w:color w:val="auto"/>
        </w:rPr>
        <w:t>建设实用</w:t>
      </w:r>
      <w:r>
        <w:rPr>
          <w:color w:val="auto"/>
        </w:rPr>
        <w:t>高效</w:t>
      </w:r>
      <w:r>
        <w:rPr>
          <w:rFonts w:hint="eastAsia"/>
          <w:color w:val="auto"/>
        </w:rPr>
        <w:t>职业教育体系，实施劳动预备制培训普及计划，对未能升学的应届初高中毕业生等新成长劳动力普遍实行劳动预备制培训；实施企业职工技能提升计划，组织企业技能岗位员工开展技能提升培训；实施农村劳动力技能培训工程，针对主导产业开展转移就业培训；实施下岗失业人员转业转岗培训计划，提高职业转换能力。探索建设产教融合园区，以国家产教融合建设试点为</w:t>
      </w:r>
      <w:r>
        <w:rPr>
          <w:color w:val="auto"/>
        </w:rPr>
        <w:t>契机，以</w:t>
      </w:r>
      <w:r>
        <w:rPr>
          <w:rFonts w:hint="eastAsia"/>
          <w:color w:val="auto"/>
        </w:rPr>
        <w:t>县职业技术教育中心为</w:t>
      </w:r>
      <w:r>
        <w:rPr>
          <w:color w:val="auto"/>
        </w:rPr>
        <w:t>依托，</w:t>
      </w:r>
      <w:r>
        <w:rPr>
          <w:rFonts w:hint="eastAsia"/>
          <w:color w:val="auto"/>
        </w:rPr>
        <w:t>以阜东开发区为实践</w:t>
      </w:r>
      <w:r>
        <w:rPr>
          <w:color w:val="auto"/>
        </w:rPr>
        <w:t>基地</w:t>
      </w:r>
      <w:r>
        <w:rPr>
          <w:rFonts w:hint="eastAsia"/>
          <w:color w:val="auto"/>
        </w:rPr>
        <w:t>，探索建立教育投入长效机制，培育一批产教融合型企业，积极争取国家试点相关</w:t>
      </w:r>
      <w:r>
        <w:rPr>
          <w:color w:val="auto"/>
        </w:rPr>
        <w:t>政策和资源</w:t>
      </w:r>
      <w:r>
        <w:rPr>
          <w:rFonts w:hint="eastAsia"/>
          <w:color w:val="auto"/>
        </w:rPr>
        <w:t>。在阜东新区建设中职、高职、本科</w:t>
      </w:r>
      <w:r>
        <w:rPr>
          <w:color w:val="auto"/>
        </w:rPr>
        <w:t>3所院校组成的职教城，到2025年实现在校生近2万人，</w:t>
      </w:r>
      <w:r>
        <w:rPr>
          <w:rFonts w:hint="eastAsia"/>
          <w:color w:val="auto"/>
        </w:rPr>
        <w:t>中高职</w:t>
      </w:r>
      <w:r>
        <w:rPr>
          <w:color w:val="auto"/>
        </w:rPr>
        <w:t>并存的职教</w:t>
      </w:r>
      <w:r>
        <w:rPr>
          <w:rFonts w:hint="eastAsia"/>
          <w:color w:val="auto"/>
        </w:rPr>
        <w:t>多元办学</w:t>
      </w:r>
      <w:r>
        <w:rPr>
          <w:color w:val="auto"/>
        </w:rPr>
        <w:t>格局</w:t>
      </w:r>
      <w:r>
        <w:rPr>
          <w:rFonts w:hint="eastAsia"/>
          <w:color w:val="auto"/>
        </w:rPr>
        <w:t>基本</w:t>
      </w:r>
      <w:r>
        <w:rPr>
          <w:color w:val="auto"/>
        </w:rPr>
        <w:t>构建完善</w:t>
      </w:r>
      <w:r>
        <w:rPr>
          <w:rFonts w:hint="eastAsia"/>
          <w:color w:val="auto"/>
        </w:rPr>
        <w:t>。</w:t>
      </w:r>
    </w:p>
    <w:p>
      <w:pPr>
        <w:ind w:firstLine="562"/>
        <w:rPr>
          <w:color w:val="auto"/>
        </w:rPr>
      </w:pPr>
      <w:r>
        <w:rPr>
          <w:rFonts w:hint="eastAsia"/>
          <w:b/>
          <w:color w:val="auto"/>
        </w:rPr>
        <w:t>布局构建全民终身教育体系</w:t>
      </w:r>
      <w:r>
        <w:rPr>
          <w:rFonts w:hint="eastAsia"/>
          <w:color w:val="auto"/>
        </w:rPr>
        <w:t>。探索“互联网+”人才培养新模式，搭建各级各类学校衔接融通的“立交桥”。充分利用互联网、大数据，鼓励</w:t>
      </w:r>
      <w:r>
        <w:rPr>
          <w:color w:val="auto"/>
        </w:rPr>
        <w:t>发展</w:t>
      </w:r>
      <w:r>
        <w:rPr>
          <w:rFonts w:hint="eastAsia"/>
          <w:color w:val="auto"/>
        </w:rPr>
        <w:t>教育服务新业态，扶持家庭教育指导体系、非学历继续教育体系、老年教育体系、社区教育体系等广泛发展；深入实施“健康老龄化”战略，开展</w:t>
      </w:r>
      <w:r>
        <w:rPr>
          <w:color w:val="auto"/>
        </w:rPr>
        <w:t>就业上岗、社区融入、</w:t>
      </w:r>
      <w:r>
        <w:rPr>
          <w:rFonts w:hint="eastAsia"/>
          <w:color w:val="auto"/>
        </w:rPr>
        <w:t>文娱</w:t>
      </w:r>
      <w:r>
        <w:rPr>
          <w:color w:val="auto"/>
        </w:rPr>
        <w:t>爱好等专项活动，</w:t>
      </w:r>
      <w:r>
        <w:rPr>
          <w:rFonts w:hint="eastAsia"/>
          <w:color w:val="auto"/>
        </w:rPr>
        <w:t>加强乡镇农村中老年教育培训；重点加强社区教育基地建设，以社区学院为龙头、主要</w:t>
      </w:r>
      <w:r>
        <w:rPr>
          <w:color w:val="auto"/>
        </w:rPr>
        <w:t>镇区</w:t>
      </w:r>
      <w:r>
        <w:rPr>
          <w:rFonts w:hint="eastAsia"/>
          <w:color w:val="auto"/>
        </w:rPr>
        <w:t>社区教育中心为骨干、社区教育</w:t>
      </w:r>
      <w:r>
        <w:rPr>
          <w:color w:val="auto"/>
        </w:rPr>
        <w:t>服务中心</w:t>
      </w:r>
      <w:r>
        <w:rPr>
          <w:rFonts w:hint="eastAsia"/>
          <w:color w:val="auto"/>
        </w:rPr>
        <w:t>为抓手，逐步形成覆盖城乡的社区教育体系，因地制宜开展各类教育培训活动。</w:t>
      </w:r>
    </w:p>
    <w:p>
      <w:pPr>
        <w:ind w:firstLine="562"/>
        <w:rPr>
          <w:color w:val="auto"/>
        </w:rPr>
      </w:pPr>
      <w:r>
        <w:rPr>
          <w:rFonts w:hint="eastAsia"/>
          <w:b/>
          <w:color w:val="auto"/>
        </w:rPr>
        <w:t>建设富有活力的教师队伍</w:t>
      </w:r>
      <w:r>
        <w:rPr>
          <w:rFonts w:hint="eastAsia"/>
          <w:color w:val="auto"/>
        </w:rPr>
        <w:t>。优化教师队伍结构，建立稳定的教师补充长效机制，加强乡村骨干教师培养力度，解决教师结构性、阶段性、区域性短缺问题。着力保障教师待遇，健全教师工资长效联动机制，确保义务教育教师平均工资收入水平不低于或高于当地公务员平均工资收入水平；继续落实乡镇工作补贴和乡村教师生活补助政策。完善教师管理制度，深化教师队伍“县管校聘”管理改革，激发教师工作积极性；统筹分配各校教职工编制、岗位，并形成动态调整机制；进一步完善义务教育学校教师校长交流轮岗制度。加强校长队伍建设，建立教育系统后备干部人才库，不断提高校长管理水平。</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170" w:firstLineChars="71"/>
              <w:jc w:val="center"/>
              <w:rPr>
                <w:rFonts w:ascii="黑体" w:hAnsi="黑体" w:eastAsia="黑体"/>
                <w:color w:val="auto"/>
                <w:sz w:val="24"/>
                <w:szCs w:val="28"/>
              </w:rPr>
            </w:pPr>
            <w:r>
              <w:rPr>
                <w:rFonts w:hint="eastAsia" w:ascii="黑体" w:hAnsi="黑体" w:eastAsia="黑体"/>
                <w:color w:val="auto"/>
                <w:sz w:val="24"/>
                <w:szCs w:val="28"/>
              </w:rPr>
              <w:t>专栏7-1</w:t>
            </w:r>
            <w:r>
              <w:rPr>
                <w:rFonts w:ascii="黑体" w:hAnsi="黑体" w:eastAsia="黑体"/>
                <w:color w:val="auto"/>
                <w:sz w:val="24"/>
                <w:szCs w:val="28"/>
              </w:rPr>
              <w:t xml:space="preserve"> </w:t>
            </w:r>
            <w:r>
              <w:rPr>
                <w:rFonts w:hint="eastAsia" w:ascii="黑体" w:hAnsi="黑体" w:eastAsia="黑体"/>
                <w:color w:val="auto"/>
                <w:sz w:val="24"/>
                <w:szCs w:val="28"/>
              </w:rPr>
              <w:t>教育现代化行动工程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1.学前教育普惠</w:t>
            </w:r>
            <w:r>
              <w:rPr>
                <w:rFonts w:ascii="仿宋_GB2312" w:hAnsi="Times New Roman" w:eastAsia="仿宋_GB2312"/>
                <w:b/>
                <w:color w:val="auto"/>
                <w:sz w:val="24"/>
                <w:szCs w:val="28"/>
              </w:rPr>
              <w:t>行动</w:t>
            </w:r>
            <w:r>
              <w:rPr>
                <w:rFonts w:hint="eastAsia" w:ascii="仿宋_GB2312" w:hAnsi="Times New Roman" w:eastAsia="仿宋_GB2312"/>
                <w:color w:val="auto"/>
                <w:sz w:val="24"/>
                <w:szCs w:val="28"/>
              </w:rPr>
              <w:t>。积极推进学前教育普及工程，确保照旺台幼儿园建设完成；积极争取专项债券资金、中央预算内资金，启动建设照旺台幼儿园、栗元铺幼儿园以及城厢小学、平阳小学、马驹石小学、王快小学、大台学校等一批小学改建幼儿园工程。</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2.义务教育提升</w:t>
            </w:r>
            <w:r>
              <w:rPr>
                <w:rFonts w:ascii="仿宋_GB2312" w:hAnsi="Times New Roman" w:eastAsia="仿宋_GB2312"/>
                <w:b/>
                <w:color w:val="auto"/>
                <w:sz w:val="24"/>
                <w:szCs w:val="28"/>
              </w:rPr>
              <w:t>行动</w:t>
            </w:r>
            <w:r>
              <w:rPr>
                <w:rFonts w:hint="eastAsia" w:ascii="仿宋_GB2312" w:hAnsi="Times New Roman" w:eastAsia="仿宋_GB2312"/>
                <w:color w:val="auto"/>
                <w:sz w:val="24"/>
                <w:szCs w:val="28"/>
              </w:rPr>
              <w:t>。加快北城中学、西城小学、王林口中学等城区学校建设，适时启动北果元中学、城南庄中学、平阳中学、天生桥中学、砂窝中学等5所老旧中学的改扩建和改造提升工作。因地制宜，推进乡村小学运动场地改扩建工程、教学及辅助用房改扩建工程，保障设施设备配置，补齐短板和缺口，全面提升办学能力。进一步加强校舍安全管理，实施白家峪小学拆除重建、天生桥中学教学楼加固工程，对2009年以前校舍安全情况进行再排查再鉴定，建立健全校舍安全动态管理台帐，对确认存在安全隐患的CD级校舍建立整治台账，并实施整治，实行整治完成一栋、销号一栋，巩固校舍安全工程成果。</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3.高中教育提质</w:t>
            </w:r>
            <w:r>
              <w:rPr>
                <w:rFonts w:ascii="仿宋_GB2312" w:hAnsi="Times New Roman" w:eastAsia="仿宋_GB2312"/>
                <w:b/>
                <w:color w:val="auto"/>
                <w:sz w:val="24"/>
                <w:szCs w:val="28"/>
              </w:rPr>
              <w:t>行动</w:t>
            </w:r>
            <w:r>
              <w:rPr>
                <w:rFonts w:hint="eastAsia" w:ascii="仿宋_GB2312" w:hAnsi="Times New Roman" w:eastAsia="仿宋_GB2312"/>
                <w:color w:val="auto"/>
                <w:sz w:val="24"/>
                <w:szCs w:val="28"/>
              </w:rPr>
              <w:t>。深化与衡水中学合作，推进北城中学和阜平中学宿舍楼建设。</w:t>
            </w:r>
            <w:r>
              <w:rPr>
                <w:rFonts w:hint="eastAsia" w:ascii="仿宋_GB2312" w:eastAsia="仿宋_GB2312"/>
                <w:color w:val="auto"/>
                <w:sz w:val="24"/>
                <w:szCs w:val="28"/>
              </w:rPr>
              <w:t>探索高中教育发展新模式，</w:t>
            </w:r>
            <w:r>
              <w:rPr>
                <w:rFonts w:hint="eastAsia" w:ascii="仿宋_GB2312" w:hAnsi="Times New Roman" w:eastAsia="仿宋_GB2312"/>
                <w:color w:val="auto"/>
                <w:sz w:val="24"/>
                <w:szCs w:val="28"/>
              </w:rPr>
              <w:t>改革课程结构，开发校本课程，开足选修课程，形成德育、学科、传统文化、实践活动“四位一体”的高中课程新格局，做好兴趣小组和特色社团建设，让学生全面发展；创新教学组织结构，通过选课走班、分层教学、一生双师制的推行，实现差异化教学，满足学生个性发展需求。</w:t>
            </w:r>
          </w:p>
          <w:p>
            <w:pPr>
              <w:adjustRightInd w:val="0"/>
              <w:snapToGrid w:val="0"/>
              <w:ind w:firstLine="482"/>
              <w:rPr>
                <w:rFonts w:ascii="仿宋_GB2312" w:eastAsia="仿宋_GB2312"/>
                <w:bCs/>
                <w:color w:val="auto"/>
                <w:sz w:val="24"/>
                <w:szCs w:val="28"/>
              </w:rPr>
            </w:pPr>
            <w:r>
              <w:rPr>
                <w:rFonts w:hint="eastAsia" w:ascii="仿宋_GB2312" w:hAnsi="Times New Roman" w:eastAsia="仿宋_GB2312"/>
                <w:b/>
                <w:color w:val="auto"/>
                <w:sz w:val="24"/>
                <w:szCs w:val="28"/>
              </w:rPr>
              <w:t>4</w:t>
            </w:r>
            <w:r>
              <w:rPr>
                <w:rFonts w:ascii="仿宋_GB2312" w:hAnsi="Times New Roman" w:eastAsia="仿宋_GB2312"/>
                <w:b/>
                <w:color w:val="auto"/>
                <w:sz w:val="24"/>
                <w:szCs w:val="28"/>
              </w:rPr>
              <w:t>.</w:t>
            </w:r>
            <w:r>
              <w:rPr>
                <w:rFonts w:hint="eastAsia" w:ascii="仿宋_GB2312" w:hAnsi="Times New Roman" w:eastAsia="仿宋_GB2312"/>
                <w:b/>
                <w:color w:val="auto"/>
                <w:sz w:val="24"/>
                <w:szCs w:val="28"/>
              </w:rPr>
              <w:t>职业教育“产教融合”行动</w:t>
            </w:r>
            <w:r>
              <w:rPr>
                <w:rFonts w:hint="eastAsia" w:ascii="仿宋_GB2312" w:hAnsi="Times New Roman" w:eastAsia="仿宋_GB2312"/>
                <w:color w:val="auto"/>
                <w:sz w:val="24"/>
                <w:szCs w:val="28"/>
              </w:rPr>
              <w:t>。引导企业、行业组织以资本、知识、技术、管理等要素依法参与职业教育发展建设，健全多元化办学体制，全面推行校企协同育人。建设一批产教融合型实训基地，北京祥龙博瑞魏工养车、阜平北京文化产业园等生产性实训基地建成投用，充分发挥校企协同育人作用；建设一批产教融合型专业，以汽车制造与检修专业为试点，加强与一汽、上汽、长安、比亚迪、北汽、长城、吉利、广汽等8家车企深度合作，深化校企职工双向挂职交流，全面提升教师素质，提升学生技能培养水平。</w:t>
            </w:r>
            <w:r>
              <w:rPr>
                <w:rFonts w:hint="eastAsia" w:ascii="仿宋_GB2312" w:hAnsi="宋体" w:eastAsia="仿宋_GB2312" w:cs="仿宋_GB2312"/>
                <w:bCs/>
                <w:color w:val="auto"/>
                <w:sz w:val="24"/>
                <w:szCs w:val="28"/>
              </w:rPr>
              <w:t>推进前进文旅小镇（职教中心铁岭旧校区）建设，总投入1.53亿元。建设学生发展指导中心项目，面向河北乃至全国的复检师、心理健康管理师和学生发展指导师开展培训，打造学生心理等发展体验基地，预计投入1250万元。打造阜平县职教中心电子商务产教融合实训基地、家政服务与康复养老产教融合型实训基地建设项目，估计总投资1.32亿元。</w:t>
            </w:r>
          </w:p>
        </w:tc>
      </w:tr>
    </w:tbl>
    <w:p>
      <w:pPr>
        <w:pStyle w:val="4"/>
        <w:numPr>
          <w:ilvl w:val="0"/>
          <w:numId w:val="0"/>
        </w:numPr>
        <w:ind w:left="643"/>
        <w:rPr>
          <w:color w:val="auto"/>
        </w:rPr>
      </w:pPr>
      <w:r>
        <w:rPr>
          <w:rFonts w:hint="eastAsia"/>
          <w:color w:val="auto"/>
        </w:rPr>
        <w:t>二</w:t>
      </w:r>
      <w:r>
        <w:rPr>
          <w:color w:val="auto"/>
        </w:rPr>
        <w:t>、繁荣</w:t>
      </w:r>
      <w:r>
        <w:rPr>
          <w:rFonts w:hint="eastAsia"/>
          <w:color w:val="auto"/>
        </w:rPr>
        <w:t>发展</w:t>
      </w:r>
      <w:r>
        <w:rPr>
          <w:color w:val="auto"/>
        </w:rPr>
        <w:t>创新</w:t>
      </w:r>
      <w:r>
        <w:rPr>
          <w:rFonts w:hint="eastAsia"/>
          <w:color w:val="auto"/>
        </w:rPr>
        <w:t>推进文体事业</w:t>
      </w:r>
    </w:p>
    <w:p>
      <w:pPr>
        <w:ind w:firstLine="562"/>
        <w:rPr>
          <w:color w:val="auto"/>
        </w:rPr>
      </w:pPr>
      <w:r>
        <w:rPr>
          <w:rFonts w:hint="eastAsia"/>
          <w:b/>
          <w:color w:val="auto"/>
        </w:rPr>
        <w:t>深耕细作</w:t>
      </w:r>
      <w:r>
        <w:rPr>
          <w:b/>
          <w:color w:val="auto"/>
        </w:rPr>
        <w:t>推动</w:t>
      </w:r>
      <w:r>
        <w:rPr>
          <w:rFonts w:hint="eastAsia"/>
          <w:b/>
          <w:color w:val="auto"/>
        </w:rPr>
        <w:t>文化</w:t>
      </w:r>
      <w:r>
        <w:rPr>
          <w:b/>
          <w:color w:val="auto"/>
        </w:rPr>
        <w:t>事业</w:t>
      </w:r>
      <w:r>
        <w:rPr>
          <w:rFonts w:hint="eastAsia"/>
          <w:b/>
          <w:color w:val="auto"/>
        </w:rPr>
        <w:t>繁荣发展</w:t>
      </w:r>
      <w:r>
        <w:rPr>
          <w:color w:val="auto"/>
        </w:rPr>
        <w:t>。</w:t>
      </w:r>
      <w:r>
        <w:rPr>
          <w:rFonts w:hint="eastAsia"/>
          <w:color w:val="auto"/>
        </w:rPr>
        <w:t>完善城乡</w:t>
      </w:r>
      <w:r>
        <w:rPr>
          <w:color w:val="auto"/>
        </w:rPr>
        <w:t>文化服务设施，加强</w:t>
      </w:r>
      <w:r>
        <w:rPr>
          <w:rFonts w:hint="eastAsia"/>
          <w:color w:val="auto"/>
        </w:rPr>
        <w:t>阵地</w:t>
      </w:r>
      <w:r>
        <w:rPr>
          <w:color w:val="auto"/>
        </w:rPr>
        <w:t>建设</w:t>
      </w:r>
      <w:r>
        <w:rPr>
          <w:rFonts w:hint="eastAsia"/>
          <w:color w:val="auto"/>
        </w:rPr>
        <w:t>，加快实施阜平县</w:t>
      </w:r>
      <w:r>
        <w:rPr>
          <w:color w:val="auto"/>
        </w:rPr>
        <w:t>综合性公园</w:t>
      </w:r>
      <w:r>
        <w:rPr>
          <w:rFonts w:hint="eastAsia"/>
          <w:color w:val="auto"/>
        </w:rPr>
        <w:t>建设</w:t>
      </w:r>
      <w:r>
        <w:rPr>
          <w:color w:val="auto"/>
        </w:rPr>
        <w:t>、</w:t>
      </w:r>
      <w:r>
        <w:rPr>
          <w:rFonts w:hint="eastAsia"/>
          <w:color w:val="auto"/>
        </w:rPr>
        <w:t>阜平县烈士陵园改扩建项目</w:t>
      </w:r>
      <w:r>
        <w:rPr>
          <w:color w:val="auto"/>
        </w:rPr>
        <w:t>，</w:t>
      </w:r>
      <w:r>
        <w:rPr>
          <w:rFonts w:hint="eastAsia"/>
          <w:color w:val="auto"/>
        </w:rPr>
        <w:t>分类</w:t>
      </w:r>
      <w:r>
        <w:rPr>
          <w:color w:val="auto"/>
        </w:rPr>
        <w:t>分期推动乡村文化广场配建</w:t>
      </w:r>
      <w:r>
        <w:rPr>
          <w:rFonts w:hint="eastAsia"/>
          <w:color w:val="auto"/>
        </w:rPr>
        <w:t>；顺应市场需求迭代，在传统基础功能上适度融入餐饮、购物、娱乐等多元休闲功能，挖掘提升文化场馆综合价值，探索馆企合作等市场化模式，提升</w:t>
      </w:r>
      <w:r>
        <w:rPr>
          <w:color w:val="auto"/>
        </w:rPr>
        <w:t>城市文化空间</w:t>
      </w:r>
      <w:r>
        <w:rPr>
          <w:rFonts w:hint="eastAsia"/>
          <w:color w:val="auto"/>
        </w:rPr>
        <w:t>。创新</w:t>
      </w:r>
      <w:r>
        <w:rPr>
          <w:color w:val="auto"/>
        </w:rPr>
        <w:t>实施</w:t>
      </w:r>
      <w:r>
        <w:rPr>
          <w:rFonts w:hint="eastAsia"/>
          <w:color w:val="auto"/>
        </w:rPr>
        <w:t>文化</w:t>
      </w:r>
      <w:r>
        <w:rPr>
          <w:color w:val="auto"/>
        </w:rPr>
        <w:t>惠民工程</w:t>
      </w:r>
      <w:r>
        <w:rPr>
          <w:rFonts w:hint="eastAsia"/>
          <w:color w:val="auto"/>
        </w:rPr>
        <w:t>，</w:t>
      </w:r>
      <w:r>
        <w:rPr>
          <w:color w:val="auto"/>
        </w:rPr>
        <w:t>实现扩面提质</w:t>
      </w:r>
      <w:r>
        <w:rPr>
          <w:rFonts w:hint="eastAsia"/>
          <w:color w:val="auto"/>
        </w:rPr>
        <w:t>，以</w:t>
      </w:r>
      <w:r>
        <w:rPr>
          <w:color w:val="auto"/>
        </w:rPr>
        <w:t>建党</w:t>
      </w:r>
      <w:r>
        <w:rPr>
          <w:rFonts w:hint="eastAsia"/>
          <w:color w:val="auto"/>
        </w:rPr>
        <w:t>100周年</w:t>
      </w:r>
      <w:r>
        <w:rPr>
          <w:color w:val="auto"/>
        </w:rPr>
        <w:t>为契机，唱响红色主旋律，弘扬核心价值观</w:t>
      </w:r>
      <w:r>
        <w:rPr>
          <w:rFonts w:hint="eastAsia"/>
          <w:color w:val="auto"/>
        </w:rPr>
        <w:t>；</w:t>
      </w:r>
      <w:r>
        <w:rPr>
          <w:color w:val="auto"/>
        </w:rPr>
        <w:t>实施</w:t>
      </w:r>
      <w:r>
        <w:rPr>
          <w:rFonts w:hint="eastAsia"/>
          <w:color w:val="auto"/>
        </w:rPr>
        <w:t>文艺</w:t>
      </w:r>
      <w:r>
        <w:rPr>
          <w:color w:val="auto"/>
        </w:rPr>
        <w:t>作品质量提升工程，</w:t>
      </w:r>
      <w:r>
        <w:rPr>
          <w:rFonts w:hint="eastAsia"/>
          <w:color w:val="auto"/>
        </w:rPr>
        <w:t>鼓励</w:t>
      </w:r>
      <w:r>
        <w:rPr>
          <w:color w:val="auto"/>
        </w:rPr>
        <w:t>创造兼具传承与创新的优秀文化作品</w:t>
      </w:r>
      <w:r>
        <w:rPr>
          <w:rFonts w:hint="eastAsia"/>
          <w:color w:val="auto"/>
        </w:rPr>
        <w:t>，</w:t>
      </w:r>
      <w:r>
        <w:rPr>
          <w:color w:val="auto"/>
        </w:rPr>
        <w:t>重点打造一批</w:t>
      </w:r>
      <w:r>
        <w:rPr>
          <w:rFonts w:hint="eastAsia"/>
          <w:color w:val="auto"/>
        </w:rPr>
        <w:t>反映时代新气象、讴歌人民新创造的文艺精品；精心</w:t>
      </w:r>
      <w:r>
        <w:rPr>
          <w:color w:val="auto"/>
        </w:rPr>
        <w:t>打造</w:t>
      </w:r>
      <w:r>
        <w:rPr>
          <w:rFonts w:hint="eastAsia"/>
          <w:color w:val="auto"/>
        </w:rPr>
        <w:t>小南沟民俗书画摄影基地，鼓励有条件的旅游景区和扶贫村镇开发实景演出、小剧场、民间文艺表演、生产生活场景与传统技艺展示等休闲演艺项目。加大文物和</w:t>
      </w:r>
      <w:r>
        <w:rPr>
          <w:color w:val="auto"/>
        </w:rPr>
        <w:t>非遗保护</w:t>
      </w:r>
      <w:r>
        <w:rPr>
          <w:rFonts w:hint="eastAsia"/>
          <w:color w:val="auto"/>
        </w:rPr>
        <w:t>，结合</w:t>
      </w:r>
      <w:r>
        <w:rPr>
          <w:color w:val="auto"/>
        </w:rPr>
        <w:t>专项工作，</w:t>
      </w:r>
      <w:r>
        <w:rPr>
          <w:rFonts w:hint="eastAsia"/>
          <w:color w:val="auto"/>
        </w:rPr>
        <w:t>加强县域</w:t>
      </w:r>
      <w:r>
        <w:rPr>
          <w:color w:val="auto"/>
        </w:rPr>
        <w:t>革命文物、</w:t>
      </w:r>
      <w:r>
        <w:rPr>
          <w:rFonts w:hint="eastAsia"/>
          <w:color w:val="auto"/>
        </w:rPr>
        <w:t>红色遗址遗迹</w:t>
      </w:r>
      <w:r>
        <w:rPr>
          <w:color w:val="auto"/>
        </w:rPr>
        <w:t>等</w:t>
      </w:r>
      <w:r>
        <w:rPr>
          <w:rFonts w:hint="eastAsia"/>
          <w:color w:val="auto"/>
        </w:rPr>
        <w:t>的</w:t>
      </w:r>
      <w:r>
        <w:rPr>
          <w:color w:val="auto"/>
        </w:rPr>
        <w:t>修缮保护</w:t>
      </w:r>
      <w:r>
        <w:rPr>
          <w:rFonts w:hint="eastAsia"/>
          <w:color w:val="auto"/>
        </w:rPr>
        <w:t>，</w:t>
      </w:r>
      <w:r>
        <w:rPr>
          <w:color w:val="auto"/>
        </w:rPr>
        <w:t>统筹推动功能拓展和适度利用</w:t>
      </w:r>
      <w:r>
        <w:rPr>
          <w:rFonts w:hint="eastAsia"/>
          <w:color w:val="auto"/>
        </w:rPr>
        <w:t>；发扬传承旗会、幡会</w:t>
      </w:r>
      <w:r>
        <w:rPr>
          <w:color w:val="auto"/>
        </w:rPr>
        <w:t>、</w:t>
      </w:r>
      <w:r>
        <w:rPr>
          <w:rFonts w:hint="eastAsia"/>
          <w:color w:val="auto"/>
        </w:rPr>
        <w:t>阜平村戏、三箭山等阜平非物质文化遗产，建设一批非遗传承基地文化演艺中心。</w:t>
      </w:r>
    </w:p>
    <w:p>
      <w:pPr>
        <w:ind w:firstLine="562"/>
        <w:rPr>
          <w:color w:val="auto"/>
        </w:rPr>
      </w:pPr>
      <w:r>
        <w:rPr>
          <w:rFonts w:hint="eastAsia"/>
          <w:b/>
          <w:color w:val="auto"/>
        </w:rPr>
        <w:t>探索</w:t>
      </w:r>
      <w:r>
        <w:rPr>
          <w:b/>
          <w:color w:val="auto"/>
        </w:rPr>
        <w:t>创新</w:t>
      </w:r>
      <w:r>
        <w:rPr>
          <w:rFonts w:hint="eastAsia"/>
          <w:b/>
          <w:color w:val="auto"/>
        </w:rPr>
        <w:t>实现文化</w:t>
      </w:r>
      <w:r>
        <w:rPr>
          <w:b/>
          <w:color w:val="auto"/>
        </w:rPr>
        <w:t>产业</w:t>
      </w:r>
      <w:r>
        <w:rPr>
          <w:rFonts w:hint="eastAsia"/>
          <w:b/>
          <w:color w:val="auto"/>
        </w:rPr>
        <w:t>融合</w:t>
      </w:r>
      <w:r>
        <w:rPr>
          <w:b/>
          <w:color w:val="auto"/>
        </w:rPr>
        <w:t>发展</w:t>
      </w:r>
      <w:r>
        <w:rPr>
          <w:color w:val="auto"/>
        </w:rPr>
        <w:t>。</w:t>
      </w:r>
      <w:r>
        <w:rPr>
          <w:rFonts w:hint="eastAsia"/>
          <w:color w:val="auto"/>
        </w:rPr>
        <w:t>健全</w:t>
      </w:r>
      <w:r>
        <w:rPr>
          <w:color w:val="auto"/>
        </w:rPr>
        <w:t>现代文化产业体系，</w:t>
      </w:r>
      <w:r>
        <w:rPr>
          <w:rFonts w:hint="eastAsia"/>
          <w:color w:val="auto"/>
        </w:rPr>
        <w:t>加强</w:t>
      </w:r>
      <w:r>
        <w:rPr>
          <w:color w:val="auto"/>
        </w:rPr>
        <w:t>文化市场体系建设，扩大优质文化产品供给。</w:t>
      </w:r>
      <w:r>
        <w:rPr>
          <w:rFonts w:hint="eastAsia"/>
          <w:color w:val="auto"/>
        </w:rPr>
        <w:t>坚持“宜融则融、能融尽融、以文促旅、以旅彰文”，深入</w:t>
      </w:r>
      <w:r>
        <w:rPr>
          <w:color w:val="auto"/>
        </w:rPr>
        <w:t>打造阜平特色红色旅游和乡村旅游</w:t>
      </w:r>
      <w:r>
        <w:rPr>
          <w:rFonts w:hint="eastAsia"/>
          <w:color w:val="auto"/>
        </w:rPr>
        <w:t>。满足大众文化新需求，加快发展新型文化企业、文化业态、文化消费模式，鼓励文化</w:t>
      </w:r>
      <w:r>
        <w:rPr>
          <w:color w:val="auto"/>
        </w:rPr>
        <w:t>资源的</w:t>
      </w:r>
      <w:r>
        <w:rPr>
          <w:rFonts w:hint="eastAsia"/>
          <w:color w:val="auto"/>
        </w:rPr>
        <w:t>内容、功能和模式创新，推动文化资源加速进入消费圈层，提高文化设施利用率，推动文化产品市场化转化；带动文化消费产品结构升级，支持文化服务设施网络化、数字化、智能化发展，</w:t>
      </w:r>
      <w:r>
        <w:rPr>
          <w:color w:val="auto"/>
        </w:rPr>
        <w:t>创造</w:t>
      </w:r>
      <w:r>
        <w:rPr>
          <w:rFonts w:hint="eastAsia"/>
          <w:color w:val="auto"/>
        </w:rPr>
        <w:t>产业投资机遇，夯实文化产业发展基础。</w:t>
      </w:r>
    </w:p>
    <w:p>
      <w:pPr>
        <w:ind w:firstLine="562"/>
        <w:rPr>
          <w:color w:val="auto"/>
        </w:rPr>
      </w:pPr>
      <w:r>
        <w:rPr>
          <w:rFonts w:hint="eastAsia"/>
          <w:b/>
          <w:color w:val="auto"/>
        </w:rPr>
        <w:t>保障体育事业持续健康发展</w:t>
      </w:r>
      <w:r>
        <w:rPr>
          <w:rFonts w:hint="eastAsia"/>
          <w:color w:val="auto"/>
        </w:rPr>
        <w:t>。继续做好全民健身宣传，加强全民体质监测，积极发展体育社团，完善各级各类体育协会、单项协会，发展体育活动站点，实现组织活动制度化、常态化。继续推进城乡公共体育设施建设，加大</w:t>
      </w:r>
      <w:r>
        <w:rPr>
          <w:color w:val="auto"/>
        </w:rPr>
        <w:t>投入力度，</w:t>
      </w:r>
      <w:r>
        <w:rPr>
          <w:rFonts w:hint="eastAsia"/>
          <w:color w:val="auto"/>
        </w:rPr>
        <w:t>提高现有体育设施利用率，减少公共体育设施闲置浪费；加大篮球、足球等大众性体育项目场地建设，确保群众健身需要；推动体育场馆免费或低收费开放，鼓励学校设施定期开放。系统开展全民健身活动，大力</w:t>
      </w:r>
      <w:r>
        <w:rPr>
          <w:color w:val="auto"/>
        </w:rPr>
        <w:t>发展冰雪产业和奥运经济，提升群众性冰雪运动普及水平</w:t>
      </w:r>
      <w:r>
        <w:rPr>
          <w:rFonts w:hint="eastAsia"/>
          <w:color w:val="auto"/>
        </w:rPr>
        <w:t>；积极争取承办省市级体育赛事活动，</w:t>
      </w:r>
      <w:r>
        <w:rPr>
          <w:color w:val="auto"/>
        </w:rPr>
        <w:t>促进带动全</w:t>
      </w:r>
      <w:r>
        <w:rPr>
          <w:rFonts w:hint="eastAsia"/>
          <w:color w:val="auto"/>
        </w:rPr>
        <w:t>民</w:t>
      </w:r>
      <w:r>
        <w:rPr>
          <w:color w:val="auto"/>
        </w:rPr>
        <w:t>健身</w:t>
      </w:r>
      <w:r>
        <w:rPr>
          <w:rFonts w:hint="eastAsia"/>
          <w:color w:val="auto"/>
        </w:rPr>
        <w:t>；组织开展“全民健身月”“全民健身日”等主题活动，举办县级全民健身运动会，推动镇级全民健身活动发展，举办包括拔河、健身舞等突出“农”字特色的项目。</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0" w:firstLineChars="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7-2 </w:t>
            </w:r>
            <w:r>
              <w:rPr>
                <w:rFonts w:hint="eastAsia" w:ascii="黑体" w:hAnsi="黑体" w:eastAsia="黑体"/>
                <w:color w:val="auto"/>
                <w:sz w:val="24"/>
                <w:szCs w:val="28"/>
              </w:rPr>
              <w:t>文体事业</w:t>
            </w:r>
            <w:r>
              <w:rPr>
                <w:rFonts w:ascii="黑体" w:hAnsi="黑体" w:eastAsia="黑体"/>
                <w:color w:val="auto"/>
                <w:sz w:val="24"/>
                <w:szCs w:val="28"/>
              </w:rPr>
              <w:t>繁荣发展</w:t>
            </w:r>
            <w:r>
              <w:rPr>
                <w:rFonts w:hint="eastAsia" w:ascii="黑体" w:hAnsi="黑体" w:eastAsia="黑体"/>
                <w:color w:val="auto"/>
                <w:sz w:val="24"/>
                <w:szCs w:val="28"/>
              </w:rPr>
              <w:t>促进工程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hAnsi="Times New Roman" w:eastAsia="仿宋_GB2312"/>
                <w:b/>
                <w:color w:val="auto"/>
                <w:sz w:val="24"/>
                <w:szCs w:val="28"/>
              </w:rPr>
            </w:pPr>
            <w:r>
              <w:rPr>
                <w:rFonts w:hint="eastAsia" w:ascii="仿宋_GB2312" w:hAnsi="Times New Roman" w:eastAsia="仿宋_GB2312"/>
                <w:b/>
                <w:color w:val="auto"/>
                <w:sz w:val="24"/>
                <w:szCs w:val="28"/>
              </w:rPr>
              <w:t>1.</w:t>
            </w:r>
            <w:r>
              <w:rPr>
                <w:rFonts w:ascii="仿宋_GB2312" w:hAnsi="Times New Roman" w:eastAsia="仿宋_GB2312"/>
                <w:b/>
                <w:color w:val="auto"/>
                <w:sz w:val="24"/>
                <w:szCs w:val="28"/>
              </w:rPr>
              <w:t>文化</w:t>
            </w:r>
            <w:r>
              <w:rPr>
                <w:rFonts w:hint="eastAsia" w:ascii="仿宋_GB2312" w:hAnsi="Times New Roman" w:eastAsia="仿宋_GB2312"/>
                <w:b/>
                <w:color w:val="auto"/>
                <w:sz w:val="24"/>
                <w:szCs w:val="28"/>
              </w:rPr>
              <w:t>事业惠民工程</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阜平公园建设</w:t>
            </w:r>
            <w:r>
              <w:rPr>
                <w:rFonts w:ascii="仿宋_GB2312" w:hAnsi="Times New Roman" w:eastAsia="仿宋_GB2312"/>
                <w:b/>
                <w:color w:val="auto"/>
                <w:sz w:val="24"/>
                <w:szCs w:val="28"/>
              </w:rPr>
              <w:t>项目</w:t>
            </w:r>
            <w:r>
              <w:rPr>
                <w:rFonts w:hint="eastAsia" w:ascii="仿宋_GB2312" w:hAnsi="Times New Roman" w:eastAsia="仿宋_GB2312"/>
                <w:color w:val="auto"/>
                <w:sz w:val="24"/>
                <w:szCs w:val="28"/>
              </w:rPr>
              <w:t>。选址阜平县城新建综合性公园一座，占地160亩。</w:t>
            </w:r>
            <w:r>
              <w:rPr>
                <w:rFonts w:ascii="仿宋_GB2312" w:hAnsi="Times New Roman" w:eastAsia="仿宋_GB2312"/>
                <w:color w:val="auto"/>
                <w:sz w:val="24"/>
                <w:szCs w:val="28"/>
              </w:rPr>
              <w:t>项目估算</w:t>
            </w:r>
            <w:r>
              <w:rPr>
                <w:rFonts w:hint="eastAsia" w:ascii="仿宋_GB2312" w:hAnsi="Times New Roman" w:eastAsia="仿宋_GB2312"/>
                <w:color w:val="auto"/>
                <w:sz w:val="24"/>
                <w:szCs w:val="28"/>
              </w:rPr>
              <w:t>总投资3000万元</w:t>
            </w:r>
            <w:r>
              <w:rPr>
                <w:rFonts w:ascii="仿宋_GB2312" w:hAnsi="Times New Roman" w:eastAsia="仿宋_GB2312"/>
                <w:color w:val="auto"/>
                <w:sz w:val="24"/>
                <w:szCs w:val="28"/>
              </w:rPr>
              <w:t>。</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阜平县烈士陵园改扩建项目</w:t>
            </w:r>
            <w:r>
              <w:rPr>
                <w:rFonts w:hint="eastAsia" w:ascii="仿宋_GB2312" w:hAnsi="Times New Roman" w:eastAsia="仿宋_GB2312"/>
                <w:color w:val="auto"/>
                <w:sz w:val="24"/>
                <w:szCs w:val="28"/>
              </w:rPr>
              <w:t>。对</w:t>
            </w:r>
            <w:r>
              <w:rPr>
                <w:rFonts w:ascii="仿宋_GB2312" w:hAnsi="Times New Roman" w:eastAsia="仿宋_GB2312"/>
                <w:color w:val="auto"/>
                <w:sz w:val="24"/>
                <w:szCs w:val="28"/>
              </w:rPr>
              <w:t>烈士陵园进行</w:t>
            </w:r>
            <w:r>
              <w:rPr>
                <w:rFonts w:hint="eastAsia" w:ascii="仿宋_GB2312" w:hAnsi="Times New Roman" w:eastAsia="仿宋_GB2312"/>
                <w:color w:val="auto"/>
                <w:sz w:val="24"/>
                <w:szCs w:val="28"/>
              </w:rPr>
              <w:t>整体改扩建，</w:t>
            </w:r>
            <w:r>
              <w:rPr>
                <w:rFonts w:ascii="仿宋_GB2312" w:hAnsi="Times New Roman" w:eastAsia="仿宋_GB2312"/>
                <w:color w:val="auto"/>
                <w:sz w:val="24"/>
                <w:szCs w:val="28"/>
              </w:rPr>
              <w:t>项目估算总</w:t>
            </w:r>
            <w:r>
              <w:rPr>
                <w:rFonts w:hint="eastAsia" w:ascii="仿宋_GB2312" w:hAnsi="Times New Roman" w:eastAsia="仿宋_GB2312"/>
                <w:color w:val="auto"/>
                <w:sz w:val="24"/>
                <w:szCs w:val="28"/>
              </w:rPr>
              <w:t>投资</w:t>
            </w:r>
            <w:r>
              <w:rPr>
                <w:rFonts w:ascii="仿宋_GB2312" w:hAnsi="Times New Roman" w:eastAsia="仿宋_GB2312"/>
                <w:color w:val="auto"/>
                <w:sz w:val="24"/>
                <w:szCs w:val="28"/>
              </w:rPr>
              <w:t>1860</w:t>
            </w:r>
            <w:r>
              <w:rPr>
                <w:rFonts w:hint="eastAsia" w:ascii="仿宋_GB2312" w:hAnsi="Times New Roman" w:eastAsia="仿宋_GB2312"/>
                <w:color w:val="auto"/>
                <w:sz w:val="24"/>
                <w:szCs w:val="28"/>
              </w:rPr>
              <w:t>万元</w:t>
            </w:r>
            <w:r>
              <w:rPr>
                <w:rFonts w:ascii="仿宋_GB2312" w:hAnsi="Times New Roman" w:eastAsia="仿宋_GB2312"/>
                <w:color w:val="auto"/>
                <w:sz w:val="24"/>
                <w:szCs w:val="28"/>
              </w:rPr>
              <w:t>。</w:t>
            </w:r>
          </w:p>
          <w:p>
            <w:pPr>
              <w:adjustRightInd w:val="0"/>
              <w:snapToGrid w:val="0"/>
              <w:ind w:firstLine="482"/>
              <w:rPr>
                <w:rFonts w:ascii="仿宋_GB2312" w:hAnsi="Times New Roman" w:eastAsia="仿宋_GB2312"/>
                <w:b/>
                <w:color w:val="auto"/>
                <w:sz w:val="24"/>
                <w:szCs w:val="28"/>
              </w:rPr>
            </w:pPr>
            <w:r>
              <w:rPr>
                <w:rFonts w:hint="eastAsia" w:ascii="仿宋_GB2312" w:hAnsi="Times New Roman" w:eastAsia="仿宋_GB2312"/>
                <w:b/>
                <w:color w:val="auto"/>
                <w:sz w:val="24"/>
                <w:szCs w:val="28"/>
              </w:rPr>
              <w:t>2.</w:t>
            </w:r>
            <w:r>
              <w:rPr>
                <w:rFonts w:ascii="仿宋_GB2312" w:hAnsi="Times New Roman" w:eastAsia="仿宋_GB2312"/>
                <w:b/>
                <w:color w:val="auto"/>
                <w:sz w:val="24"/>
                <w:szCs w:val="28"/>
              </w:rPr>
              <w:t>文化产业融合</w:t>
            </w:r>
            <w:r>
              <w:rPr>
                <w:rFonts w:hint="eastAsia" w:ascii="仿宋_GB2312" w:hAnsi="Times New Roman" w:eastAsia="仿宋_GB2312"/>
                <w:b/>
                <w:color w:val="auto"/>
                <w:sz w:val="24"/>
                <w:szCs w:val="28"/>
              </w:rPr>
              <w:t>发展</w:t>
            </w:r>
            <w:r>
              <w:rPr>
                <w:rFonts w:ascii="仿宋_GB2312" w:hAnsi="Times New Roman" w:eastAsia="仿宋_GB2312"/>
                <w:b/>
                <w:color w:val="auto"/>
                <w:sz w:val="24"/>
                <w:szCs w:val="28"/>
              </w:rPr>
              <w:t>工程</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文创园建设</w:t>
            </w:r>
            <w:r>
              <w:rPr>
                <w:rFonts w:ascii="仿宋_GB2312" w:hAnsi="Times New Roman" w:eastAsia="仿宋_GB2312"/>
                <w:b/>
                <w:color w:val="auto"/>
                <w:sz w:val="24"/>
                <w:szCs w:val="28"/>
              </w:rPr>
              <w:t>项目</w:t>
            </w:r>
            <w:r>
              <w:rPr>
                <w:rFonts w:hint="eastAsia" w:ascii="仿宋_GB2312" w:hAnsi="Times New Roman" w:eastAsia="仿宋_GB2312"/>
                <w:color w:val="auto"/>
                <w:sz w:val="24"/>
                <w:szCs w:val="28"/>
              </w:rPr>
              <w:t>。在东坪、苇地沟打造特色</w:t>
            </w:r>
            <w:r>
              <w:rPr>
                <w:rFonts w:ascii="仿宋_GB2312" w:hAnsi="Times New Roman" w:eastAsia="仿宋_GB2312"/>
                <w:color w:val="auto"/>
                <w:sz w:val="24"/>
                <w:szCs w:val="28"/>
              </w:rPr>
              <w:t>文创园</w:t>
            </w:r>
            <w:r>
              <w:rPr>
                <w:rFonts w:hint="eastAsia" w:ascii="仿宋_GB2312" w:hAnsi="Times New Roman" w:eastAsia="仿宋_GB2312"/>
                <w:color w:val="auto"/>
                <w:sz w:val="24"/>
                <w:szCs w:val="28"/>
              </w:rPr>
              <w:t>项目</w:t>
            </w:r>
            <w:r>
              <w:rPr>
                <w:rFonts w:ascii="仿宋_GB2312" w:hAnsi="Times New Roman" w:eastAsia="仿宋_GB2312"/>
                <w:color w:val="auto"/>
                <w:sz w:val="24"/>
                <w:szCs w:val="28"/>
              </w:rPr>
              <w:t>，建设内容包括</w:t>
            </w:r>
            <w:r>
              <w:rPr>
                <w:rFonts w:hint="eastAsia" w:ascii="仿宋_GB2312" w:hAnsi="Times New Roman" w:eastAsia="仿宋_GB2312"/>
                <w:color w:val="auto"/>
                <w:sz w:val="24"/>
                <w:szCs w:val="28"/>
              </w:rPr>
              <w:t>国学院、猫村、原始村落保护、静养谷等</w:t>
            </w:r>
            <w:r>
              <w:rPr>
                <w:rFonts w:ascii="仿宋_GB2312" w:hAnsi="Times New Roman" w:eastAsia="仿宋_GB2312"/>
                <w:color w:val="auto"/>
                <w:sz w:val="24"/>
                <w:szCs w:val="28"/>
              </w:rPr>
              <w:t>，项目估算总投资</w:t>
            </w:r>
            <w:r>
              <w:rPr>
                <w:rFonts w:hint="eastAsia" w:ascii="仿宋_GB2312" w:hAnsi="Times New Roman" w:eastAsia="仿宋_GB2312"/>
                <w:color w:val="auto"/>
                <w:sz w:val="24"/>
                <w:szCs w:val="28"/>
              </w:rPr>
              <w:t>5000万元</w:t>
            </w:r>
            <w:r>
              <w:rPr>
                <w:rFonts w:ascii="仿宋_GB2312" w:hAnsi="Times New Roman" w:eastAsia="仿宋_GB2312"/>
                <w:color w:val="auto"/>
                <w:sz w:val="24"/>
                <w:szCs w:val="28"/>
              </w:rPr>
              <w:t>。</w:t>
            </w:r>
          </w:p>
          <w:p>
            <w:pPr>
              <w:adjustRightInd w:val="0"/>
              <w:snapToGrid w:val="0"/>
              <w:ind w:firstLine="482"/>
              <w:rPr>
                <w:rFonts w:ascii="仿宋_GB2312" w:hAnsi="Times New Roman" w:eastAsia="仿宋_GB2312"/>
                <w:b/>
                <w:color w:val="auto"/>
                <w:sz w:val="24"/>
                <w:szCs w:val="28"/>
              </w:rPr>
            </w:pPr>
            <w:r>
              <w:rPr>
                <w:rFonts w:hint="eastAsia" w:ascii="仿宋_GB2312" w:hAnsi="Times New Roman" w:eastAsia="仿宋_GB2312"/>
                <w:b/>
                <w:color w:val="auto"/>
                <w:sz w:val="24"/>
                <w:szCs w:val="28"/>
              </w:rPr>
              <w:t>3.全民</w:t>
            </w:r>
            <w:r>
              <w:rPr>
                <w:rFonts w:ascii="仿宋_GB2312" w:hAnsi="Times New Roman" w:eastAsia="仿宋_GB2312"/>
                <w:b/>
                <w:color w:val="auto"/>
                <w:sz w:val="24"/>
                <w:szCs w:val="28"/>
              </w:rPr>
              <w:t>体育健康</w:t>
            </w:r>
            <w:r>
              <w:rPr>
                <w:rFonts w:hint="eastAsia" w:ascii="仿宋_GB2312" w:hAnsi="Times New Roman" w:eastAsia="仿宋_GB2312"/>
                <w:b/>
                <w:color w:val="auto"/>
                <w:sz w:val="24"/>
                <w:szCs w:val="28"/>
              </w:rPr>
              <w:t>促进工程</w:t>
            </w:r>
          </w:p>
          <w:p>
            <w:pPr>
              <w:adjustRightInd w:val="0"/>
              <w:snapToGrid w:val="0"/>
              <w:ind w:firstLine="480"/>
              <w:rPr>
                <w:rFonts w:ascii="仿宋_GB2312" w:eastAsia="仿宋_GB2312"/>
                <w:bCs/>
                <w:color w:val="auto"/>
                <w:sz w:val="24"/>
                <w:szCs w:val="28"/>
              </w:rPr>
            </w:pPr>
            <w:r>
              <w:rPr>
                <w:rFonts w:hint="eastAsia" w:ascii="仿宋_GB2312" w:eastAsia="仿宋_GB2312"/>
                <w:bCs/>
                <w:color w:val="auto"/>
                <w:sz w:val="24"/>
                <w:szCs w:val="28"/>
              </w:rPr>
              <w:t>大力发展冰雪、足球、篮球、体育休闲等体育产业，争取更多高水平体育赛事落户阜平，推进校园体育与社会体育融合发展。规划建设阜平县体育中心、阜平西部户外运动基地综合体项目、1</w:t>
            </w:r>
            <w:r>
              <w:rPr>
                <w:rFonts w:ascii="仿宋_GB2312" w:eastAsia="仿宋_GB2312"/>
                <w:bCs/>
                <w:color w:val="auto"/>
                <w:sz w:val="24"/>
                <w:szCs w:val="28"/>
              </w:rPr>
              <w:t>3</w:t>
            </w:r>
            <w:r>
              <w:rPr>
                <w:rFonts w:hint="eastAsia" w:ascii="仿宋_GB2312" w:eastAsia="仿宋_GB2312"/>
                <w:bCs/>
                <w:color w:val="auto"/>
                <w:sz w:val="24"/>
                <w:szCs w:val="28"/>
              </w:rPr>
              <w:t>个乡镇5个社区健身中心，</w:t>
            </w:r>
            <w:r>
              <w:rPr>
                <w:rFonts w:ascii="仿宋_GB2312" w:eastAsia="仿宋_GB2312"/>
                <w:bCs/>
                <w:color w:val="auto"/>
                <w:sz w:val="24"/>
                <w:szCs w:val="28"/>
              </w:rPr>
              <w:t>以及</w:t>
            </w:r>
            <w:r>
              <w:rPr>
                <w:rFonts w:hint="eastAsia" w:ascii="仿宋_GB2312" w:eastAsia="仿宋_GB2312"/>
                <w:bCs/>
                <w:color w:val="auto"/>
                <w:sz w:val="24"/>
                <w:szCs w:val="28"/>
              </w:rPr>
              <w:t>体育公园四类项目。</w:t>
            </w:r>
          </w:p>
        </w:tc>
      </w:tr>
    </w:tbl>
    <w:p>
      <w:pPr>
        <w:pStyle w:val="4"/>
        <w:numPr>
          <w:ilvl w:val="0"/>
          <w:numId w:val="0"/>
        </w:numPr>
        <w:ind w:left="643"/>
        <w:rPr>
          <w:color w:val="auto"/>
        </w:rPr>
      </w:pPr>
      <w:r>
        <w:rPr>
          <w:rFonts w:hint="eastAsia"/>
          <w:color w:val="auto"/>
        </w:rPr>
        <w:t>三、全面</w:t>
      </w:r>
      <w:r>
        <w:rPr>
          <w:color w:val="auto"/>
        </w:rPr>
        <w:t>推动</w:t>
      </w:r>
      <w:r>
        <w:rPr>
          <w:rFonts w:hint="eastAsia"/>
          <w:color w:val="auto"/>
        </w:rPr>
        <w:t>医疗卫生健康</w:t>
      </w:r>
      <w:r>
        <w:rPr>
          <w:color w:val="auto"/>
        </w:rPr>
        <w:t>事业</w:t>
      </w:r>
    </w:p>
    <w:p>
      <w:pPr>
        <w:ind w:firstLine="562"/>
        <w:rPr>
          <w:color w:val="auto"/>
        </w:rPr>
      </w:pPr>
      <w:r>
        <w:rPr>
          <w:rFonts w:hint="eastAsia"/>
          <w:b/>
          <w:color w:val="auto"/>
        </w:rPr>
        <w:t>深化医药卫生体制改革</w:t>
      </w:r>
      <w:r>
        <w:rPr>
          <w:rFonts w:hint="eastAsia"/>
          <w:color w:val="auto"/>
        </w:rPr>
        <w:t>。加快优质医疗资源扩容和均衡布局，优化医疗机构的功能整合与分工协作。稳步推进县级公立医院改革，促使优质资源及时下沉，慢性病和康复期患者有序下转，形成县级综合医院和专科医院、乡镇卫生院、村医疗卫生室“三个层次四种类别”的医疗卫生设施体系，加快建设完善分级诊疗体系。加快推进乡村卫生服务一体化建设，强化基层公共卫生体系，重点在一般乡镇设置卫生院，在中心村社区和村庄居民点设置卫生室。积极推进区域医联体建设，探索推进县域医共体建设，通过财政专项资金引导公立医院支援基层医疗卫生，建立新型激励约束机制；以县级医院为龙头，与乡镇卫生院建立医共体，积极建立医共体内人员柔性流动、双向交流机制和基层卫生人才“县管乡用”“乡管村用”管理机制；</w:t>
      </w:r>
      <w:r>
        <w:rPr>
          <w:color w:val="auto"/>
        </w:rPr>
        <w:t>推广深化区域协作经验，继续以托管、合作、联营等形式实施名医、名院、名诊所</w:t>
      </w:r>
      <w:r>
        <w:rPr>
          <w:rFonts w:hint="eastAsia"/>
          <w:color w:val="auto"/>
        </w:rPr>
        <w:t>“三名”工程，</w:t>
      </w:r>
      <w:r>
        <w:rPr>
          <w:color w:val="auto"/>
        </w:rPr>
        <w:t>探索构建区域医联体</w:t>
      </w:r>
      <w:r>
        <w:rPr>
          <w:rFonts w:hint="eastAsia"/>
          <w:color w:val="auto"/>
        </w:rPr>
        <w:t>。积极争取卫生专项项目，争取省级支持实施“国医堂”建设项目，争取国家支持实施贫困地区儿童营养改善、“两癌”筛查等惠民项目，提升群众安全感、幸福感。</w:t>
      </w:r>
    </w:p>
    <w:p>
      <w:pPr>
        <w:ind w:firstLine="562"/>
        <w:rPr>
          <w:color w:val="auto"/>
        </w:rPr>
      </w:pPr>
      <w:r>
        <w:rPr>
          <w:rFonts w:hint="eastAsia"/>
          <w:b/>
          <w:color w:val="auto"/>
        </w:rPr>
        <w:t>健全</w:t>
      </w:r>
      <w:r>
        <w:rPr>
          <w:b/>
          <w:color w:val="auto"/>
        </w:rPr>
        <w:t>公共卫生服务网络</w:t>
      </w:r>
      <w:r>
        <w:rPr>
          <w:color w:val="auto"/>
        </w:rPr>
        <w:t>。</w:t>
      </w:r>
      <w:r>
        <w:rPr>
          <w:rFonts w:hint="eastAsia"/>
          <w:color w:val="auto"/>
        </w:rPr>
        <w:t>以健全突发公共卫生事件应急机制为核心，围绕突发公共卫生事件应急处理和突发公共事件医疗救援，健全县疾病控制、妇幼保健、卫生监督、应急救治、精神卫生、健康教育等专业公共卫生服务网络。建设县域医疗健康信息数据平台，建立“政府主导、多方参与”的信息化工作机制，提高医疗服务机构信息化水平；完善卫生信息网络体系，建设县乡村一体化的专业公共卫生计生服务三级网络体系。推进县级疾控中心标准化建设，加强公共卫生防疫和重大传染病防控能力建设，完善重大疫情防控体制机制，健全公共卫生应急管理体系。</w:t>
      </w:r>
    </w:p>
    <w:p>
      <w:pPr>
        <w:ind w:firstLine="562"/>
        <w:rPr>
          <w:rFonts w:hAnsi="仿宋_GB2312" w:cs="仿宋_GB2312"/>
          <w:color w:val="auto"/>
          <w:kern w:val="0"/>
          <w:szCs w:val="30"/>
          <w:lang w:val="zh-CN"/>
        </w:rPr>
      </w:pPr>
      <w:r>
        <w:rPr>
          <w:rFonts w:hint="eastAsia" w:hAnsi="仿宋_GB2312" w:cs="仿宋_GB2312"/>
          <w:b/>
          <w:color w:val="auto"/>
          <w:kern w:val="0"/>
          <w:szCs w:val="30"/>
          <w:lang w:val="zh-CN"/>
        </w:rPr>
        <w:t>医疗保障工作健康有序发展</w:t>
      </w:r>
      <w:r>
        <w:rPr>
          <w:rFonts w:hint="eastAsia" w:hAnsi="仿宋_GB2312" w:cs="仿宋_GB2312"/>
          <w:color w:val="auto"/>
          <w:kern w:val="0"/>
          <w:szCs w:val="30"/>
          <w:lang w:val="zh-CN"/>
        </w:rPr>
        <w:t>。健全公平适度的待遇保障机制，健全基本医疗保险制度，巩固大病保险保障水平，继续保持贫困人口倾斜政策；做实医疗救助托底保障，建立跨部门、多层次、信息共享的救助对象及时精准识别机制，全面落实重点救助对象参保缴费政策，完善重特大疾病医疗救助政策；建立重大疫情保障机制。完善稳健可持续的筹资运行机制，深入实施全民参保计划，不断提高基本医疗保险参保率；做实基本医疗保险市级统筹，稳步提高医疗救助统筹层次，实现与基本医疗保险统筹层次相协调。建立管用高效的医保支付机制，加强医保协议管理，支持“互联网</w:t>
      </w:r>
      <w:r>
        <w:rPr>
          <w:rFonts w:hAnsi="仿宋_GB2312" w:cs="仿宋_GB2312"/>
          <w:color w:val="auto"/>
          <w:kern w:val="0"/>
          <w:szCs w:val="30"/>
          <w:lang w:val="zh-CN"/>
        </w:rPr>
        <w:t>+医疗”等新服务模式发展；推</w:t>
      </w:r>
      <w:r>
        <w:rPr>
          <w:rFonts w:hint="eastAsia" w:hAnsi="仿宋_GB2312" w:cs="仿宋_GB2312"/>
          <w:color w:val="auto"/>
          <w:kern w:val="0"/>
          <w:szCs w:val="30"/>
          <w:lang w:val="zh-CN"/>
        </w:rPr>
        <w:t>进医保支付方式改革，对紧密型医联体，按照医联体服务对象实行人头打包付费，建立预付周转金制度，向符合条件的定点医疗机构拨付周转金；深化医保协同发展，全面推进京津冀医保定点互认、医疗费用异地结算、检查检验结果互认，进一步扩大医保定点互认范围。优化医疗保障管理服务，积极对接国家、省级平台，构建“线上线下”同步高效服务现状，推进医保业务京津冀区域“一体化”经办模式，提升医保服务现代化水平。</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7-3 </w:t>
            </w:r>
            <w:r>
              <w:rPr>
                <w:rFonts w:hint="eastAsia" w:ascii="黑体" w:hAnsi="黑体" w:eastAsia="黑体"/>
                <w:color w:val="auto"/>
                <w:sz w:val="24"/>
                <w:szCs w:val="28"/>
              </w:rPr>
              <w:t>医疗卫生健康水平</w:t>
            </w:r>
            <w:r>
              <w:rPr>
                <w:rFonts w:ascii="黑体" w:hAnsi="黑体" w:eastAsia="黑体"/>
                <w:color w:val="auto"/>
                <w:sz w:val="24"/>
                <w:szCs w:val="28"/>
              </w:rPr>
              <w:t>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1.阜平县医院新建工程</w:t>
            </w:r>
            <w:r>
              <w:rPr>
                <w:rFonts w:hint="eastAsia" w:ascii="仿宋_GB2312" w:hAnsi="Times New Roman" w:eastAsia="仿宋_GB2312"/>
                <w:color w:val="auto"/>
                <w:sz w:val="24"/>
                <w:szCs w:val="28"/>
              </w:rPr>
              <w:t>。阜平县医院北侧新建门诊医技综合楼、病房楼、全县医疗应急储备库(县级)、传染病房楼、血透室、供应室、高压氧仓、污水处理站、地下停车场，</w:t>
            </w:r>
            <w:r>
              <w:rPr>
                <w:rFonts w:ascii="仿宋_GB2312" w:hAnsi="Times New Roman" w:eastAsia="仿宋_GB2312"/>
                <w:color w:val="auto"/>
                <w:sz w:val="24"/>
                <w:szCs w:val="28"/>
              </w:rPr>
              <w:t>以及</w:t>
            </w:r>
            <w:r>
              <w:rPr>
                <w:rFonts w:hint="eastAsia" w:ascii="仿宋_GB2312" w:hAnsi="Times New Roman" w:eastAsia="仿宋_GB2312"/>
                <w:color w:val="auto"/>
                <w:sz w:val="24"/>
                <w:szCs w:val="28"/>
              </w:rPr>
              <w:t>相关配套设施。</w:t>
            </w:r>
            <w:r>
              <w:rPr>
                <w:rFonts w:ascii="仿宋_GB2312" w:hAnsi="Times New Roman" w:eastAsia="仿宋_GB2312"/>
                <w:color w:val="auto"/>
                <w:sz w:val="24"/>
                <w:szCs w:val="28"/>
              </w:rPr>
              <w:t>项目</w:t>
            </w:r>
            <w:r>
              <w:rPr>
                <w:rFonts w:hint="eastAsia" w:ascii="仿宋_GB2312" w:hAnsi="Times New Roman" w:eastAsia="仿宋_GB2312"/>
                <w:color w:val="auto"/>
                <w:sz w:val="24"/>
                <w:szCs w:val="28"/>
              </w:rPr>
              <w:t>估算</w:t>
            </w:r>
            <w:r>
              <w:rPr>
                <w:rFonts w:ascii="仿宋_GB2312" w:hAnsi="Times New Roman" w:eastAsia="仿宋_GB2312"/>
                <w:color w:val="auto"/>
                <w:sz w:val="24"/>
                <w:szCs w:val="28"/>
              </w:rPr>
              <w:t>总投资</w:t>
            </w:r>
            <w:r>
              <w:rPr>
                <w:rFonts w:hint="eastAsia" w:ascii="仿宋_GB2312" w:hAnsi="Times New Roman" w:eastAsia="仿宋_GB2312"/>
                <w:color w:val="auto"/>
                <w:sz w:val="24"/>
                <w:szCs w:val="28"/>
              </w:rPr>
              <w:t>2.5</w:t>
            </w:r>
            <w:r>
              <w:rPr>
                <w:rFonts w:ascii="仿宋_GB2312" w:hAnsi="Times New Roman" w:eastAsia="仿宋_GB2312"/>
                <w:color w:val="auto"/>
                <w:sz w:val="24"/>
                <w:szCs w:val="28"/>
              </w:rPr>
              <w:t>亿元。</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2.阜平县疫情防控物资生产储备基地</w:t>
            </w:r>
            <w:r>
              <w:rPr>
                <w:rFonts w:hint="eastAsia" w:ascii="仿宋_GB2312" w:hAnsi="Times New Roman" w:eastAsia="仿宋_GB2312"/>
                <w:color w:val="auto"/>
                <w:sz w:val="24"/>
                <w:szCs w:val="28"/>
              </w:rPr>
              <w:t>。阜平县产业园区新建疫情防控物资生产储备基地。项目占地66666平方米，总建筑面积55000平方米，建设仓库、设备库、后勤物资库、车库、管理用房、行政用房、职工餐厅等，以及消防设施、通风设施、给排水设施、安全监控设施等。</w:t>
            </w:r>
            <w:r>
              <w:rPr>
                <w:rFonts w:ascii="仿宋_GB2312" w:hAnsi="Times New Roman" w:eastAsia="仿宋_GB2312"/>
                <w:color w:val="auto"/>
                <w:sz w:val="24"/>
                <w:szCs w:val="28"/>
              </w:rPr>
              <w:t>项目</w:t>
            </w:r>
            <w:r>
              <w:rPr>
                <w:rFonts w:hint="eastAsia" w:ascii="仿宋_GB2312" w:hAnsi="Times New Roman" w:eastAsia="仿宋_GB2312"/>
                <w:color w:val="auto"/>
                <w:sz w:val="24"/>
                <w:szCs w:val="28"/>
              </w:rPr>
              <w:t>估算</w:t>
            </w:r>
            <w:r>
              <w:rPr>
                <w:rFonts w:ascii="仿宋_GB2312" w:hAnsi="Times New Roman" w:eastAsia="仿宋_GB2312"/>
                <w:color w:val="auto"/>
                <w:sz w:val="24"/>
                <w:szCs w:val="28"/>
              </w:rPr>
              <w:t>总投资1.1亿元。</w:t>
            </w:r>
          </w:p>
          <w:p>
            <w:pPr>
              <w:adjustRightInd w:val="0"/>
              <w:snapToGrid w:val="0"/>
              <w:ind w:firstLine="482"/>
              <w:rPr>
                <w:rFonts w:ascii="仿宋_GB2312" w:eastAsia="仿宋_GB2312"/>
                <w:bCs/>
                <w:color w:val="auto"/>
                <w:sz w:val="24"/>
                <w:szCs w:val="28"/>
              </w:rPr>
            </w:pPr>
            <w:r>
              <w:rPr>
                <w:rFonts w:hint="eastAsia" w:ascii="仿宋_GB2312" w:hAnsi="Times New Roman" w:eastAsia="仿宋_GB2312"/>
                <w:b/>
                <w:color w:val="auto"/>
                <w:sz w:val="24"/>
                <w:szCs w:val="28"/>
              </w:rPr>
              <w:t>3.阜平县中医医院科研教学楼</w:t>
            </w:r>
            <w:r>
              <w:rPr>
                <w:rFonts w:hint="eastAsia" w:ascii="仿宋_GB2312" w:hAnsi="Times New Roman" w:eastAsia="仿宋_GB2312"/>
                <w:color w:val="auto"/>
                <w:sz w:val="24"/>
                <w:szCs w:val="28"/>
              </w:rPr>
              <w:t>。阜平县中医医院新址院内建设19000平米的科研教学楼，包含院士（国医大师）工作站3000平米、制剂室3000平米、教学培训中心8000平米、科研实验室5000平米。</w:t>
            </w:r>
            <w:r>
              <w:rPr>
                <w:rFonts w:ascii="仿宋_GB2312" w:hAnsi="Times New Roman" w:eastAsia="仿宋_GB2312"/>
                <w:color w:val="auto"/>
                <w:sz w:val="24"/>
                <w:szCs w:val="28"/>
              </w:rPr>
              <w:t>项目</w:t>
            </w:r>
            <w:r>
              <w:rPr>
                <w:rFonts w:hint="eastAsia" w:ascii="仿宋_GB2312" w:hAnsi="Times New Roman" w:eastAsia="仿宋_GB2312"/>
                <w:color w:val="auto"/>
                <w:sz w:val="24"/>
                <w:szCs w:val="28"/>
              </w:rPr>
              <w:t>估算</w:t>
            </w:r>
            <w:r>
              <w:rPr>
                <w:rFonts w:ascii="仿宋_GB2312" w:hAnsi="Times New Roman" w:eastAsia="仿宋_GB2312"/>
                <w:color w:val="auto"/>
                <w:sz w:val="24"/>
                <w:szCs w:val="28"/>
              </w:rPr>
              <w:t>总投资2</w:t>
            </w:r>
            <w:r>
              <w:rPr>
                <w:rFonts w:hint="eastAsia" w:ascii="仿宋_GB2312" w:hAnsi="Times New Roman" w:eastAsia="仿宋_GB2312"/>
                <w:color w:val="auto"/>
                <w:sz w:val="24"/>
                <w:szCs w:val="28"/>
              </w:rPr>
              <w:t>亿</w:t>
            </w:r>
            <w:r>
              <w:rPr>
                <w:rFonts w:ascii="仿宋_GB2312" w:hAnsi="Times New Roman" w:eastAsia="仿宋_GB2312"/>
                <w:color w:val="auto"/>
                <w:sz w:val="24"/>
                <w:szCs w:val="28"/>
              </w:rPr>
              <w:t>元。</w:t>
            </w:r>
          </w:p>
        </w:tc>
      </w:tr>
    </w:tbl>
    <w:p>
      <w:pPr>
        <w:pStyle w:val="4"/>
        <w:numPr>
          <w:ilvl w:val="0"/>
          <w:numId w:val="0"/>
        </w:numPr>
        <w:ind w:left="643"/>
        <w:rPr>
          <w:color w:val="auto"/>
        </w:rPr>
      </w:pPr>
      <w:r>
        <w:rPr>
          <w:rFonts w:hint="eastAsia"/>
          <w:color w:val="auto"/>
        </w:rPr>
        <w:t>四</w:t>
      </w:r>
      <w:r>
        <w:rPr>
          <w:color w:val="auto"/>
        </w:rPr>
        <w:t>、</w:t>
      </w:r>
      <w:r>
        <w:rPr>
          <w:rFonts w:hint="eastAsia"/>
          <w:color w:val="auto"/>
        </w:rPr>
        <w:t>着力</w:t>
      </w:r>
      <w:r>
        <w:rPr>
          <w:color w:val="auto"/>
        </w:rPr>
        <w:t>完善健康养老服务体系</w:t>
      </w:r>
    </w:p>
    <w:p>
      <w:pPr>
        <w:ind w:firstLine="562"/>
        <w:rPr>
          <w:color w:val="auto"/>
        </w:rPr>
      </w:pPr>
      <w:r>
        <w:rPr>
          <w:rFonts w:hint="eastAsia"/>
          <w:b/>
          <w:color w:val="auto"/>
        </w:rPr>
        <w:t>夯实</w:t>
      </w:r>
      <w:r>
        <w:rPr>
          <w:b/>
          <w:color w:val="auto"/>
        </w:rPr>
        <w:t>养老服务体系</w:t>
      </w:r>
      <w:r>
        <w:rPr>
          <w:rFonts w:hint="eastAsia"/>
          <w:b/>
          <w:color w:val="auto"/>
        </w:rPr>
        <w:t>构建</w:t>
      </w:r>
      <w:r>
        <w:rPr>
          <w:b/>
          <w:color w:val="auto"/>
        </w:rPr>
        <w:t>基础</w:t>
      </w:r>
      <w:r>
        <w:rPr>
          <w:color w:val="auto"/>
        </w:rPr>
        <w:t>。</w:t>
      </w:r>
      <w:r>
        <w:rPr>
          <w:rFonts w:hint="eastAsia"/>
          <w:color w:val="auto"/>
        </w:rPr>
        <w:t>持续完善居家、社区、机构相协调，医养、康养相结合的养老服务体系。建立老年人综合能力评估体系，完善老年人福利补贴标准化</w:t>
      </w:r>
      <w:r>
        <w:rPr>
          <w:color w:val="auto"/>
        </w:rPr>
        <w:t>、动态化调整</w:t>
      </w:r>
      <w:r>
        <w:rPr>
          <w:rFonts w:hint="eastAsia"/>
          <w:color w:val="auto"/>
        </w:rPr>
        <w:t>制度。加大公办养老机构设施升级改造力度，加强养老服务综合监管，提高养老服务质量。倡导土地功能混合利用，在居民区、商场、写字楼、社区服务中心等组团配置和嵌入老年健康服务设施及机构，推动服务资源下沉到社区。在各乡镇建设一批社会资本参与的养老机构，加强社区养老服务设施建设；构建街乡镇养老服务联合体，以街乡镇为基本治理单元，统筹辖区内养老服务机构、照料中心、幸福院、家庭床位等，制定建设指导意见，盘活区域内养老资源，促进就近养老服务功能连续衔接。补齐农村养老服务短板，强化农村老年人健康教育、常规体检、就医就诊教育，探索建立山区农村集体配置急救车制度。</w:t>
      </w:r>
    </w:p>
    <w:p>
      <w:pPr>
        <w:ind w:firstLine="562"/>
        <w:rPr>
          <w:color w:val="auto"/>
        </w:rPr>
      </w:pPr>
      <w:r>
        <w:rPr>
          <w:rFonts w:hint="eastAsia"/>
          <w:b/>
          <w:color w:val="auto"/>
        </w:rPr>
        <w:t>拓展创新推动</w:t>
      </w:r>
      <w:r>
        <w:rPr>
          <w:b/>
          <w:color w:val="auto"/>
        </w:rPr>
        <w:t>养老服务</w:t>
      </w:r>
      <w:r>
        <w:rPr>
          <w:rFonts w:hint="eastAsia"/>
          <w:b/>
          <w:color w:val="auto"/>
        </w:rPr>
        <w:t>提质增效</w:t>
      </w:r>
      <w:r>
        <w:rPr>
          <w:color w:val="auto"/>
        </w:rPr>
        <w:t>。</w:t>
      </w:r>
      <w:r>
        <w:rPr>
          <w:rFonts w:hint="eastAsia"/>
          <w:color w:val="auto"/>
        </w:rPr>
        <w:t>积极融入京津冀养老服务协同发展，推动养老事业和养老产业协同发展，培育</w:t>
      </w:r>
      <w:r>
        <w:rPr>
          <w:color w:val="auto"/>
        </w:rPr>
        <w:t>养老新业态。</w:t>
      </w:r>
      <w:r>
        <w:rPr>
          <w:rFonts w:hint="eastAsia"/>
          <w:color w:val="auto"/>
        </w:rPr>
        <w:t>深化市场化改革，在社会保障、老年福利、跨地区就医直接结算、税收优惠、土地供给等方面做好政策衔接，探索</w:t>
      </w:r>
      <w:r>
        <w:rPr>
          <w:color w:val="auto"/>
        </w:rPr>
        <w:t>跨区域</w:t>
      </w:r>
      <w:r>
        <w:rPr>
          <w:rFonts w:hint="eastAsia"/>
          <w:color w:val="auto"/>
        </w:rPr>
        <w:t>投资</w:t>
      </w:r>
      <w:r>
        <w:rPr>
          <w:color w:val="auto"/>
        </w:rPr>
        <w:t>建设</w:t>
      </w:r>
      <w:r>
        <w:rPr>
          <w:rFonts w:hint="eastAsia"/>
          <w:color w:val="auto"/>
        </w:rPr>
        <w:t>模式与</w:t>
      </w:r>
      <w:r>
        <w:rPr>
          <w:color w:val="auto"/>
        </w:rPr>
        <w:t>机制</w:t>
      </w:r>
      <w:r>
        <w:rPr>
          <w:rFonts w:hint="eastAsia"/>
          <w:color w:val="auto"/>
        </w:rPr>
        <w:t>。细化分解服务</w:t>
      </w:r>
      <w:r>
        <w:rPr>
          <w:color w:val="auto"/>
        </w:rPr>
        <w:t>对象与</w:t>
      </w:r>
      <w:r>
        <w:rPr>
          <w:rFonts w:hint="eastAsia"/>
          <w:color w:val="auto"/>
        </w:rPr>
        <w:t>服务内容，</w:t>
      </w:r>
      <w:r>
        <w:rPr>
          <w:color w:val="auto"/>
        </w:rPr>
        <w:t>匹配</w:t>
      </w:r>
      <w:r>
        <w:rPr>
          <w:rFonts w:hint="eastAsia"/>
          <w:color w:val="auto"/>
        </w:rPr>
        <w:t>构建“功能模块”，提高个性化服务</w:t>
      </w:r>
      <w:r>
        <w:rPr>
          <w:color w:val="auto"/>
        </w:rPr>
        <w:t>需求的</w:t>
      </w:r>
      <w:r>
        <w:rPr>
          <w:rFonts w:hint="eastAsia"/>
          <w:color w:val="auto"/>
        </w:rPr>
        <w:t>适配性和精准性。完善养老服务内容</w:t>
      </w:r>
      <w:r>
        <w:rPr>
          <w:color w:val="auto"/>
        </w:rPr>
        <w:t>体系</w:t>
      </w:r>
      <w:r>
        <w:rPr>
          <w:rFonts w:hint="eastAsia"/>
          <w:color w:val="auto"/>
        </w:rPr>
        <w:t>，拓展服务项目和服务范围，增强文化娱乐、体育健身、医疗保健、日间照料等服务功能，</w:t>
      </w:r>
      <w:r>
        <w:rPr>
          <w:color w:val="auto"/>
        </w:rPr>
        <w:t>拓展</w:t>
      </w:r>
      <w:r>
        <w:rPr>
          <w:rFonts w:hint="eastAsia"/>
          <w:color w:val="auto"/>
        </w:rPr>
        <w:t>更加多层次、多样化的适老、养老、助老产品和</w:t>
      </w:r>
      <w:r>
        <w:rPr>
          <w:color w:val="auto"/>
        </w:rPr>
        <w:t>服务内容</w:t>
      </w:r>
      <w:r>
        <w:rPr>
          <w:rFonts w:hint="eastAsia"/>
          <w:color w:val="auto"/>
        </w:rPr>
        <w:t>。加强养老护理员队伍建设，继续</w:t>
      </w:r>
      <w:r>
        <w:rPr>
          <w:color w:val="auto"/>
        </w:rPr>
        <w:t>提升</w:t>
      </w:r>
      <w:r>
        <w:rPr>
          <w:rFonts w:hint="eastAsia"/>
          <w:color w:val="auto"/>
        </w:rPr>
        <w:t>专业</w:t>
      </w:r>
      <w:r>
        <w:rPr>
          <w:color w:val="auto"/>
        </w:rPr>
        <w:t>护理能力</w:t>
      </w:r>
      <w:r>
        <w:rPr>
          <w:rFonts w:hint="eastAsia"/>
          <w:color w:val="auto"/>
        </w:rPr>
        <w:t>培训</w:t>
      </w:r>
      <w:r>
        <w:rPr>
          <w:color w:val="auto"/>
        </w:rPr>
        <w:t>实效</w:t>
      </w:r>
      <w:r>
        <w:rPr>
          <w:rFonts w:hint="eastAsia"/>
          <w:color w:val="auto"/>
        </w:rPr>
        <w:t>，</w:t>
      </w:r>
      <w:r>
        <w:rPr>
          <w:color w:val="auto"/>
        </w:rPr>
        <w:t>逐步</w:t>
      </w:r>
      <w:r>
        <w:rPr>
          <w:rFonts w:hint="eastAsia"/>
          <w:color w:val="auto"/>
        </w:rPr>
        <w:t>强化护理伦理和人文关怀素质教育。推动养老产业融合发展，创新</w:t>
      </w:r>
      <w:r>
        <w:rPr>
          <w:color w:val="auto"/>
        </w:rPr>
        <w:t>实践</w:t>
      </w:r>
      <w:r>
        <w:rPr>
          <w:rFonts w:hint="eastAsia"/>
          <w:color w:val="auto"/>
        </w:rPr>
        <w:t>“互联网+养老”服务新模式，增加公共产品投资，将适老化作为“健康</w:t>
      </w:r>
      <w:r>
        <w:rPr>
          <w:color w:val="auto"/>
        </w:rPr>
        <w:t>阜平</w:t>
      </w:r>
      <w:r>
        <w:rPr>
          <w:rFonts w:hint="eastAsia"/>
          <w:color w:val="auto"/>
        </w:rPr>
        <w:t>”建设特色</w:t>
      </w:r>
      <w:r>
        <w:rPr>
          <w:color w:val="auto"/>
        </w:rPr>
        <w:t>，</w:t>
      </w:r>
      <w:r>
        <w:rPr>
          <w:rFonts w:hint="eastAsia"/>
          <w:color w:val="auto"/>
        </w:rPr>
        <w:t>积极培养老龄社会新形势下的经济新增长点。</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 xml:space="preserve">7-4 </w:t>
            </w:r>
            <w:r>
              <w:rPr>
                <w:rFonts w:hint="eastAsia" w:ascii="黑体" w:hAnsi="黑体" w:eastAsia="黑体"/>
                <w:color w:val="auto"/>
                <w:sz w:val="24"/>
                <w:szCs w:val="28"/>
              </w:rPr>
              <w:t>养老服务系统</w:t>
            </w:r>
            <w:r>
              <w:rPr>
                <w:rFonts w:ascii="黑体" w:hAnsi="黑体" w:eastAsia="黑体"/>
                <w:color w:val="auto"/>
                <w:sz w:val="24"/>
                <w:szCs w:val="28"/>
              </w:rPr>
              <w:t>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1.阜平县民政事业服务中心</w:t>
            </w:r>
            <w:r>
              <w:rPr>
                <w:rFonts w:hint="eastAsia" w:ascii="仿宋_GB2312" w:hAnsi="Times New Roman" w:eastAsia="仿宋_GB2312"/>
                <w:color w:val="auto"/>
                <w:sz w:val="24"/>
                <w:szCs w:val="28"/>
              </w:rPr>
              <w:t>。继续加强阜平县民政事业服务中心养老服务配套设施建设，打造3星级评估标准，预计投资0.1亿元。</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2.阜平县中医医院康复托老中心</w:t>
            </w:r>
            <w:r>
              <w:rPr>
                <w:rFonts w:hint="eastAsia" w:ascii="仿宋_GB2312" w:hAnsi="Times New Roman" w:eastAsia="仿宋_GB2312"/>
                <w:color w:val="auto"/>
                <w:sz w:val="24"/>
                <w:szCs w:val="28"/>
              </w:rPr>
              <w:t>。项目位于阜东新区，建筑面积约24000平方米</w:t>
            </w:r>
            <w:r>
              <w:rPr>
                <w:rFonts w:hint="eastAsia" w:ascii="仿宋_GB2312" w:hAnsi="仿宋_GB2312" w:eastAsia="仿宋_GB2312" w:cs="仿宋_GB2312"/>
                <w:color w:val="auto"/>
                <w:sz w:val="24"/>
                <w:szCs w:val="28"/>
              </w:rPr>
              <w:t>，配有</w:t>
            </w:r>
            <w:r>
              <w:rPr>
                <w:rFonts w:hint="eastAsia" w:ascii="仿宋_GB2312" w:hAnsi="Times New Roman" w:eastAsia="仿宋_GB2312"/>
                <w:color w:val="auto"/>
                <w:sz w:val="24"/>
                <w:szCs w:val="28"/>
              </w:rPr>
              <w:t>200张康养床位，项目估算总投资约1.5亿元。</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3.阜平县龙泉关镇敬老院及养老服务中心</w:t>
            </w:r>
            <w:r>
              <w:rPr>
                <w:rFonts w:hint="eastAsia" w:ascii="仿宋_GB2312" w:hAnsi="Times New Roman" w:eastAsia="仿宋_GB2312"/>
                <w:color w:val="auto"/>
                <w:sz w:val="24"/>
                <w:szCs w:val="28"/>
              </w:rPr>
              <w:t>。项目位于阜平县龙泉关镇龙泉关村，占地15.23亩，建筑面积24517.59平方米（其中敬老院4500平方米</w:t>
            </w:r>
            <w:r>
              <w:rPr>
                <w:rFonts w:hint="eastAsia" w:ascii="仿宋_GB2312" w:hAnsi="仿宋_GB2312" w:eastAsia="仿宋_GB2312" w:cs="仿宋_GB2312"/>
                <w:color w:val="auto"/>
                <w:sz w:val="24"/>
                <w:szCs w:val="28"/>
              </w:rPr>
              <w:t>、养老服务中心</w:t>
            </w:r>
            <w:r>
              <w:rPr>
                <w:rFonts w:hint="eastAsia" w:ascii="仿宋_GB2312" w:hAnsi="Times New Roman" w:eastAsia="仿宋_GB2312"/>
                <w:color w:val="auto"/>
                <w:sz w:val="24"/>
                <w:szCs w:val="28"/>
              </w:rPr>
              <w:t>20017.59平方米</w:t>
            </w:r>
            <w:r>
              <w:rPr>
                <w:rFonts w:hint="eastAsia" w:ascii="仿宋_GB2312" w:hAnsi="仿宋_GB2312" w:eastAsia="仿宋_GB2312" w:cs="仿宋_GB2312"/>
                <w:color w:val="auto"/>
                <w:sz w:val="24"/>
                <w:szCs w:val="28"/>
              </w:rPr>
              <w:t>），设计</w:t>
            </w:r>
            <w:r>
              <w:rPr>
                <w:rFonts w:hint="eastAsia" w:ascii="仿宋_GB2312" w:hAnsi="Times New Roman" w:eastAsia="仿宋_GB2312"/>
                <w:color w:val="auto"/>
                <w:sz w:val="24"/>
                <w:szCs w:val="28"/>
              </w:rPr>
              <w:t>496张床位，项目</w:t>
            </w:r>
            <w:r>
              <w:rPr>
                <w:rFonts w:ascii="仿宋_GB2312" w:hAnsi="Times New Roman" w:eastAsia="仿宋_GB2312"/>
                <w:color w:val="auto"/>
                <w:sz w:val="24"/>
                <w:szCs w:val="28"/>
              </w:rPr>
              <w:t>估算总</w:t>
            </w:r>
            <w:r>
              <w:rPr>
                <w:rFonts w:hint="eastAsia" w:ascii="仿宋_GB2312" w:hAnsi="Times New Roman" w:eastAsia="仿宋_GB2312"/>
                <w:color w:val="auto"/>
                <w:sz w:val="24"/>
                <w:szCs w:val="28"/>
              </w:rPr>
              <w:t>投资1亿元。</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4.易地闲置房和民宿养老改造项目</w:t>
            </w:r>
            <w:r>
              <w:rPr>
                <w:rFonts w:hint="eastAsia" w:ascii="仿宋_GB2312" w:hAnsi="Times New Roman" w:eastAsia="仿宋_GB2312"/>
                <w:color w:val="auto"/>
                <w:sz w:val="24"/>
                <w:szCs w:val="28"/>
              </w:rPr>
              <w:t>。计划利用易地搬迁闲置房和现有民宿，改造成养老用房，设计床位500张。</w:t>
            </w:r>
            <w:r>
              <w:rPr>
                <w:rFonts w:ascii="仿宋_GB2312" w:hAnsi="Times New Roman" w:eastAsia="仿宋_GB2312"/>
                <w:color w:val="auto"/>
                <w:sz w:val="24"/>
                <w:szCs w:val="28"/>
              </w:rPr>
              <w:t>项目</w:t>
            </w:r>
            <w:r>
              <w:rPr>
                <w:rFonts w:hint="eastAsia" w:ascii="仿宋_GB2312" w:hAnsi="Times New Roman" w:eastAsia="仿宋_GB2312"/>
                <w:color w:val="auto"/>
                <w:sz w:val="24"/>
                <w:szCs w:val="28"/>
              </w:rPr>
              <w:t>估算</w:t>
            </w:r>
            <w:r>
              <w:rPr>
                <w:rFonts w:ascii="仿宋_GB2312" w:hAnsi="Times New Roman" w:eastAsia="仿宋_GB2312"/>
                <w:color w:val="auto"/>
                <w:sz w:val="24"/>
                <w:szCs w:val="28"/>
              </w:rPr>
              <w:t>总</w:t>
            </w:r>
            <w:r>
              <w:rPr>
                <w:rFonts w:hint="eastAsia" w:ascii="仿宋_GB2312" w:hAnsi="Times New Roman" w:eastAsia="仿宋_GB2312"/>
                <w:color w:val="auto"/>
                <w:sz w:val="24"/>
                <w:szCs w:val="28"/>
              </w:rPr>
              <w:t>投资为0.2亿元。</w:t>
            </w:r>
          </w:p>
          <w:p>
            <w:pPr>
              <w:adjustRightInd w:val="0"/>
              <w:snapToGrid w:val="0"/>
              <w:ind w:firstLine="482"/>
              <w:rPr>
                <w:rFonts w:ascii="仿宋_GB2312" w:eastAsia="仿宋_GB2312"/>
                <w:bCs/>
                <w:color w:val="auto"/>
                <w:sz w:val="24"/>
                <w:szCs w:val="28"/>
              </w:rPr>
            </w:pPr>
            <w:r>
              <w:rPr>
                <w:rFonts w:hint="eastAsia" w:ascii="仿宋_GB2312" w:hAnsi="Times New Roman" w:eastAsia="仿宋_GB2312"/>
                <w:b/>
                <w:color w:val="auto"/>
                <w:sz w:val="24"/>
                <w:szCs w:val="28"/>
              </w:rPr>
              <w:t>5.大台乡钰龙康养服务中心</w:t>
            </w:r>
            <w:r>
              <w:rPr>
                <w:rFonts w:hint="eastAsia" w:ascii="仿宋_GB2312" w:hAnsi="Times New Roman" w:eastAsia="仿宋_GB2312"/>
                <w:color w:val="auto"/>
                <w:sz w:val="24"/>
                <w:szCs w:val="28"/>
              </w:rPr>
              <w:t>。项目选址在大台乡西板峪店村，占地40亩，建筑面积2.24万平方米</w:t>
            </w:r>
            <w:r>
              <w:rPr>
                <w:rFonts w:hint="eastAsia" w:ascii="仿宋_GB2312" w:hAnsi="仿宋_GB2312" w:eastAsia="仿宋_GB2312" w:cs="仿宋_GB2312"/>
                <w:color w:val="auto"/>
                <w:sz w:val="24"/>
                <w:szCs w:val="28"/>
              </w:rPr>
              <w:t>，设置床位</w:t>
            </w:r>
            <w:r>
              <w:rPr>
                <w:rFonts w:hint="eastAsia" w:ascii="仿宋_GB2312" w:hAnsi="Times New Roman" w:eastAsia="仿宋_GB2312"/>
                <w:color w:val="auto"/>
                <w:sz w:val="24"/>
                <w:szCs w:val="28"/>
              </w:rPr>
              <w:t>800张。项目</w:t>
            </w:r>
            <w:r>
              <w:rPr>
                <w:rFonts w:ascii="仿宋_GB2312" w:hAnsi="Times New Roman" w:eastAsia="仿宋_GB2312"/>
                <w:color w:val="auto"/>
                <w:sz w:val="24"/>
                <w:szCs w:val="28"/>
              </w:rPr>
              <w:t>估算总</w:t>
            </w:r>
            <w:r>
              <w:rPr>
                <w:rFonts w:hint="eastAsia" w:ascii="仿宋_GB2312" w:hAnsi="Times New Roman" w:eastAsia="仿宋_GB2312"/>
                <w:color w:val="auto"/>
                <w:sz w:val="24"/>
                <w:szCs w:val="28"/>
              </w:rPr>
              <w:t>投资为1.1亿元。</w:t>
            </w:r>
          </w:p>
        </w:tc>
      </w:tr>
    </w:tbl>
    <w:p>
      <w:pPr>
        <w:pStyle w:val="3"/>
        <w:spacing w:before="204"/>
        <w:ind w:firstLine="560" w:firstLineChars="200"/>
        <w:rPr>
          <w:color w:val="auto"/>
          <w:szCs w:val="30"/>
        </w:rPr>
      </w:pPr>
      <w:bookmarkStart w:id="32" w:name="_Toc62244285"/>
      <w:r>
        <w:rPr>
          <w:rFonts w:hint="eastAsia"/>
          <w:color w:val="auto"/>
          <w:szCs w:val="30"/>
        </w:rPr>
        <w:t>第三节  健全覆盖城乡的社会保障体系</w:t>
      </w:r>
      <w:bookmarkEnd w:id="32"/>
    </w:p>
    <w:p>
      <w:pPr>
        <w:ind w:firstLine="560"/>
        <w:rPr>
          <w:color w:val="auto"/>
        </w:rPr>
      </w:pPr>
      <w:r>
        <w:rPr>
          <w:rFonts w:hint="eastAsia"/>
          <w:color w:val="auto"/>
        </w:rPr>
        <w:t>以巩固提升</w:t>
      </w:r>
      <w:r>
        <w:rPr>
          <w:color w:val="auto"/>
        </w:rPr>
        <w:t>脱贫成果</w:t>
      </w:r>
      <w:r>
        <w:rPr>
          <w:rFonts w:hint="eastAsia"/>
          <w:color w:val="auto"/>
        </w:rPr>
        <w:t>统揽经济社会发展全局，统筹推进就业创业、社会保障、人才队伍建设等各项工作，实现人力资源和社会保障事业稳步发展，为实现建设保定市西部</w:t>
      </w:r>
      <w:r>
        <w:rPr>
          <w:color w:val="auto"/>
        </w:rPr>
        <w:t>中心城市</w:t>
      </w:r>
      <w:r>
        <w:rPr>
          <w:rFonts w:hint="eastAsia"/>
          <w:color w:val="auto"/>
        </w:rPr>
        <w:t>目标做出贡献。</w:t>
      </w:r>
    </w:p>
    <w:p>
      <w:pPr>
        <w:pStyle w:val="4"/>
        <w:numPr>
          <w:ilvl w:val="0"/>
          <w:numId w:val="0"/>
        </w:numPr>
        <w:ind w:left="643"/>
        <w:rPr>
          <w:color w:val="auto"/>
        </w:rPr>
      </w:pPr>
      <w:r>
        <w:rPr>
          <w:rFonts w:hint="eastAsia"/>
          <w:color w:val="auto"/>
        </w:rPr>
        <w:t>一</w:t>
      </w:r>
      <w:r>
        <w:rPr>
          <w:color w:val="auto"/>
        </w:rPr>
        <w:t>、</w:t>
      </w:r>
      <w:r>
        <w:rPr>
          <w:rFonts w:hint="eastAsia"/>
          <w:color w:val="auto"/>
        </w:rPr>
        <w:t>实现更加充分更高质量就业</w:t>
      </w:r>
    </w:p>
    <w:p>
      <w:pPr>
        <w:ind w:firstLine="562"/>
        <w:rPr>
          <w:color w:val="auto"/>
        </w:rPr>
      </w:pPr>
      <w:r>
        <w:rPr>
          <w:rFonts w:hint="eastAsia"/>
          <w:b/>
          <w:color w:val="auto"/>
        </w:rPr>
        <w:t>坚持扩大就业发展战略</w:t>
      </w:r>
      <w:r>
        <w:rPr>
          <w:rFonts w:hint="eastAsia"/>
          <w:color w:val="auto"/>
        </w:rPr>
        <w:t>。调整实施更加有利于促进就业的产业、财政、税收优惠、金融支持政策，以及灵活就业的扶持政策，形成促进就业的综合政策体系。实施重大项目带动工程，推进农业现代化，大力发展农产品加工、休闲农业、乡村旅游、农村服务业等劳动密集型产业项目，发展吸纳就业能力强的旅游休闲、家庭服务等生活性服务业；结合县域经济及阜东、平阳、城南庄、大台四个产业园区发展商务物流、电子信息等生产性服务业，加快发展民营经济，多渠道开发就业岗位。加强就业信息监测平台和就业信息公共服务平台建设，建立完善失业动态监测、预测预警和预防调控“三位一体”工作机制。</w:t>
      </w:r>
    </w:p>
    <w:p>
      <w:pPr>
        <w:ind w:firstLine="562"/>
        <w:rPr>
          <w:color w:val="auto"/>
        </w:rPr>
      </w:pPr>
      <w:r>
        <w:rPr>
          <w:rFonts w:hint="eastAsia"/>
          <w:b/>
          <w:color w:val="auto"/>
        </w:rPr>
        <w:t>完善就业服务工作机制</w:t>
      </w:r>
      <w:r>
        <w:rPr>
          <w:rFonts w:hint="eastAsia"/>
          <w:color w:val="auto"/>
        </w:rPr>
        <w:t>。把高校毕业生就业工作摆在首位，以实施“离校未就业高校毕业生就业促进计划”和“青年创业引领计划”为抓手，全力做好高校毕业生就业创业工作，对回县就业创业的高校毕业生开展“一对一”就业创业帮扶，有针对性提供创业补助、职业培训补贴、贷款贴息等政策，对困难家庭未就业高校毕业生提供公益性岗位等就业援助措施。促进农村劳动力就业创业，在京津等劳务输入地设立劳务输出联络点和劳务基地，加强重点企业劳务对接，开拓国外劳务市场，不断扩大有组织劳务输出规模；鼓励农村</w:t>
      </w:r>
      <w:r>
        <w:rPr>
          <w:color w:val="auto"/>
        </w:rPr>
        <w:t>剩余劳动力</w:t>
      </w:r>
      <w:r>
        <w:rPr>
          <w:rFonts w:hint="eastAsia"/>
          <w:color w:val="auto"/>
        </w:rPr>
        <w:t>向乡村旅游、家庭手工业、家庭服务业、农产品深加工等行业转移就业。加强就业困难群体的就业援助，落实就业援助政策和各项服务举措，鼓励企业吸纳就业困难人员就业，鼓励就业困难人员灵活就业并落实社保补贴；积极开发公益性岗位予以兜底安置，确保零就业家庭、最低生活保障家庭等困难家庭至少有一人就业。</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专栏7-</w:t>
            </w:r>
            <w:r>
              <w:rPr>
                <w:rFonts w:ascii="黑体" w:hAnsi="黑体" w:eastAsia="黑体"/>
                <w:color w:val="auto"/>
                <w:sz w:val="24"/>
                <w:szCs w:val="28"/>
              </w:rPr>
              <w:t xml:space="preserve">5 </w:t>
            </w:r>
            <w:r>
              <w:rPr>
                <w:rFonts w:hint="eastAsia" w:ascii="黑体" w:hAnsi="黑体" w:eastAsia="黑体"/>
                <w:color w:val="auto"/>
                <w:sz w:val="24"/>
                <w:szCs w:val="28"/>
              </w:rPr>
              <w:t>千方百计</w:t>
            </w:r>
            <w:r>
              <w:rPr>
                <w:rFonts w:ascii="黑体" w:hAnsi="黑体" w:eastAsia="黑体"/>
                <w:color w:val="auto"/>
                <w:sz w:val="24"/>
                <w:szCs w:val="28"/>
              </w:rPr>
              <w:t>促就业创业</w:t>
            </w:r>
            <w:r>
              <w:rPr>
                <w:rFonts w:hint="eastAsia" w:ascii="黑体" w:hAnsi="黑体" w:eastAsia="黑体"/>
                <w:color w:val="auto"/>
                <w:sz w:val="24"/>
                <w:szCs w:val="28"/>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color w:val="auto"/>
                <w:sz w:val="24"/>
                <w:szCs w:val="28"/>
              </w:rPr>
            </w:pPr>
            <w:r>
              <w:rPr>
                <w:rFonts w:hint="eastAsia"/>
                <w:b/>
                <w:color w:val="auto"/>
                <w:sz w:val="24"/>
                <w:szCs w:val="28"/>
              </w:rPr>
              <w:t>1.创业孵化基地建设项目</w:t>
            </w:r>
            <w:r>
              <w:rPr>
                <w:rFonts w:hint="eastAsia"/>
                <w:color w:val="auto"/>
                <w:sz w:val="24"/>
                <w:szCs w:val="28"/>
              </w:rPr>
              <w:t>。依托现有设施，与有关部门联合创办县级创业孵化基地，年孵化项目20个以上，吸纳就业150人以上，不断完善基础设施和服务功能，落实资金补贴政策，争取达到省或市级创业孵化示范基地标准。</w:t>
            </w:r>
          </w:p>
          <w:p>
            <w:pPr>
              <w:adjustRightInd w:val="0"/>
              <w:snapToGrid w:val="0"/>
              <w:ind w:firstLine="482"/>
              <w:rPr>
                <w:color w:val="auto"/>
                <w:sz w:val="24"/>
                <w:szCs w:val="28"/>
              </w:rPr>
            </w:pPr>
            <w:r>
              <w:rPr>
                <w:rFonts w:hint="eastAsia"/>
                <w:b/>
                <w:color w:val="auto"/>
                <w:sz w:val="24"/>
                <w:szCs w:val="28"/>
              </w:rPr>
              <w:t>2.电子商务孵化基地建设项目</w:t>
            </w:r>
            <w:r>
              <w:rPr>
                <w:rFonts w:hint="eastAsia"/>
                <w:color w:val="auto"/>
                <w:sz w:val="24"/>
                <w:szCs w:val="28"/>
              </w:rPr>
              <w:t>。结合电子商务进农村综合示范县创建工作，围绕农产品销售和商品双向流通，服务“淘宝特色中国·阜平馆”“京东服务中心”，在城镇或行政村建设4-5家电子商务创业孵化基地。</w:t>
            </w:r>
          </w:p>
          <w:p>
            <w:pPr>
              <w:adjustRightInd w:val="0"/>
              <w:snapToGrid w:val="0"/>
              <w:ind w:firstLine="482"/>
              <w:rPr>
                <w:rFonts w:ascii="仿宋_GB2312" w:eastAsia="仿宋_GB2312"/>
                <w:bCs/>
                <w:color w:val="auto"/>
                <w:sz w:val="24"/>
                <w:szCs w:val="28"/>
              </w:rPr>
            </w:pPr>
            <w:r>
              <w:rPr>
                <w:rFonts w:hint="eastAsia"/>
                <w:b/>
                <w:color w:val="auto"/>
                <w:sz w:val="24"/>
                <w:szCs w:val="28"/>
              </w:rPr>
              <w:t>3.农村劳动力技能提升培训计划</w:t>
            </w:r>
            <w:r>
              <w:rPr>
                <w:rFonts w:hint="eastAsia"/>
                <w:color w:val="auto"/>
                <w:sz w:val="24"/>
                <w:szCs w:val="28"/>
              </w:rPr>
              <w:t>。着眼培养新型职业农民，依托定点培训学校，开展种植、养殖实用技术和农业产业化技能培训，市场营销、服务业、加工业、建筑业等行业培训，培训农村劳动力万人以上。</w:t>
            </w:r>
          </w:p>
        </w:tc>
      </w:tr>
    </w:tbl>
    <w:p>
      <w:pPr>
        <w:pStyle w:val="4"/>
        <w:numPr>
          <w:ilvl w:val="0"/>
          <w:numId w:val="0"/>
        </w:numPr>
        <w:ind w:left="643"/>
        <w:rPr>
          <w:color w:val="auto"/>
        </w:rPr>
      </w:pPr>
      <w:r>
        <w:rPr>
          <w:rFonts w:hint="eastAsia"/>
          <w:color w:val="auto"/>
        </w:rPr>
        <w:t>二</w:t>
      </w:r>
      <w:r>
        <w:rPr>
          <w:color w:val="auto"/>
        </w:rPr>
        <w:t>、</w:t>
      </w:r>
      <w:r>
        <w:rPr>
          <w:rFonts w:hint="eastAsia"/>
          <w:color w:val="auto"/>
        </w:rPr>
        <w:t>完善</w:t>
      </w:r>
      <w:r>
        <w:rPr>
          <w:color w:val="auto"/>
        </w:rPr>
        <w:t>全民</w:t>
      </w:r>
      <w:r>
        <w:rPr>
          <w:rFonts w:hint="eastAsia"/>
          <w:color w:val="auto"/>
        </w:rPr>
        <w:t>覆盖</w:t>
      </w:r>
      <w:r>
        <w:rPr>
          <w:color w:val="auto"/>
        </w:rPr>
        <w:t>社会保障体系</w:t>
      </w:r>
    </w:p>
    <w:p>
      <w:pPr>
        <w:ind w:firstLine="562"/>
        <w:rPr>
          <w:color w:val="auto"/>
          <w:lang w:val="zh-CN"/>
        </w:rPr>
      </w:pPr>
      <w:r>
        <w:rPr>
          <w:rFonts w:hint="eastAsia"/>
          <w:b/>
          <w:color w:val="auto"/>
          <w:lang w:val="zh-CN"/>
        </w:rPr>
        <w:t>健全</w:t>
      </w:r>
      <w:r>
        <w:rPr>
          <w:b/>
          <w:color w:val="auto"/>
          <w:lang w:val="zh-CN"/>
        </w:rPr>
        <w:t>多层次社会保障体系</w:t>
      </w:r>
      <w:r>
        <w:rPr>
          <w:color w:val="auto"/>
          <w:lang w:val="zh-CN"/>
        </w:rPr>
        <w:t>。</w:t>
      </w:r>
      <w:r>
        <w:rPr>
          <w:rFonts w:hint="eastAsia"/>
          <w:color w:val="auto"/>
          <w:lang w:val="zh-CN"/>
        </w:rPr>
        <w:t>基本建立覆盖全民、统筹城乡、公平统一、可持续的多层次社会保障体系。制定激励政策，引导和鼓励各类人员及早参保、长期参保和连续参保，不断扩大社会保障覆盖范围，城镇职工基本养老保险参保人数达到1.65万人，城乡居民基本养老保险参保率达到90%以上。保障水平稳步提高，大幅度提高企业退休人员和机关事业退休人员基本养老金水平，城镇职工基本医疗保险、城镇居民基本医疗保险政策范围内住院费用支付比例分别达到70%、60%；管理服务高效快捷，持社会保障卡人数达到15万人。</w:t>
      </w:r>
    </w:p>
    <w:p>
      <w:pPr>
        <w:ind w:firstLine="562"/>
        <w:rPr>
          <w:color w:val="auto"/>
          <w:lang w:val="zh-CN"/>
        </w:rPr>
      </w:pPr>
      <w:r>
        <w:rPr>
          <w:rFonts w:hint="eastAsia"/>
          <w:b/>
          <w:color w:val="auto"/>
          <w:lang w:val="zh-CN"/>
        </w:rPr>
        <w:t>健全社会救助综合体系</w:t>
      </w:r>
      <w:r>
        <w:rPr>
          <w:rFonts w:hint="eastAsia"/>
          <w:color w:val="auto"/>
          <w:lang w:val="zh-CN"/>
        </w:rPr>
        <w:t>。稳步推进低保制度城乡统筹，探索建立以最低生活保障为基础、专项救助为支撑、急难救助为辅助、社会力量参与为补充的梯度社会救助制度体系，进一步优化社会救助工作流程，加快实现城乡社会救助服务均等化。加强救助政策宣传，加强村级民政队伍建设，完善“一门受理、协同办理、三级代办”机制，实施好乡镇备用金制度。提高流浪乞讨人员救助服务水平，推动救助管理机构改扩建、维修改造以及设备配置，实现救助管理功能全覆盖，鼓励社会专业力量参与救助服务，不断提升服务能力和水平。</w:t>
      </w:r>
    </w:p>
    <w:p>
      <w:pPr>
        <w:ind w:firstLine="562"/>
        <w:rPr>
          <w:color w:val="auto"/>
        </w:rPr>
      </w:pPr>
      <w:r>
        <w:rPr>
          <w:rFonts w:hint="eastAsia"/>
          <w:b/>
          <w:color w:val="auto"/>
        </w:rPr>
        <w:t>优先促进青年</w:t>
      </w:r>
      <w:r>
        <w:rPr>
          <w:b/>
          <w:color w:val="auto"/>
        </w:rPr>
        <w:t>全面发展</w:t>
      </w:r>
      <w:r>
        <w:rPr>
          <w:color w:val="auto"/>
        </w:rPr>
        <w:t>。</w:t>
      </w:r>
      <w:r>
        <w:rPr>
          <w:rFonts w:hint="eastAsia"/>
          <w:color w:val="auto"/>
        </w:rPr>
        <w:t>坚持贯彻“党管青年”原则和“青年优先发展”理念，提升广大青年思想政治素养和全面发展水平。建立青年工作联席会议机制，推动青年发展规划纵深实施，促进青年发展常态化、制度化。强化青年发展的理论支持，加强思想引领，提升健康水平，提升</w:t>
      </w:r>
      <w:r>
        <w:rPr>
          <w:color w:val="auto"/>
        </w:rPr>
        <w:t>社会融入，加强社会保障，</w:t>
      </w:r>
      <w:r>
        <w:rPr>
          <w:rFonts w:hint="eastAsia"/>
          <w:color w:val="auto"/>
        </w:rPr>
        <w:t>更好地促进青年高质量发展。向广大青年积极传递政策温暖，在就业落户、创业扶持、人才吸纳等方面积极推动出台普惠性青年政策和青年民生实事项目。</w:t>
      </w:r>
    </w:p>
    <w:p>
      <w:pPr>
        <w:ind w:firstLine="562"/>
        <w:rPr>
          <w:color w:val="auto"/>
          <w:lang w:val="zh-CN"/>
        </w:rPr>
      </w:pPr>
      <w:r>
        <w:rPr>
          <w:rFonts w:hint="eastAsia"/>
          <w:b/>
          <w:color w:val="auto"/>
          <w:lang w:val="zh-CN"/>
        </w:rPr>
        <w:t>完善特殊群体关爱体系</w:t>
      </w:r>
      <w:r>
        <w:rPr>
          <w:rFonts w:hint="eastAsia"/>
          <w:color w:val="auto"/>
          <w:lang w:val="zh-CN"/>
        </w:rPr>
        <w:t>。进一步健全困境儿童关爱服务体系和分类保障制度，加强儿童福利设施建设，做实做强未成年人救助保护机构，稳步提高养育标准；积极培育儿童服务类社会组织和社会工作机构，引导社会力量参与困境儿童关爱保护。完善残疾人基本福利制度，进一步健全残疾人“两项补贴制度”和动态调整机制，通过托养、政府购买服务等多种方式，为贫困重度残疾人提供集中或社会化的照料护理服务。完善农村留守人员关爱服务体系，围绕基本生活保障、安全、教育、就业、卫生健康、思想情感等内容，实施有力有序有效服务，培养壮大农村养老服务和社会工作专业人才队伍。</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专栏7-</w:t>
            </w:r>
            <w:r>
              <w:rPr>
                <w:rFonts w:ascii="黑体" w:hAnsi="黑体" w:eastAsia="黑体"/>
                <w:color w:val="auto"/>
                <w:sz w:val="24"/>
                <w:szCs w:val="28"/>
              </w:rPr>
              <w:t xml:space="preserve">6 </w:t>
            </w:r>
            <w:r>
              <w:rPr>
                <w:rFonts w:hint="eastAsia" w:ascii="黑体" w:hAnsi="黑体" w:eastAsia="黑体"/>
                <w:color w:val="auto"/>
                <w:sz w:val="24"/>
                <w:szCs w:val="28"/>
              </w:rPr>
              <w:t>民生特殊保障</w:t>
            </w:r>
            <w:r>
              <w:rPr>
                <w:rFonts w:ascii="黑体" w:hAnsi="黑体" w:eastAsia="黑体"/>
                <w:color w:val="auto"/>
                <w:sz w:val="24"/>
                <w:szCs w:val="28"/>
              </w:rPr>
              <w:t>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hAnsi="Times New Roman" w:eastAsia="仿宋_GB2312"/>
                <w:b/>
                <w:color w:val="auto"/>
                <w:sz w:val="24"/>
                <w:szCs w:val="28"/>
              </w:rPr>
            </w:pPr>
            <w:r>
              <w:rPr>
                <w:rFonts w:hint="eastAsia" w:ascii="仿宋_GB2312" w:hAnsi="Times New Roman" w:eastAsia="仿宋_GB2312"/>
                <w:b/>
                <w:color w:val="auto"/>
                <w:sz w:val="24"/>
                <w:szCs w:val="28"/>
              </w:rPr>
              <w:t>1.未成年人保障</w:t>
            </w:r>
            <w:r>
              <w:rPr>
                <w:rFonts w:ascii="仿宋_GB2312" w:hAnsi="Times New Roman" w:eastAsia="仿宋_GB2312"/>
                <w:b/>
                <w:color w:val="auto"/>
                <w:sz w:val="24"/>
                <w:szCs w:val="28"/>
              </w:rPr>
              <w:t>工程</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县级儿童福利院建设</w:t>
            </w:r>
            <w:r>
              <w:rPr>
                <w:rFonts w:ascii="仿宋_GB2312" w:hAnsi="Times New Roman" w:eastAsia="仿宋_GB2312"/>
                <w:b/>
                <w:color w:val="auto"/>
                <w:sz w:val="24"/>
                <w:szCs w:val="28"/>
              </w:rPr>
              <w:t>工程</w:t>
            </w:r>
            <w:r>
              <w:rPr>
                <w:rFonts w:hint="eastAsia" w:ascii="仿宋_GB2312" w:hAnsi="Times New Roman" w:eastAsia="仿宋_GB2312"/>
                <w:color w:val="auto"/>
                <w:sz w:val="24"/>
                <w:szCs w:val="28"/>
              </w:rPr>
              <w:t>。建设床位150张，床均面积控制在42平方米以内，建设规模6450平方米以内，占地面积10亩以内，估算总投资975万元。</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县级未成年人保护中心建设</w:t>
            </w:r>
            <w:r>
              <w:rPr>
                <w:rFonts w:ascii="仿宋_GB2312" w:hAnsi="Times New Roman" w:eastAsia="仿宋_GB2312"/>
                <w:b/>
                <w:color w:val="auto"/>
                <w:sz w:val="24"/>
                <w:szCs w:val="28"/>
              </w:rPr>
              <w:t>工程</w:t>
            </w:r>
            <w:r>
              <w:rPr>
                <w:rFonts w:hint="eastAsia" w:ascii="仿宋_GB2312" w:hAnsi="Times New Roman" w:eastAsia="仿宋_GB2312"/>
                <w:color w:val="auto"/>
                <w:sz w:val="24"/>
                <w:szCs w:val="28"/>
              </w:rPr>
              <w:t>。</w:t>
            </w:r>
            <w:r>
              <w:rPr>
                <w:rFonts w:hint="eastAsia" w:ascii="仿宋_GB2312" w:hAnsi="Times New Roman" w:eastAsia="仿宋_GB2312"/>
                <w:color w:val="auto"/>
                <w:spacing w:val="-4"/>
                <w:sz w:val="24"/>
                <w:szCs w:val="28"/>
              </w:rPr>
              <w:t>建设床位100张，床均面积控制在35平方米以内，建设规模3500平方米以内，占地面积5亩以内，估算总投资650万元。</w:t>
            </w:r>
          </w:p>
          <w:p>
            <w:pPr>
              <w:adjustRightInd w:val="0"/>
              <w:snapToGrid w:val="0"/>
              <w:ind w:firstLine="482"/>
              <w:rPr>
                <w:rFonts w:ascii="仿宋_GB2312" w:hAnsi="Times New Roman" w:eastAsia="仿宋_GB2312"/>
                <w:b/>
                <w:color w:val="auto"/>
                <w:sz w:val="24"/>
                <w:szCs w:val="28"/>
              </w:rPr>
            </w:pPr>
            <w:r>
              <w:rPr>
                <w:rFonts w:hint="eastAsia" w:ascii="仿宋_GB2312" w:hAnsi="Times New Roman" w:eastAsia="仿宋_GB2312"/>
                <w:b/>
                <w:color w:val="auto"/>
                <w:sz w:val="24"/>
                <w:szCs w:val="28"/>
              </w:rPr>
              <w:t>2.青年</w:t>
            </w:r>
            <w:r>
              <w:rPr>
                <w:rFonts w:ascii="仿宋_GB2312" w:hAnsi="Times New Roman" w:eastAsia="仿宋_GB2312"/>
                <w:b/>
                <w:color w:val="auto"/>
                <w:sz w:val="24"/>
                <w:szCs w:val="28"/>
              </w:rPr>
              <w:t>全面发展促进工程</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强化青年思想引领</w:t>
            </w:r>
            <w:r>
              <w:rPr>
                <w:rFonts w:hint="eastAsia" w:ascii="仿宋_GB2312" w:eastAsia="仿宋_GB2312"/>
                <w:bCs/>
                <w:color w:val="auto"/>
                <w:sz w:val="24"/>
                <w:szCs w:val="28"/>
              </w:rPr>
              <w:t>。加强理想信念教育，开展“扣好人生第一粒扣子”“爱国主义教育读书演讲”“我们的节日”等系列主题活动，引导树立社会主义核心价值观，引导青年认真学习党史、新中国史、改革开放史、社会主义发展史。</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提升青年健康水平</w:t>
            </w:r>
            <w:r>
              <w:rPr>
                <w:rFonts w:hint="eastAsia" w:ascii="仿宋_GB2312" w:eastAsia="仿宋_GB2312"/>
                <w:bCs/>
                <w:color w:val="auto"/>
                <w:sz w:val="24"/>
                <w:szCs w:val="28"/>
              </w:rPr>
              <w:t>。改善活动场地设施，组织广泛参与体育活动。对辖区内残疾青年进行康复采集，深入开展残疾青年家庭医生签约服务；将符合条件的残疾青年纳入两项补贴范围。突出抓好“爱眼日、爱牙日、世界无烟日、中国学生营养日、国际禁毒日”等宣传工作，做好青年伤害预防。</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加强青年婚恋引导</w:t>
            </w:r>
            <w:r>
              <w:rPr>
                <w:rFonts w:hint="eastAsia" w:ascii="仿宋_GB2312" w:eastAsia="仿宋_GB2312"/>
                <w:bCs/>
                <w:color w:val="auto"/>
                <w:sz w:val="24"/>
                <w:szCs w:val="28"/>
              </w:rPr>
              <w:t>。引导开展“我们的节日·七夕”为主题的相亲会、联谊会、经典诵读等活动，弘扬“七夕”传统文化，倡树文明新风，引导青年正确的婚恋观；鼓励创作一批优秀的文艺作品，弘扬正确的婚恋观、家庭观。</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推动青年就业创业支持</w:t>
            </w:r>
            <w:r>
              <w:rPr>
                <w:rFonts w:hint="eastAsia" w:ascii="仿宋_GB2312" w:eastAsia="仿宋_GB2312"/>
                <w:bCs/>
                <w:color w:val="auto"/>
                <w:sz w:val="24"/>
                <w:szCs w:val="28"/>
              </w:rPr>
              <w:t>。强化就业创业服务，针对建档立卡贫困青年开展专项培训；促进高校毕业生就业创业，引导毕业生到中小微企业或社会组织就业，实施青年就业见习计划，积极推动用人单位按比例安排残疾人就业；开展“农村青年致富带头人”评选，为乡村振兴提供人才支持。</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提升青年社会融入</w:t>
            </w:r>
            <w:r>
              <w:rPr>
                <w:rFonts w:hint="eastAsia" w:ascii="仿宋_GB2312" w:eastAsia="仿宋_GB2312"/>
                <w:bCs/>
                <w:color w:val="auto"/>
                <w:sz w:val="24"/>
                <w:szCs w:val="28"/>
              </w:rPr>
              <w:t>。关注快递小哥、网络主播、非遗传承人等新兴领域青年，开展系列活动；推动青年志愿者行动和信用体系建设，提升青年志愿者注册人数和专业化活动水平；积极推动优秀青年代表参与人民陪审员、人民调解员工作。</w:t>
            </w:r>
          </w:p>
          <w:p>
            <w:pPr>
              <w:adjustRightInd w:val="0"/>
              <w:snapToGrid w:val="0"/>
              <w:ind w:firstLine="482"/>
              <w:rPr>
                <w:rFonts w:ascii="仿宋_GB2312" w:eastAsia="仿宋_GB2312"/>
                <w:bCs/>
                <w:color w:val="auto"/>
                <w:sz w:val="24"/>
                <w:szCs w:val="28"/>
              </w:rPr>
            </w:pPr>
            <w:r>
              <w:rPr>
                <w:rFonts w:hint="eastAsia" w:ascii="仿宋_GB2312" w:eastAsia="仿宋_GB2312"/>
                <w:b/>
                <w:bCs/>
                <w:color w:val="auto"/>
                <w:sz w:val="24"/>
                <w:szCs w:val="28"/>
              </w:rPr>
              <w:t>加强青年社会保障</w:t>
            </w:r>
            <w:r>
              <w:rPr>
                <w:rFonts w:hint="eastAsia" w:ascii="仿宋_GB2312" w:eastAsia="仿宋_GB2312"/>
                <w:bCs/>
                <w:color w:val="auto"/>
                <w:sz w:val="24"/>
                <w:szCs w:val="28"/>
              </w:rPr>
              <w:t>。加强12385热线宣传，免费为残疾青年提供法律援助；推进“法治进校园”活动，深化“青春守护点对点”关爱农村留守儿童行动，将符合条件的特殊青少年困难群体纳入救助范围，做到“应保尽保、应救尽救”。</w:t>
            </w:r>
          </w:p>
        </w:tc>
      </w:tr>
    </w:tbl>
    <w:p>
      <w:pPr>
        <w:pStyle w:val="4"/>
        <w:numPr>
          <w:ilvl w:val="0"/>
          <w:numId w:val="0"/>
        </w:numPr>
        <w:ind w:left="643"/>
        <w:rPr>
          <w:color w:val="auto"/>
        </w:rPr>
      </w:pPr>
      <w:r>
        <w:rPr>
          <w:rFonts w:hint="eastAsia"/>
          <w:color w:val="auto"/>
        </w:rPr>
        <w:t>三</w:t>
      </w:r>
      <w:r>
        <w:rPr>
          <w:color w:val="auto"/>
        </w:rPr>
        <w:t>、</w:t>
      </w:r>
      <w:r>
        <w:rPr>
          <w:rFonts w:hint="eastAsia"/>
          <w:color w:val="auto"/>
        </w:rPr>
        <w:t>扎实</w:t>
      </w:r>
      <w:r>
        <w:rPr>
          <w:color w:val="auto"/>
        </w:rPr>
        <w:t>开展</w:t>
      </w:r>
      <w:r>
        <w:rPr>
          <w:rFonts w:hint="eastAsia"/>
          <w:color w:val="auto"/>
        </w:rPr>
        <w:t>人才系统创新工作</w:t>
      </w:r>
    </w:p>
    <w:p>
      <w:pPr>
        <w:ind w:firstLine="562"/>
        <w:rPr>
          <w:color w:val="auto"/>
        </w:rPr>
      </w:pPr>
      <w:r>
        <w:rPr>
          <w:rFonts w:hint="eastAsia"/>
          <w:b/>
          <w:color w:val="auto"/>
        </w:rPr>
        <w:t>创新实施人口发展规划</w:t>
      </w:r>
      <w:r>
        <w:rPr>
          <w:rFonts w:hint="eastAsia"/>
          <w:color w:val="auto"/>
        </w:rPr>
        <w:t>。深化人才发展体制机制改革，实行更加开放的人才政策，构筑吸引集聚优秀人才的创新发展高地，健全创新激励和保障机制，加强创新型、应用型、技能型人才培养，造就一批科技领军人才和创新团队，培养具有竞争力的青年人才后备军；完善落实青年英才集聚行动，加大“高精尖缺”人才引进力度，探索推广挂职、兼职、远程咨询以及“周末经理人”“周末工程师”等柔性引才模式。大力加强与科研院所、高等院校合作，规划在城西法华村和阜东新区建设科研院所分支机构和服务基地，布置科技大厦、成果转化中心等设施，促进教育、科研向产学研一体化、社会化方向发展。</w:t>
      </w:r>
    </w:p>
    <w:p>
      <w:pPr>
        <w:ind w:firstLine="562"/>
        <w:rPr>
          <w:color w:val="auto"/>
        </w:rPr>
      </w:pPr>
      <w:r>
        <w:rPr>
          <w:rFonts w:hint="eastAsia"/>
          <w:b/>
          <w:color w:val="auto"/>
        </w:rPr>
        <w:t>提升壮大</w:t>
      </w:r>
      <w:r>
        <w:rPr>
          <w:b/>
          <w:color w:val="auto"/>
        </w:rPr>
        <w:t>人才队伍</w:t>
      </w:r>
      <w:r>
        <w:rPr>
          <w:rFonts w:hint="eastAsia"/>
          <w:b/>
          <w:color w:val="auto"/>
        </w:rPr>
        <w:t>支撑能力</w:t>
      </w:r>
      <w:r>
        <w:rPr>
          <w:color w:val="auto"/>
        </w:rPr>
        <w:t>。</w:t>
      </w:r>
      <w:r>
        <w:rPr>
          <w:rFonts w:hint="eastAsia"/>
          <w:color w:val="auto"/>
        </w:rPr>
        <w:t>加强专业技术人才队伍建设，加大对中青年优秀人才的选拔力度，探索建立人才研修等人才培养制度；建立基层专业技术人才职业发展通道，建设一批扎根基层的高素质专业技术人才队伍；重点引进制造</w:t>
      </w:r>
      <w:r>
        <w:rPr>
          <w:color w:val="auto"/>
        </w:rPr>
        <w:t>、</w:t>
      </w:r>
      <w:r>
        <w:rPr>
          <w:rFonts w:hint="eastAsia"/>
          <w:color w:val="auto"/>
        </w:rPr>
        <w:t>教育、卫生、交通</w:t>
      </w:r>
      <w:r>
        <w:rPr>
          <w:color w:val="auto"/>
        </w:rPr>
        <w:t>、</w:t>
      </w:r>
      <w:r>
        <w:rPr>
          <w:rFonts w:hint="eastAsia"/>
          <w:color w:val="auto"/>
        </w:rPr>
        <w:t>城镇建设、电商物流等各类人才；积极争取“三支一扶”人才、大学生村官深入阜平。加强技能人才队伍建设，围绕主导产业，适时引进京津人才并促其成果及时转化；针对农村传统产业提升人才、家庭手工业技能人才、两种两养人才予以政策支持，结合省科技厅科技英才“双百双千”推进工程，引进多名高技能科技特派员创办领办科技型企业、专业合作社等新型农业经营组织。</w:t>
      </w:r>
    </w:p>
    <w:p>
      <w:pPr>
        <w:ind w:firstLine="560"/>
        <w:rPr>
          <w:rFonts w:cs="仿宋_GB2312"/>
          <w:color w:val="auto"/>
          <w:kern w:val="0"/>
          <w:szCs w:val="30"/>
        </w:rPr>
      </w:pPr>
    </w:p>
    <w:p>
      <w:pPr>
        <w:ind w:firstLine="560"/>
        <w:rPr>
          <w:rFonts w:cs="仿宋_GB2312"/>
          <w:color w:val="auto"/>
          <w:kern w:val="0"/>
          <w:szCs w:val="30"/>
        </w:rPr>
      </w:pPr>
    </w:p>
    <w:p>
      <w:pPr>
        <w:pStyle w:val="2"/>
        <w:spacing w:line="240" w:lineRule="auto"/>
        <w:jc w:val="center"/>
        <w:rPr>
          <w:color w:val="auto"/>
        </w:rPr>
      </w:pPr>
      <w:bookmarkStart w:id="33" w:name="_Toc62244286"/>
      <w:r>
        <w:rPr>
          <w:rFonts w:hint="eastAsia"/>
          <w:color w:val="auto"/>
        </w:rPr>
        <w:t>第八章  全面深化重点</w:t>
      </w:r>
      <w:r>
        <w:rPr>
          <w:color w:val="auto"/>
        </w:rPr>
        <w:t>领域改革，</w:t>
      </w:r>
      <w:r>
        <w:rPr>
          <w:rFonts w:hint="eastAsia"/>
          <w:color w:val="auto"/>
        </w:rPr>
        <w:t>共建创新</w:t>
      </w:r>
      <w:r>
        <w:rPr>
          <w:color w:val="auto"/>
        </w:rPr>
        <w:t>阜平</w:t>
      </w:r>
      <w:bookmarkEnd w:id="33"/>
    </w:p>
    <w:p>
      <w:pPr>
        <w:ind w:firstLine="560"/>
        <w:rPr>
          <w:color w:val="auto"/>
        </w:rPr>
      </w:pPr>
      <w:r>
        <w:rPr>
          <w:rFonts w:hint="eastAsia"/>
          <w:color w:val="auto"/>
        </w:rPr>
        <w:t>围绕破解影响阜平发展的体制机制性问题，坚持全面发力、多点突破、纵深推进，推动改革走深走实，提高</w:t>
      </w:r>
      <w:r>
        <w:rPr>
          <w:color w:val="auto"/>
        </w:rPr>
        <w:t>开放发展水平</w:t>
      </w:r>
      <w:r>
        <w:rPr>
          <w:rFonts w:hint="eastAsia"/>
          <w:color w:val="auto"/>
        </w:rPr>
        <w:t>。</w:t>
      </w:r>
    </w:p>
    <w:p>
      <w:pPr>
        <w:pStyle w:val="3"/>
        <w:spacing w:before="204"/>
        <w:ind w:firstLine="560" w:firstLineChars="200"/>
        <w:rPr>
          <w:color w:val="auto"/>
          <w:szCs w:val="30"/>
        </w:rPr>
      </w:pPr>
      <w:bookmarkStart w:id="34" w:name="_Toc62244287"/>
      <w:r>
        <w:rPr>
          <w:rFonts w:hint="eastAsia"/>
          <w:color w:val="auto"/>
          <w:szCs w:val="30"/>
        </w:rPr>
        <w:t>第一节  深度</w:t>
      </w:r>
      <w:r>
        <w:rPr>
          <w:color w:val="auto"/>
          <w:szCs w:val="30"/>
        </w:rPr>
        <w:t>融入</w:t>
      </w:r>
      <w:r>
        <w:rPr>
          <w:rFonts w:hint="eastAsia"/>
          <w:color w:val="auto"/>
          <w:szCs w:val="30"/>
        </w:rPr>
        <w:t>区域</w:t>
      </w:r>
      <w:r>
        <w:rPr>
          <w:color w:val="auto"/>
          <w:szCs w:val="30"/>
        </w:rPr>
        <w:t>协同发展</w:t>
      </w:r>
      <w:bookmarkEnd w:id="34"/>
    </w:p>
    <w:p>
      <w:pPr>
        <w:ind w:firstLine="560"/>
        <w:rPr>
          <w:color w:val="auto"/>
        </w:rPr>
      </w:pPr>
      <w:r>
        <w:rPr>
          <w:color w:val="auto"/>
        </w:rPr>
        <w:t>围绕</w:t>
      </w:r>
      <w:r>
        <w:rPr>
          <w:rFonts w:hint="eastAsia"/>
          <w:color w:val="auto"/>
        </w:rPr>
        <w:t>京雄保一体化战略布局，构建</w:t>
      </w:r>
      <w:r>
        <w:rPr>
          <w:color w:val="auto"/>
        </w:rPr>
        <w:t>县域、区域</w:t>
      </w:r>
      <w:r>
        <w:rPr>
          <w:rFonts w:hint="eastAsia"/>
          <w:color w:val="auto"/>
        </w:rPr>
        <w:t>“双循环”发展格局</w:t>
      </w:r>
      <w:r>
        <w:rPr>
          <w:color w:val="auto"/>
        </w:rPr>
        <w:t>，</w:t>
      </w:r>
      <w:r>
        <w:rPr>
          <w:rFonts w:hint="eastAsia"/>
          <w:color w:val="auto"/>
        </w:rPr>
        <w:t>从边缘转向中心，从封闭走向开放，从竞争转向合作，实施“区域联动”，共同打造沿太行山西部绿色崛起带。</w:t>
      </w:r>
    </w:p>
    <w:p>
      <w:pPr>
        <w:pStyle w:val="4"/>
        <w:numPr>
          <w:ilvl w:val="0"/>
          <w:numId w:val="0"/>
        </w:numPr>
        <w:ind w:left="643"/>
        <w:rPr>
          <w:color w:val="auto"/>
        </w:rPr>
      </w:pPr>
      <w:r>
        <w:rPr>
          <w:rFonts w:hint="eastAsia"/>
          <w:color w:val="auto"/>
        </w:rPr>
        <w:t>一</w:t>
      </w:r>
      <w:r>
        <w:rPr>
          <w:color w:val="auto"/>
        </w:rPr>
        <w:t>、</w:t>
      </w:r>
      <w:r>
        <w:rPr>
          <w:rFonts w:hint="eastAsia"/>
          <w:color w:val="auto"/>
        </w:rPr>
        <w:t>积极承接</w:t>
      </w:r>
      <w:r>
        <w:rPr>
          <w:color w:val="auto"/>
        </w:rPr>
        <w:t>京津保产业转移</w:t>
      </w:r>
      <w:r>
        <w:rPr>
          <w:rFonts w:hint="eastAsia"/>
          <w:color w:val="auto"/>
        </w:rPr>
        <w:t>转换</w:t>
      </w:r>
    </w:p>
    <w:p>
      <w:pPr>
        <w:ind w:firstLine="560"/>
        <w:rPr>
          <w:color w:val="auto"/>
        </w:rPr>
      </w:pPr>
      <w:r>
        <w:rPr>
          <w:rFonts w:hint="eastAsia"/>
          <w:color w:val="auto"/>
        </w:rPr>
        <w:t>深度参与京津保率先联动发展局面，</w:t>
      </w:r>
      <w:r>
        <w:rPr>
          <w:color w:val="auto"/>
        </w:rPr>
        <w:t>主动融入</w:t>
      </w:r>
      <w:r>
        <w:rPr>
          <w:rFonts w:hint="eastAsia"/>
          <w:color w:val="auto"/>
        </w:rPr>
        <w:t>区域创新共同体。聚焦</w:t>
      </w:r>
      <w:r>
        <w:rPr>
          <w:color w:val="auto"/>
        </w:rPr>
        <w:t>功能疏解，加快</w:t>
      </w:r>
      <w:r>
        <w:rPr>
          <w:rFonts w:hint="eastAsia"/>
          <w:color w:val="auto"/>
        </w:rPr>
        <w:t>落实“京保</w:t>
      </w:r>
      <w:r>
        <w:rPr>
          <w:color w:val="auto"/>
        </w:rPr>
        <w:t>协作</w:t>
      </w:r>
      <w:r>
        <w:rPr>
          <w:rFonts w:hint="eastAsia"/>
          <w:color w:val="auto"/>
        </w:rPr>
        <w:t>五个一”行动，围绕节能环保、医药健康、现代农业、现代物流、食品加工、新材料及相关生产性服务业等，着力引进一批补齐发展短板、带动行业发展、引领产业升级的大项目、好项目。继续提升阜平经济开发区的项目承载能力，高起点、</w:t>
      </w:r>
      <w:r>
        <w:rPr>
          <w:color w:val="auto"/>
        </w:rPr>
        <w:t>高标准</w:t>
      </w:r>
      <w:r>
        <w:rPr>
          <w:rFonts w:hint="eastAsia"/>
          <w:color w:val="auto"/>
        </w:rPr>
        <w:t>打造</w:t>
      </w:r>
      <w:r>
        <w:rPr>
          <w:color w:val="auto"/>
        </w:rPr>
        <w:t>创新载体和服务平台，</w:t>
      </w:r>
      <w:r>
        <w:rPr>
          <w:rFonts w:hint="eastAsia"/>
          <w:color w:val="auto"/>
        </w:rPr>
        <w:t>做好梯次产业承接和配套发展，提高重点产业核心竞争力，打造承接绿色产业转移转换的新高地。</w:t>
      </w:r>
    </w:p>
    <w:p>
      <w:pPr>
        <w:pStyle w:val="4"/>
        <w:numPr>
          <w:ilvl w:val="0"/>
          <w:numId w:val="0"/>
        </w:numPr>
        <w:ind w:left="643"/>
        <w:rPr>
          <w:color w:val="auto"/>
        </w:rPr>
      </w:pPr>
      <w:r>
        <w:rPr>
          <w:rFonts w:hint="eastAsia"/>
          <w:color w:val="auto"/>
        </w:rPr>
        <w:t>二</w:t>
      </w:r>
      <w:r>
        <w:rPr>
          <w:color w:val="auto"/>
        </w:rPr>
        <w:t>、</w:t>
      </w:r>
      <w:r>
        <w:rPr>
          <w:rFonts w:hint="eastAsia"/>
          <w:color w:val="auto"/>
        </w:rPr>
        <w:t>吸引</w:t>
      </w:r>
      <w:r>
        <w:rPr>
          <w:color w:val="auto"/>
        </w:rPr>
        <w:t>优质</w:t>
      </w:r>
      <w:r>
        <w:rPr>
          <w:rFonts w:hint="eastAsia"/>
          <w:color w:val="auto"/>
        </w:rPr>
        <w:t>资源打造服务</w:t>
      </w:r>
      <w:r>
        <w:rPr>
          <w:color w:val="auto"/>
        </w:rPr>
        <w:t>中心</w:t>
      </w:r>
    </w:p>
    <w:p>
      <w:pPr>
        <w:ind w:firstLine="560"/>
        <w:rPr>
          <w:b/>
          <w:color w:val="auto"/>
        </w:rPr>
      </w:pPr>
      <w:r>
        <w:rPr>
          <w:rFonts w:hint="eastAsia"/>
          <w:color w:val="auto"/>
        </w:rPr>
        <w:t>围绕“康养旅居、产学研用”融合发展，不断深化与京津保在公共服务领域的合作，争取</w:t>
      </w:r>
      <w:r>
        <w:rPr>
          <w:color w:val="auto"/>
        </w:rPr>
        <w:t>承接、吸引</w:t>
      </w:r>
      <w:r>
        <w:rPr>
          <w:rFonts w:hint="eastAsia"/>
          <w:color w:val="auto"/>
        </w:rPr>
        <w:t>更多的优质教育、医疗与文化资源，创新托管、共建、合建等合作方式；支持社会资本共同参与，共同发展远程教育、远程医疗、文创</w:t>
      </w:r>
      <w:r>
        <w:rPr>
          <w:color w:val="auto"/>
        </w:rPr>
        <w:t>服务</w:t>
      </w:r>
      <w:r>
        <w:rPr>
          <w:rFonts w:hint="eastAsia"/>
          <w:color w:val="auto"/>
        </w:rPr>
        <w:t>。聚焦</w:t>
      </w:r>
      <w:r>
        <w:rPr>
          <w:color w:val="auto"/>
        </w:rPr>
        <w:t>服务保障，</w:t>
      </w:r>
      <w:r>
        <w:rPr>
          <w:rFonts w:hint="eastAsia"/>
          <w:color w:val="auto"/>
        </w:rPr>
        <w:t>推动区域协作，实施“高效供给”服务行动计划，打造形成覆盖4省6市34县的区域性高技能、高技术人才培养和输送基地，积极对接</w:t>
      </w:r>
      <w:r>
        <w:rPr>
          <w:color w:val="auto"/>
        </w:rPr>
        <w:t>区域生命健康产业关键节点，</w:t>
      </w:r>
      <w:r>
        <w:rPr>
          <w:rFonts w:hint="eastAsia"/>
          <w:color w:val="auto"/>
        </w:rPr>
        <w:t>加快建设京津冀康养服务新高地，不断提升服务水平和供给能力，打造区域性人才培养中心和高品质公共服务中心。</w:t>
      </w:r>
    </w:p>
    <w:p>
      <w:pPr>
        <w:pStyle w:val="4"/>
        <w:numPr>
          <w:ilvl w:val="0"/>
          <w:numId w:val="0"/>
        </w:numPr>
        <w:ind w:left="643"/>
        <w:rPr>
          <w:color w:val="auto"/>
        </w:rPr>
      </w:pPr>
      <w:r>
        <w:rPr>
          <w:rFonts w:hint="eastAsia"/>
          <w:color w:val="auto"/>
        </w:rPr>
        <w:t>三</w:t>
      </w:r>
      <w:r>
        <w:rPr>
          <w:color w:val="auto"/>
        </w:rPr>
        <w:t>、</w:t>
      </w:r>
      <w:r>
        <w:rPr>
          <w:rFonts w:hint="eastAsia"/>
          <w:color w:val="auto"/>
        </w:rPr>
        <w:t>探索创新</w:t>
      </w:r>
      <w:r>
        <w:rPr>
          <w:color w:val="auto"/>
        </w:rPr>
        <w:t>开放</w:t>
      </w:r>
      <w:r>
        <w:rPr>
          <w:rFonts w:hint="eastAsia"/>
          <w:color w:val="auto"/>
        </w:rPr>
        <w:t>发展</w:t>
      </w:r>
      <w:r>
        <w:rPr>
          <w:color w:val="auto"/>
        </w:rPr>
        <w:t>体制机制</w:t>
      </w:r>
    </w:p>
    <w:p>
      <w:pPr>
        <w:ind w:firstLine="562"/>
        <w:rPr>
          <w:color w:val="auto"/>
        </w:rPr>
      </w:pPr>
      <w:r>
        <w:rPr>
          <w:rFonts w:hint="eastAsia"/>
          <w:b/>
          <w:color w:val="auto"/>
        </w:rPr>
        <w:t>构建</w:t>
      </w:r>
      <w:r>
        <w:rPr>
          <w:b/>
          <w:color w:val="auto"/>
        </w:rPr>
        <w:t>协同发展合作战略平台</w:t>
      </w:r>
      <w:r>
        <w:rPr>
          <w:rFonts w:hint="eastAsia"/>
          <w:color w:val="auto"/>
        </w:rPr>
        <w:t>。坚持内外联动，构筑燕太片区开放发展经济高地。推动</w:t>
      </w:r>
      <w:r>
        <w:rPr>
          <w:color w:val="auto"/>
        </w:rPr>
        <w:t>建立资源共享机制、产业协作机制、市场共建机制等</w:t>
      </w:r>
      <w:r>
        <w:rPr>
          <w:rFonts w:hint="eastAsia"/>
          <w:color w:val="auto"/>
        </w:rPr>
        <w:t>；积极</w:t>
      </w:r>
      <w:r>
        <w:rPr>
          <w:color w:val="auto"/>
        </w:rPr>
        <w:t>探索</w:t>
      </w:r>
      <w:r>
        <w:rPr>
          <w:rFonts w:hint="eastAsia"/>
          <w:color w:val="auto"/>
        </w:rPr>
        <w:t>创新</w:t>
      </w:r>
      <w:r>
        <w:rPr>
          <w:color w:val="auto"/>
        </w:rPr>
        <w:t>跨区域合作模式，</w:t>
      </w:r>
      <w:r>
        <w:rPr>
          <w:rFonts w:hint="eastAsia"/>
          <w:color w:val="auto"/>
        </w:rPr>
        <w:t>通过共搭平台、共建园区、共建基地、共促转化等</w:t>
      </w:r>
      <w:r>
        <w:rPr>
          <w:color w:val="auto"/>
        </w:rPr>
        <w:t>形式，</w:t>
      </w:r>
      <w:r>
        <w:rPr>
          <w:rFonts w:hint="eastAsia"/>
          <w:color w:val="auto"/>
        </w:rPr>
        <w:t>探索</w:t>
      </w:r>
      <w:r>
        <w:rPr>
          <w:color w:val="auto"/>
        </w:rPr>
        <w:t>实践</w:t>
      </w:r>
      <w:r>
        <w:rPr>
          <w:rFonts w:hint="eastAsia"/>
          <w:color w:val="auto"/>
        </w:rPr>
        <w:t>整体托管、异地监管、产学研合作、全产业链合作等</w:t>
      </w:r>
      <w:r>
        <w:rPr>
          <w:color w:val="auto"/>
        </w:rPr>
        <w:t>不同类型的</w:t>
      </w:r>
      <w:r>
        <w:rPr>
          <w:rFonts w:hint="eastAsia"/>
          <w:color w:val="auto"/>
        </w:rPr>
        <w:t>“飞地”经济</w:t>
      </w:r>
      <w:r>
        <w:rPr>
          <w:color w:val="auto"/>
        </w:rPr>
        <w:t>发展</w:t>
      </w:r>
      <w:r>
        <w:rPr>
          <w:rFonts w:hint="eastAsia"/>
          <w:color w:val="auto"/>
        </w:rPr>
        <w:t>模式。</w:t>
      </w:r>
    </w:p>
    <w:p>
      <w:pPr>
        <w:ind w:firstLine="562"/>
        <w:rPr>
          <w:color w:val="auto"/>
        </w:rPr>
      </w:pPr>
      <w:r>
        <w:rPr>
          <w:rFonts w:hint="eastAsia"/>
          <w:b/>
          <w:color w:val="auto"/>
        </w:rPr>
        <w:t>强化提升省际</w:t>
      </w:r>
      <w:r>
        <w:rPr>
          <w:b/>
          <w:color w:val="auto"/>
        </w:rPr>
        <w:t>区域合作</w:t>
      </w:r>
      <w:r>
        <w:rPr>
          <w:rFonts w:hint="eastAsia"/>
          <w:b/>
          <w:color w:val="auto"/>
        </w:rPr>
        <w:t>引导</w:t>
      </w:r>
      <w:r>
        <w:rPr>
          <w:b/>
          <w:color w:val="auto"/>
        </w:rPr>
        <w:t>地位</w:t>
      </w:r>
      <w:r>
        <w:rPr>
          <w:rFonts w:hint="eastAsia"/>
          <w:color w:val="auto"/>
        </w:rPr>
        <w:t>。探索创新枢纽型城市发展模式，加快打造京津冀晋四省（市）联动的重要节点。推动东向对接雄安新区、京津冀市场区域，西向协同带动周边区县的全面深化合作，实现传导“供”“需”，错位发展，融入国家发展战略大局。以深入打造扶贫</w:t>
      </w:r>
      <w:r>
        <w:rPr>
          <w:color w:val="auto"/>
        </w:rPr>
        <w:t>展示</w:t>
      </w:r>
      <w:r>
        <w:rPr>
          <w:rFonts w:hint="eastAsia"/>
          <w:color w:val="auto"/>
        </w:rPr>
        <w:t>交流</w:t>
      </w:r>
      <w:r>
        <w:rPr>
          <w:color w:val="auto"/>
        </w:rPr>
        <w:t>基地为</w:t>
      </w:r>
      <w:r>
        <w:rPr>
          <w:rFonts w:hint="eastAsia"/>
          <w:color w:val="auto"/>
        </w:rPr>
        <w:t>契机</w:t>
      </w:r>
      <w:r>
        <w:rPr>
          <w:color w:val="auto"/>
        </w:rPr>
        <w:t>，</w:t>
      </w:r>
      <w:r>
        <w:rPr>
          <w:rFonts w:hint="eastAsia"/>
          <w:color w:val="auto"/>
        </w:rPr>
        <w:t>提升阜平县在晋冀交界</w:t>
      </w:r>
      <w:r>
        <w:rPr>
          <w:color w:val="auto"/>
        </w:rPr>
        <w:t>区域</w:t>
      </w:r>
      <w:r>
        <w:rPr>
          <w:rFonts w:hint="eastAsia"/>
          <w:color w:val="auto"/>
        </w:rPr>
        <w:t>的影响力和</w:t>
      </w:r>
      <w:r>
        <w:rPr>
          <w:color w:val="auto"/>
        </w:rPr>
        <w:t>带动力</w:t>
      </w:r>
      <w:r>
        <w:rPr>
          <w:rFonts w:hint="eastAsia"/>
          <w:color w:val="auto"/>
        </w:rPr>
        <w:t>，大力延伸“西拓”战略</w:t>
      </w:r>
      <w:r>
        <w:rPr>
          <w:color w:val="auto"/>
        </w:rPr>
        <w:t>，</w:t>
      </w:r>
      <w:r>
        <w:rPr>
          <w:rFonts w:hint="eastAsia"/>
          <w:color w:val="auto"/>
        </w:rPr>
        <w:t>打开保定西大门，</w:t>
      </w:r>
      <w:r>
        <w:rPr>
          <w:color w:val="auto"/>
        </w:rPr>
        <w:t>推动</w:t>
      </w:r>
      <w:r>
        <w:rPr>
          <w:rFonts w:hint="eastAsia"/>
          <w:color w:val="auto"/>
        </w:rPr>
        <w:t>建立边缘地区经济合作区、沿太行山西部绿色崛起带试验示范区等</w:t>
      </w:r>
      <w:r>
        <w:rPr>
          <w:color w:val="auto"/>
        </w:rPr>
        <w:t>试点工作</w:t>
      </w:r>
      <w:r>
        <w:rPr>
          <w:rFonts w:hint="eastAsia"/>
          <w:color w:val="auto"/>
        </w:rPr>
        <w:t>，用好用活各项政策，切实加强对扶贫交流示范</w:t>
      </w:r>
      <w:r>
        <w:rPr>
          <w:color w:val="auto"/>
        </w:rPr>
        <w:t>、</w:t>
      </w:r>
      <w:r>
        <w:rPr>
          <w:rFonts w:hint="eastAsia"/>
          <w:color w:val="auto"/>
        </w:rPr>
        <w:t>产业配套发展、服务互补建设、人才共同引进、项目协作实施、用地指标增补落实等环节的统筹协调，联手打造跨区域经济合作区、产业带、上下游生态链。</w:t>
      </w:r>
    </w:p>
    <w:p>
      <w:pPr>
        <w:ind w:firstLine="562"/>
        <w:rPr>
          <w:color w:val="auto"/>
        </w:rPr>
      </w:pPr>
      <w:r>
        <w:rPr>
          <w:rFonts w:hint="eastAsia"/>
          <w:b/>
          <w:color w:val="auto"/>
        </w:rPr>
        <w:t>加强组织领导形成有效</w:t>
      </w:r>
      <w:r>
        <w:rPr>
          <w:b/>
          <w:color w:val="auto"/>
        </w:rPr>
        <w:t>协调</w:t>
      </w:r>
      <w:r>
        <w:rPr>
          <w:rFonts w:hint="eastAsia"/>
          <w:b/>
          <w:color w:val="auto"/>
        </w:rPr>
        <w:t>机制</w:t>
      </w:r>
      <w:r>
        <w:rPr>
          <w:rFonts w:hint="eastAsia"/>
          <w:color w:val="auto"/>
        </w:rPr>
        <w:t>。设立阜平县建设保定市西部中心城市工作领导小组，统筹协调规划布局、考核评价等重大事项；推动形成区域决策层、协调层和执行层“三级运转”区域协同发展机制，鼓励发展以协会、商会、联合会等组织牵头的社会协调机制，创建保定西部区域县际合作办公室执行机制。</w:t>
      </w:r>
    </w:p>
    <w:p>
      <w:pPr>
        <w:pStyle w:val="3"/>
        <w:spacing w:before="204"/>
        <w:ind w:firstLine="560" w:firstLineChars="200"/>
        <w:rPr>
          <w:color w:val="auto"/>
          <w:szCs w:val="30"/>
        </w:rPr>
      </w:pPr>
      <w:bookmarkStart w:id="35" w:name="_Toc62244288"/>
      <w:r>
        <w:rPr>
          <w:rFonts w:hint="eastAsia"/>
          <w:color w:val="auto"/>
          <w:szCs w:val="30"/>
        </w:rPr>
        <w:t>第二节  加快</w:t>
      </w:r>
      <w:r>
        <w:rPr>
          <w:color w:val="auto"/>
          <w:szCs w:val="30"/>
        </w:rPr>
        <w:t>关键领域深化改革</w:t>
      </w:r>
      <w:bookmarkEnd w:id="35"/>
    </w:p>
    <w:p>
      <w:pPr>
        <w:pStyle w:val="4"/>
        <w:numPr>
          <w:ilvl w:val="0"/>
          <w:numId w:val="0"/>
        </w:numPr>
        <w:ind w:left="643"/>
        <w:rPr>
          <w:color w:val="auto"/>
        </w:rPr>
      </w:pPr>
      <w:r>
        <w:rPr>
          <w:rFonts w:hint="eastAsia"/>
          <w:color w:val="auto"/>
        </w:rPr>
        <w:t>一</w:t>
      </w:r>
      <w:r>
        <w:rPr>
          <w:color w:val="auto"/>
        </w:rPr>
        <w:t>、</w:t>
      </w:r>
      <w:r>
        <w:rPr>
          <w:rFonts w:hint="eastAsia"/>
          <w:color w:val="auto"/>
        </w:rPr>
        <w:t>打造优化一流营商环境</w:t>
      </w:r>
    </w:p>
    <w:p>
      <w:pPr>
        <w:ind w:firstLine="562"/>
        <w:rPr>
          <w:color w:val="auto"/>
        </w:rPr>
      </w:pPr>
      <w:r>
        <w:rPr>
          <w:rFonts w:hint="eastAsia"/>
          <w:b/>
          <w:color w:val="auto"/>
        </w:rPr>
        <w:t>创新模式加大服务力度</w:t>
      </w:r>
      <w:r>
        <w:rPr>
          <w:rFonts w:hint="eastAsia"/>
          <w:color w:val="auto"/>
        </w:rPr>
        <w:t>。对标</w:t>
      </w:r>
      <w:r>
        <w:rPr>
          <w:color w:val="auto"/>
        </w:rPr>
        <w:t>先进经验，推动优化改革。</w:t>
      </w:r>
      <w:r>
        <w:rPr>
          <w:rFonts w:hint="eastAsia"/>
          <w:color w:val="auto"/>
        </w:rPr>
        <w:t>持续推动《双向承诺制》、《入驻工业企业税费暂行办法》、《关于规范行政执法优化开发区发展环境的管理办法》等实施。持续开展营商环境“后进生”评选，推行“承诺制”“代办制”“领办制”，落实“一站式”服务，深化重点项目领导分包责任制，坚持从项目接触洽谈到落地达产“保姆式”服务。深化</w:t>
      </w:r>
      <w:r>
        <w:rPr>
          <w:color w:val="auto"/>
        </w:rPr>
        <w:t>工程项目审批制度改革，全面</w:t>
      </w:r>
      <w:r>
        <w:rPr>
          <w:rFonts w:hint="eastAsia"/>
          <w:color w:val="auto"/>
        </w:rPr>
        <w:t>实施“拿地即开工”模式</w:t>
      </w:r>
      <w:r>
        <w:rPr>
          <w:color w:val="auto"/>
        </w:rPr>
        <w:t>，</w:t>
      </w:r>
      <w:r>
        <w:rPr>
          <w:rFonts w:hint="eastAsia"/>
          <w:color w:val="auto"/>
        </w:rPr>
        <w:t>压缩审批时限，落实县政府《关于强化服务促进项目落地的意见》精神，推行项目手续办理一次性告知制度，项目手续压缩到25个工作日内，提高项目办理时效。</w:t>
      </w:r>
    </w:p>
    <w:p>
      <w:pPr>
        <w:ind w:firstLine="562"/>
        <w:rPr>
          <w:color w:val="auto"/>
        </w:rPr>
      </w:pPr>
      <w:r>
        <w:rPr>
          <w:rFonts w:hint="eastAsia"/>
          <w:b/>
          <w:color w:val="auto"/>
        </w:rPr>
        <w:t>创新发展模式，优化营商环境</w:t>
      </w:r>
      <w:r>
        <w:rPr>
          <w:rFonts w:hint="eastAsia"/>
          <w:color w:val="auto"/>
        </w:rPr>
        <w:t>。围绕</w:t>
      </w:r>
      <w:r>
        <w:rPr>
          <w:color w:val="auto"/>
        </w:rPr>
        <w:t>先进装备智能制造、装配式建筑建材、农副产品深加工、旅游</w:t>
      </w:r>
      <w:r>
        <w:rPr>
          <w:rFonts w:hint="eastAsia"/>
          <w:color w:val="auto"/>
        </w:rPr>
        <w:t>康养</w:t>
      </w:r>
      <w:r>
        <w:rPr>
          <w:color w:val="auto"/>
        </w:rPr>
        <w:t>、文化创意等重点方向，</w:t>
      </w:r>
      <w:r>
        <w:rPr>
          <w:rFonts w:hint="eastAsia"/>
          <w:color w:val="auto"/>
        </w:rPr>
        <w:t>创新招商</w:t>
      </w:r>
      <w:r>
        <w:rPr>
          <w:color w:val="auto"/>
        </w:rPr>
        <w:t>模式，</w:t>
      </w:r>
      <w:r>
        <w:rPr>
          <w:rFonts w:hint="eastAsia"/>
          <w:color w:val="auto"/>
        </w:rPr>
        <w:t>拓展</w:t>
      </w:r>
      <w:r>
        <w:rPr>
          <w:color w:val="auto"/>
        </w:rPr>
        <w:t>招商形式，</w:t>
      </w:r>
      <w:r>
        <w:rPr>
          <w:rFonts w:hint="eastAsia"/>
          <w:color w:val="auto"/>
        </w:rPr>
        <w:t>优化</w:t>
      </w:r>
      <w:r>
        <w:rPr>
          <w:color w:val="auto"/>
        </w:rPr>
        <w:t>激励机制，</w:t>
      </w:r>
      <w:r>
        <w:rPr>
          <w:rFonts w:hint="eastAsia"/>
          <w:color w:val="auto"/>
        </w:rPr>
        <w:t>重点开展精准</w:t>
      </w:r>
      <w:r>
        <w:rPr>
          <w:color w:val="auto"/>
        </w:rPr>
        <w:t>招商、</w:t>
      </w:r>
      <w:r>
        <w:rPr>
          <w:rFonts w:hint="eastAsia"/>
          <w:color w:val="auto"/>
        </w:rPr>
        <w:t>委托招商</w:t>
      </w:r>
      <w:r>
        <w:rPr>
          <w:color w:val="auto"/>
        </w:rPr>
        <w:t>、</w:t>
      </w:r>
      <w:r>
        <w:rPr>
          <w:rFonts w:hint="eastAsia"/>
          <w:color w:val="auto"/>
        </w:rPr>
        <w:t>全产业链招商、</w:t>
      </w:r>
      <w:r>
        <w:rPr>
          <w:color w:val="auto"/>
        </w:rPr>
        <w:t>大数据招商，</w:t>
      </w:r>
      <w:r>
        <w:rPr>
          <w:rFonts w:hint="eastAsia"/>
          <w:color w:val="auto"/>
        </w:rPr>
        <w:t>积极加强与行业协会、商会联系，密切与专业招商机构合作。积极</w:t>
      </w:r>
      <w:r>
        <w:rPr>
          <w:color w:val="auto"/>
        </w:rPr>
        <w:t>探索区域协作模式，</w:t>
      </w:r>
      <w:r>
        <w:rPr>
          <w:rFonts w:hint="eastAsia"/>
          <w:color w:val="auto"/>
        </w:rPr>
        <w:t>分类探索利益分配、异地监管、产学研合作、全产业链合作等模式，在工业台地建立“园中园”，发展“飞地经济”“总部经济”，</w:t>
      </w:r>
      <w:r>
        <w:rPr>
          <w:color w:val="auto"/>
        </w:rPr>
        <w:t>实现</w:t>
      </w:r>
      <w:r>
        <w:rPr>
          <w:rFonts w:hint="eastAsia"/>
          <w:color w:val="auto"/>
        </w:rPr>
        <w:t>“共搭平台、共建园区、共建基地、共促转化”。</w:t>
      </w:r>
    </w:p>
    <w:p>
      <w:pPr>
        <w:ind w:firstLine="562"/>
        <w:rPr>
          <w:color w:val="auto"/>
        </w:rPr>
      </w:pPr>
      <w:r>
        <w:rPr>
          <w:rFonts w:hint="eastAsia"/>
          <w:b/>
          <w:color w:val="auto"/>
        </w:rPr>
        <w:t>鼓励出口做好外贸外资</w:t>
      </w:r>
      <w:r>
        <w:rPr>
          <w:rFonts w:hint="eastAsia"/>
          <w:color w:val="auto"/>
        </w:rPr>
        <w:t>。做好外贸工作，积极开拓国际市场，继续扩大农产品等传统优势产品出口份额，加快发展中药材和食用菌种植与深加工等特色产品出口和现代服务贸易；发展外贸综合服务平台和跨境电商，培育一批外贸综合服务企业；加大外贸企业孵化力度，重点培育潜力企业做大做强，培育壮大外贸主体。到2025年，力争培育出口超亿元企业3家以上、进口超亿元企业1家以上。做好外资工作，落实全县利用外资精准招商行动计划，围绕首位产业，争取新签约一批投资规模大、质量水平高、辐射带动强的外资项目落地。</w:t>
      </w:r>
    </w:p>
    <w:p>
      <w:pPr>
        <w:pStyle w:val="4"/>
        <w:numPr>
          <w:ilvl w:val="0"/>
          <w:numId w:val="0"/>
        </w:numPr>
        <w:ind w:left="643"/>
        <w:rPr>
          <w:color w:val="auto"/>
        </w:rPr>
      </w:pPr>
      <w:r>
        <w:rPr>
          <w:rFonts w:hint="eastAsia"/>
          <w:color w:val="auto"/>
        </w:rPr>
        <w:t>二</w:t>
      </w:r>
      <w:r>
        <w:rPr>
          <w:color w:val="auto"/>
        </w:rPr>
        <w:t>、大力</w:t>
      </w:r>
      <w:r>
        <w:rPr>
          <w:rFonts w:hint="eastAsia"/>
          <w:color w:val="auto"/>
        </w:rPr>
        <w:t>培育</w:t>
      </w:r>
      <w:r>
        <w:rPr>
          <w:color w:val="auto"/>
        </w:rPr>
        <w:t>完善市场环境</w:t>
      </w:r>
    </w:p>
    <w:p>
      <w:pPr>
        <w:ind w:firstLine="562"/>
        <w:rPr>
          <w:color w:val="auto"/>
        </w:rPr>
      </w:pPr>
      <w:r>
        <w:rPr>
          <w:rFonts w:hint="eastAsia"/>
          <w:b/>
          <w:color w:val="auto"/>
        </w:rPr>
        <w:t>持续优化金融市场环境</w:t>
      </w:r>
      <w:r>
        <w:rPr>
          <w:rFonts w:hint="eastAsia"/>
          <w:color w:val="auto"/>
        </w:rPr>
        <w:t>。继续完善三级金融服务网络，实现农业保险全面铺开，全力支持以食用菌为主导的产业发展。引进新型金融机构，筹建拟挂牌上市企业后备库。完善定期巡查机制，加强对相关公司</w:t>
      </w:r>
      <w:r>
        <w:rPr>
          <w:color w:val="auto"/>
        </w:rPr>
        <w:t>、机构及</w:t>
      </w:r>
      <w:r>
        <w:rPr>
          <w:rFonts w:hint="eastAsia"/>
          <w:color w:val="auto"/>
        </w:rPr>
        <w:t>农民专业合作社负责人的专题培训，强化风险意识。积极对接政策性金融机构，对符合相关条件的企业进行升级改造，争取中长期贷款支持大型基础设施建设及重点项目开发。稳妥推进金融监管体制改革，加强金融监管，有序化解处置突出风险点，防范金融和债务风险，筑牢金融风险“防火墙”。</w:t>
      </w:r>
    </w:p>
    <w:p>
      <w:pPr>
        <w:ind w:firstLine="562"/>
        <w:rPr>
          <w:color w:val="auto"/>
          <w:szCs w:val="30"/>
        </w:rPr>
      </w:pPr>
      <w:r>
        <w:rPr>
          <w:rFonts w:hint="eastAsia"/>
          <w:b/>
          <w:color w:val="auto"/>
          <w:szCs w:val="30"/>
        </w:rPr>
        <w:t>加快发展壮大民营经济</w:t>
      </w:r>
      <w:r>
        <w:rPr>
          <w:rFonts w:hint="eastAsia"/>
          <w:color w:val="auto"/>
          <w:szCs w:val="30"/>
        </w:rPr>
        <w:t>。深入实施“育苗造林”工程，完善促进中小微企业和个体工商户发展的政策体系。扩大</w:t>
      </w:r>
      <w:r>
        <w:rPr>
          <w:color w:val="auto"/>
          <w:szCs w:val="30"/>
        </w:rPr>
        <w:t>中小企业专项扶持资金规模</w:t>
      </w:r>
      <w:r>
        <w:rPr>
          <w:rFonts w:hint="eastAsia"/>
          <w:color w:val="auto"/>
          <w:szCs w:val="30"/>
        </w:rPr>
        <w:t>，大力培育高新技术企业和省、</w:t>
      </w:r>
      <w:r>
        <w:rPr>
          <w:color w:val="auto"/>
          <w:szCs w:val="30"/>
        </w:rPr>
        <w:t>市</w:t>
      </w:r>
      <w:r>
        <w:rPr>
          <w:rFonts w:hint="eastAsia"/>
          <w:color w:val="auto"/>
          <w:szCs w:val="30"/>
        </w:rPr>
        <w:t>级科技型中小企业，联动推进产业创新服务综合体、科技企业孵化器、新型研发机构建设，打造一流的创业创新生态。以国家级小微金改为抓手，强化金融定向支持力度，大力实施融资畅通工程，落实降低企业融资成本，全面推进“普惠金融”。加大民营企业项目用地保障力度，降低企业用地成本。</w:t>
      </w:r>
    </w:p>
    <w:p>
      <w:pPr>
        <w:ind w:firstLine="560"/>
        <w:rPr>
          <w:color w:val="auto"/>
          <w:szCs w:val="30"/>
        </w:rPr>
      </w:pPr>
    </w:p>
    <w:p>
      <w:pPr>
        <w:ind w:firstLine="560"/>
        <w:rPr>
          <w:color w:val="auto"/>
          <w:szCs w:val="30"/>
        </w:rPr>
      </w:pPr>
    </w:p>
    <w:p>
      <w:pPr>
        <w:pStyle w:val="2"/>
        <w:spacing w:line="240" w:lineRule="auto"/>
        <w:jc w:val="center"/>
        <w:rPr>
          <w:color w:val="auto"/>
        </w:rPr>
      </w:pPr>
      <w:bookmarkStart w:id="36" w:name="_Toc62244289"/>
      <w:r>
        <w:rPr>
          <w:rFonts w:hint="eastAsia"/>
          <w:color w:val="auto"/>
        </w:rPr>
        <w:t>第九章  加强</w:t>
      </w:r>
      <w:r>
        <w:rPr>
          <w:color w:val="auto"/>
        </w:rPr>
        <w:t>创新</w:t>
      </w:r>
      <w:r>
        <w:rPr>
          <w:rFonts w:hint="eastAsia"/>
          <w:color w:val="auto"/>
        </w:rPr>
        <w:t>社会治理体系，打造平安阜平</w:t>
      </w:r>
      <w:bookmarkEnd w:id="36"/>
    </w:p>
    <w:p>
      <w:pPr>
        <w:ind w:firstLine="560"/>
        <w:rPr>
          <w:color w:val="auto"/>
        </w:rPr>
      </w:pPr>
      <w:r>
        <w:rPr>
          <w:rFonts w:hint="eastAsia"/>
          <w:color w:val="auto"/>
        </w:rPr>
        <w:t>加强社会治理体系和治理能力现代化建设，坚持完善“党委领导、政府负责、民主协商、社会协同、公众参与、法治保障、科技支撑”的社会治理体系，打造人民安居乐业、社会安定有序的“和谐阜平”。</w:t>
      </w:r>
    </w:p>
    <w:p>
      <w:pPr>
        <w:pStyle w:val="3"/>
        <w:spacing w:before="204"/>
        <w:ind w:firstLine="560" w:firstLineChars="200"/>
        <w:rPr>
          <w:color w:val="auto"/>
          <w:szCs w:val="30"/>
        </w:rPr>
      </w:pPr>
      <w:bookmarkStart w:id="37" w:name="_Toc62244290"/>
      <w:r>
        <w:rPr>
          <w:rFonts w:hint="eastAsia"/>
          <w:color w:val="auto"/>
          <w:szCs w:val="30"/>
        </w:rPr>
        <w:t>第一节  强化提升法治政府服务能力</w:t>
      </w:r>
      <w:bookmarkEnd w:id="37"/>
    </w:p>
    <w:p>
      <w:pPr>
        <w:ind w:firstLine="560"/>
        <w:rPr>
          <w:color w:val="auto"/>
        </w:rPr>
      </w:pPr>
      <w:r>
        <w:rPr>
          <w:rFonts w:hint="eastAsia"/>
          <w:color w:val="auto"/>
        </w:rPr>
        <w:t>坚持法治国家、法治政府、法治社会一体建设，更好地发挥法治对改革的引领、规范和保障作用，切</w:t>
      </w:r>
      <w:r>
        <w:rPr>
          <w:color w:val="auto"/>
        </w:rPr>
        <w:t>实</w:t>
      </w:r>
      <w:r>
        <w:rPr>
          <w:rFonts w:hint="eastAsia"/>
          <w:color w:val="auto"/>
        </w:rPr>
        <w:t>巩固全县改革成果。</w:t>
      </w:r>
    </w:p>
    <w:p>
      <w:pPr>
        <w:pStyle w:val="4"/>
        <w:numPr>
          <w:ilvl w:val="0"/>
          <w:numId w:val="0"/>
        </w:numPr>
        <w:ind w:left="643"/>
        <w:rPr>
          <w:color w:val="auto"/>
        </w:rPr>
      </w:pPr>
      <w:r>
        <w:rPr>
          <w:rFonts w:hint="eastAsia"/>
          <w:color w:val="auto"/>
        </w:rPr>
        <w:t>一</w:t>
      </w:r>
      <w:r>
        <w:rPr>
          <w:color w:val="auto"/>
        </w:rPr>
        <w:t>、</w:t>
      </w:r>
      <w:r>
        <w:rPr>
          <w:rFonts w:hint="eastAsia"/>
          <w:color w:val="auto"/>
        </w:rPr>
        <w:t>继续完善法治政府建设</w:t>
      </w:r>
    </w:p>
    <w:p>
      <w:pPr>
        <w:ind w:firstLine="560"/>
        <w:rPr>
          <w:color w:val="auto"/>
        </w:rPr>
      </w:pPr>
      <w:r>
        <w:rPr>
          <w:rFonts w:hint="eastAsia"/>
          <w:color w:val="auto"/>
        </w:rPr>
        <w:t>坚决落实中央关于全面从严治党战略部署，为加快建设保定市西北中心城市提供坚强的政治保障。扎实开展法治政府建设示范创建和责任落实督察，大力加强全县思想政治建设、党风廉政建设、干部队伍建设和基层组织建设。完善依法决策机制，大力推动行政决策科学化、民主化、法治化，全面推行行政执法公示、执法全过程记录、重大执法决定法制审核“三项制度”，确保政府工作全面纳入法治轨道。</w:t>
      </w:r>
    </w:p>
    <w:p>
      <w:pPr>
        <w:pStyle w:val="4"/>
        <w:numPr>
          <w:ilvl w:val="0"/>
          <w:numId w:val="0"/>
        </w:numPr>
        <w:ind w:left="643"/>
        <w:rPr>
          <w:color w:val="auto"/>
        </w:rPr>
      </w:pPr>
      <w:r>
        <w:rPr>
          <w:rFonts w:hint="eastAsia"/>
          <w:color w:val="auto"/>
        </w:rPr>
        <w:t>二</w:t>
      </w:r>
      <w:r>
        <w:rPr>
          <w:color w:val="auto"/>
        </w:rPr>
        <w:t>、</w:t>
      </w:r>
      <w:r>
        <w:rPr>
          <w:rFonts w:hint="eastAsia"/>
          <w:color w:val="auto"/>
        </w:rPr>
        <w:t>扎实推进服务型政府建设</w:t>
      </w:r>
    </w:p>
    <w:p>
      <w:pPr>
        <w:ind w:firstLine="562"/>
        <w:rPr>
          <w:color w:val="auto"/>
        </w:rPr>
      </w:pPr>
      <w:r>
        <w:rPr>
          <w:rFonts w:hint="eastAsia"/>
          <w:b/>
          <w:color w:val="auto"/>
        </w:rPr>
        <w:t>加强</w:t>
      </w:r>
      <w:r>
        <w:rPr>
          <w:b/>
          <w:color w:val="auto"/>
        </w:rPr>
        <w:t>学习型政府建设</w:t>
      </w:r>
      <w:r>
        <w:rPr>
          <w:color w:val="auto"/>
        </w:rPr>
        <w:t>。</w:t>
      </w:r>
      <w:r>
        <w:rPr>
          <w:rFonts w:hint="eastAsia"/>
          <w:color w:val="auto"/>
        </w:rPr>
        <w:t>推动学习贯彻习近平新时代中国特色社会主义思想走深走实，推进主题教育常态化，</w:t>
      </w:r>
      <w:r>
        <w:rPr>
          <w:color w:val="auto"/>
        </w:rPr>
        <w:t>在学习中开拓新视野、适应新要求</w:t>
      </w:r>
      <w:r>
        <w:rPr>
          <w:rFonts w:hint="eastAsia"/>
          <w:color w:val="auto"/>
        </w:rPr>
        <w:t>，</w:t>
      </w:r>
      <w:r>
        <w:rPr>
          <w:color w:val="auto"/>
        </w:rPr>
        <w:t>与时俱进提升专业素养</w:t>
      </w:r>
      <w:r>
        <w:rPr>
          <w:rFonts w:hint="eastAsia"/>
          <w:color w:val="auto"/>
        </w:rPr>
        <w:t>和</w:t>
      </w:r>
      <w:r>
        <w:rPr>
          <w:color w:val="auto"/>
        </w:rPr>
        <w:t>研判能力</w:t>
      </w:r>
      <w:r>
        <w:rPr>
          <w:rFonts w:hint="eastAsia"/>
          <w:color w:val="auto"/>
        </w:rPr>
        <w:t>；巩固壮大主流舆论强势，实施“瞭望哨”工程，全域推进新时代文明实践中心建设。</w:t>
      </w:r>
    </w:p>
    <w:p>
      <w:pPr>
        <w:ind w:firstLine="562"/>
        <w:rPr>
          <w:color w:val="auto"/>
        </w:rPr>
      </w:pPr>
      <w:r>
        <w:rPr>
          <w:rFonts w:hint="eastAsia"/>
          <w:b/>
          <w:color w:val="auto"/>
        </w:rPr>
        <w:t>加强</w:t>
      </w:r>
      <w:r>
        <w:rPr>
          <w:b/>
          <w:color w:val="auto"/>
        </w:rPr>
        <w:t>效能型政府建设</w:t>
      </w:r>
      <w:r>
        <w:rPr>
          <w:color w:val="auto"/>
        </w:rPr>
        <w:t>。</w:t>
      </w:r>
      <w:r>
        <w:rPr>
          <w:rFonts w:hint="eastAsia"/>
          <w:color w:val="auto"/>
        </w:rPr>
        <w:t>全力抓好深化简政放权、放管结合、优化服务改革等重点工作，完善实施政府权责清单制度，推进“数字政府”建设，加强</w:t>
      </w:r>
      <w:r>
        <w:rPr>
          <w:color w:val="auto"/>
        </w:rPr>
        <w:t>事中事后监管，</w:t>
      </w:r>
      <w:r>
        <w:rPr>
          <w:rFonts w:hint="eastAsia"/>
          <w:color w:val="auto"/>
        </w:rPr>
        <w:t>提高行政效率。继续</w:t>
      </w:r>
      <w:r>
        <w:rPr>
          <w:color w:val="auto"/>
        </w:rPr>
        <w:t>探索跨领域、跨部门综合执法，构建完善高效衔接的综合执法</w:t>
      </w:r>
      <w:r>
        <w:rPr>
          <w:rFonts w:hint="eastAsia"/>
          <w:color w:val="auto"/>
        </w:rPr>
        <w:t>工作体系</w:t>
      </w:r>
      <w:r>
        <w:rPr>
          <w:color w:val="auto"/>
        </w:rPr>
        <w:t>，提高政府服务和治理效能。</w:t>
      </w:r>
      <w:r>
        <w:rPr>
          <w:rFonts w:hint="eastAsia"/>
          <w:color w:val="auto"/>
        </w:rPr>
        <w:t>进一步厘清政府和市场的边界，创新行政管理和服务方式，健全激励导向的绩效评价考核机制和尽职免责机制。</w:t>
      </w:r>
    </w:p>
    <w:p>
      <w:pPr>
        <w:pStyle w:val="4"/>
        <w:numPr>
          <w:ilvl w:val="0"/>
          <w:numId w:val="0"/>
        </w:numPr>
        <w:ind w:left="643"/>
        <w:rPr>
          <w:color w:val="auto"/>
        </w:rPr>
      </w:pPr>
      <w:r>
        <w:rPr>
          <w:rFonts w:hint="eastAsia"/>
          <w:color w:val="auto"/>
        </w:rPr>
        <w:t>三</w:t>
      </w:r>
      <w:r>
        <w:rPr>
          <w:color w:val="auto"/>
        </w:rPr>
        <w:t>、</w:t>
      </w:r>
      <w:r>
        <w:rPr>
          <w:rFonts w:hint="eastAsia"/>
          <w:color w:val="auto"/>
        </w:rPr>
        <w:t>健全社会矛盾纠纷调处机制</w:t>
      </w:r>
    </w:p>
    <w:p>
      <w:pPr>
        <w:ind w:firstLine="562"/>
        <w:rPr>
          <w:color w:val="auto"/>
        </w:rPr>
      </w:pPr>
      <w:r>
        <w:rPr>
          <w:rFonts w:hint="eastAsia"/>
          <w:b/>
          <w:color w:val="auto"/>
        </w:rPr>
        <w:t>完善调处工作体系</w:t>
      </w:r>
      <w:r>
        <w:rPr>
          <w:rFonts w:hint="eastAsia"/>
          <w:color w:val="auto"/>
        </w:rPr>
        <w:t>。最大限度把各类风险防范在源头，化解在萌芽状态。打造县、乡镇（街道）、村（社区）三级矛盾纠纷调处化解体系，完善信访制度，继续坚持领导干部包联化解信访矛盾工作制度，不断深化公开接访机制，畅通和规范群众诉求表达和权益保障通道。充分发挥人民调解“第一道防线”作用，继续完善人民调解、行政调解、司法调解“三调”联动工作体系。</w:t>
      </w:r>
    </w:p>
    <w:p>
      <w:pPr>
        <w:ind w:firstLine="562"/>
        <w:rPr>
          <w:color w:val="auto"/>
        </w:rPr>
      </w:pPr>
      <w:r>
        <w:rPr>
          <w:rFonts w:hint="eastAsia"/>
          <w:b/>
          <w:color w:val="auto"/>
        </w:rPr>
        <w:t>创新矛盾</w:t>
      </w:r>
      <w:r>
        <w:rPr>
          <w:b/>
          <w:color w:val="auto"/>
        </w:rPr>
        <w:t>调处工作方法</w:t>
      </w:r>
      <w:r>
        <w:rPr>
          <w:color w:val="auto"/>
        </w:rPr>
        <w:t>。</w:t>
      </w:r>
      <w:r>
        <w:rPr>
          <w:rFonts w:hint="eastAsia"/>
          <w:color w:val="auto"/>
        </w:rPr>
        <w:t>坚持和发展新时代“枫桥经验”，推动调解方式多元化，实现法治、自治、德治“三治融合”。搭建阜平县基层社会治理平台，探索远程</w:t>
      </w:r>
      <w:r>
        <w:rPr>
          <w:color w:val="auto"/>
        </w:rPr>
        <w:t>调解、小程序调解等</w:t>
      </w:r>
      <w:r>
        <w:rPr>
          <w:rFonts w:hint="eastAsia"/>
          <w:color w:val="auto"/>
        </w:rPr>
        <w:t>在线</w:t>
      </w:r>
      <w:r>
        <w:rPr>
          <w:color w:val="auto"/>
        </w:rPr>
        <w:t>模式</w:t>
      </w:r>
      <w:r>
        <w:rPr>
          <w:rFonts w:hint="eastAsia"/>
          <w:color w:val="auto"/>
        </w:rPr>
        <w:t>。完善社会稳定风险评估制度，健全社会心理服务体系和危机干预机制，完善各类调解联动工作体系。全面深化平安创建活动，协调各行业主管部门积极推动“平安交通”“平安医院”“平安校园”“平安市场”“平安社区”等创建活动，“三无三百”平安村（社区）创建达到全覆盖，实现积“小治安”为“大平安”，打造</w:t>
      </w:r>
      <w:r>
        <w:rPr>
          <w:color w:val="auto"/>
        </w:rPr>
        <w:t>平安稳</w:t>
      </w:r>
      <w:r>
        <w:rPr>
          <w:rFonts w:hint="eastAsia"/>
          <w:color w:val="auto"/>
        </w:rPr>
        <w:t>定</w:t>
      </w:r>
      <w:r>
        <w:rPr>
          <w:color w:val="auto"/>
        </w:rPr>
        <w:t>示范区</w:t>
      </w:r>
      <w:r>
        <w:rPr>
          <w:rFonts w:hint="eastAsia"/>
          <w:color w:val="auto"/>
        </w:rPr>
        <w:t>。</w:t>
      </w:r>
    </w:p>
    <w:p>
      <w:pPr>
        <w:pStyle w:val="3"/>
        <w:spacing w:before="204"/>
        <w:ind w:firstLine="560" w:firstLineChars="200"/>
        <w:rPr>
          <w:color w:val="auto"/>
          <w:szCs w:val="30"/>
        </w:rPr>
      </w:pPr>
      <w:bookmarkStart w:id="38" w:name="_Toc62244291"/>
      <w:r>
        <w:rPr>
          <w:rFonts w:hint="eastAsia"/>
          <w:color w:val="auto"/>
          <w:szCs w:val="30"/>
        </w:rPr>
        <w:t>第二节  探索完善</w:t>
      </w:r>
      <w:r>
        <w:rPr>
          <w:color w:val="auto"/>
          <w:szCs w:val="30"/>
        </w:rPr>
        <w:t>现代</w:t>
      </w:r>
      <w:r>
        <w:rPr>
          <w:rFonts w:hint="eastAsia"/>
          <w:color w:val="auto"/>
          <w:szCs w:val="30"/>
        </w:rPr>
        <w:t>社会</w:t>
      </w:r>
      <w:r>
        <w:rPr>
          <w:color w:val="auto"/>
          <w:szCs w:val="30"/>
        </w:rPr>
        <w:t>治理</w:t>
      </w:r>
      <w:r>
        <w:rPr>
          <w:rFonts w:hint="eastAsia"/>
          <w:color w:val="auto"/>
          <w:szCs w:val="30"/>
        </w:rPr>
        <w:t>格局</w:t>
      </w:r>
      <w:bookmarkEnd w:id="38"/>
    </w:p>
    <w:p>
      <w:pPr>
        <w:ind w:firstLine="560"/>
        <w:rPr>
          <w:color w:val="auto"/>
        </w:rPr>
      </w:pPr>
      <w:r>
        <w:rPr>
          <w:rFonts w:hint="eastAsia"/>
          <w:color w:val="auto"/>
        </w:rPr>
        <w:t>坚持共建共治共享的社会治理理念，以开展市域社会治理现代化试点为抓手，推动“枫桥经验”由乡村治理向城镇社区治理延伸、由社会治安向各个领域扩展，推进城乡社区治理体系现代化。</w:t>
      </w:r>
    </w:p>
    <w:p>
      <w:pPr>
        <w:pStyle w:val="4"/>
        <w:numPr>
          <w:ilvl w:val="0"/>
          <w:numId w:val="0"/>
        </w:numPr>
        <w:ind w:left="643"/>
        <w:rPr>
          <w:color w:val="auto"/>
        </w:rPr>
      </w:pPr>
      <w:r>
        <w:rPr>
          <w:rFonts w:hint="eastAsia"/>
          <w:color w:val="auto"/>
        </w:rPr>
        <w:t>一</w:t>
      </w:r>
      <w:r>
        <w:rPr>
          <w:color w:val="auto"/>
        </w:rPr>
        <w:t>、</w:t>
      </w:r>
      <w:r>
        <w:rPr>
          <w:rFonts w:hint="eastAsia"/>
          <w:color w:val="auto"/>
        </w:rPr>
        <w:t>大力加强基层社会</w:t>
      </w:r>
      <w:r>
        <w:rPr>
          <w:color w:val="auto"/>
        </w:rPr>
        <w:t>治理</w:t>
      </w:r>
    </w:p>
    <w:p>
      <w:pPr>
        <w:ind w:firstLine="562"/>
        <w:rPr>
          <w:color w:val="auto"/>
        </w:rPr>
      </w:pPr>
      <w:r>
        <w:rPr>
          <w:rFonts w:hint="eastAsia"/>
          <w:b/>
          <w:color w:val="auto"/>
        </w:rPr>
        <w:t>构建基层社会治理工作格局</w:t>
      </w:r>
      <w:r>
        <w:rPr>
          <w:rFonts w:hint="eastAsia"/>
          <w:color w:val="auto"/>
        </w:rPr>
        <w:t>。健全基层党组织领导的基层群众自治机制。健全以</w:t>
      </w:r>
      <w:r>
        <w:rPr>
          <w:color w:val="auto"/>
        </w:rPr>
        <w:t>村党组织为核心的</w:t>
      </w:r>
      <w:r>
        <w:rPr>
          <w:rFonts w:hint="eastAsia"/>
          <w:color w:val="auto"/>
        </w:rPr>
        <w:t>“5+3+N”村级</w:t>
      </w:r>
      <w:r>
        <w:rPr>
          <w:color w:val="auto"/>
        </w:rPr>
        <w:t>组织体系，</w:t>
      </w:r>
      <w:r>
        <w:rPr>
          <w:rFonts w:hint="eastAsia"/>
          <w:color w:val="auto"/>
        </w:rPr>
        <w:t>深入</w:t>
      </w:r>
      <w:r>
        <w:rPr>
          <w:color w:val="auto"/>
        </w:rPr>
        <w:t>实施农村</w:t>
      </w:r>
      <w:r>
        <w:rPr>
          <w:rFonts w:hint="eastAsia"/>
          <w:color w:val="auto"/>
        </w:rPr>
        <w:t>“领头羊”工程，深化全国农村基层党建联系点创建工作，推进基层组织建设“二三三”工程，</w:t>
      </w:r>
      <w:r>
        <w:rPr>
          <w:color w:val="auto"/>
        </w:rPr>
        <w:t>扩大基层党的组织覆盖和工作覆盖</w:t>
      </w:r>
      <w:r>
        <w:rPr>
          <w:rFonts w:hint="eastAsia"/>
          <w:color w:val="auto"/>
        </w:rPr>
        <w:t>。推动优质资源向基层倾斜，鼓励因地制宜探索创新治理模式，实行项目化推进、目标化管理、责任化考核。全面落实“网格化管理”，积极探索易地搬迁小区社区治理新模式。规范基层综治中心标准化建设，发挥枢纽平台作用，完善“综治中心+网格化+信息化”工作机制。</w:t>
      </w:r>
    </w:p>
    <w:p>
      <w:pPr>
        <w:ind w:firstLine="562"/>
        <w:rPr>
          <w:color w:val="auto"/>
        </w:rPr>
      </w:pPr>
      <w:r>
        <w:rPr>
          <w:rFonts w:hint="eastAsia"/>
          <w:b/>
          <w:color w:val="auto"/>
        </w:rPr>
        <w:t>加强</w:t>
      </w:r>
      <w:r>
        <w:rPr>
          <w:b/>
          <w:color w:val="auto"/>
        </w:rPr>
        <w:t>基层</w:t>
      </w:r>
      <w:r>
        <w:rPr>
          <w:rFonts w:hint="eastAsia"/>
          <w:b/>
          <w:color w:val="auto"/>
        </w:rPr>
        <w:t>治理</w:t>
      </w:r>
      <w:r>
        <w:rPr>
          <w:b/>
          <w:color w:val="auto"/>
        </w:rPr>
        <w:t>人才队伍建设</w:t>
      </w:r>
      <w:r>
        <w:rPr>
          <w:color w:val="auto"/>
        </w:rPr>
        <w:t>。</w:t>
      </w:r>
      <w:r>
        <w:rPr>
          <w:rFonts w:hint="eastAsia"/>
          <w:color w:val="auto"/>
        </w:rPr>
        <w:t>建强用好干部队伍，突出实践实干实效，选优配强乡镇领导班子。着力提高干部素质，把</w:t>
      </w:r>
      <w:r>
        <w:rPr>
          <w:color w:val="auto"/>
        </w:rPr>
        <w:t>领导经济工作的立足点转到提高发展质量和效益、加快形成新的经济发展方式</w:t>
      </w:r>
      <w:r>
        <w:rPr>
          <w:rFonts w:hint="eastAsia"/>
          <w:color w:val="auto"/>
        </w:rPr>
        <w:t>上</w:t>
      </w:r>
      <w:r>
        <w:rPr>
          <w:color w:val="auto"/>
        </w:rPr>
        <w:t>来，</w:t>
      </w:r>
      <w:r>
        <w:rPr>
          <w:rFonts w:hint="eastAsia"/>
          <w:color w:val="auto"/>
        </w:rPr>
        <w:t>培养一批专家型社会治理领导干部。着力加强社区建设，加快推进社区工作者专业化、职业化；</w:t>
      </w:r>
      <w:r>
        <w:rPr>
          <w:color w:val="auto"/>
        </w:rPr>
        <w:t>培养吸纳乡村</w:t>
      </w:r>
      <w:r>
        <w:rPr>
          <w:rFonts w:hint="eastAsia"/>
          <w:color w:val="auto"/>
        </w:rPr>
        <w:t>热心</w:t>
      </w:r>
      <w:r>
        <w:rPr>
          <w:color w:val="auto"/>
        </w:rPr>
        <w:t>妇女、</w:t>
      </w:r>
      <w:r>
        <w:rPr>
          <w:rFonts w:hint="eastAsia"/>
          <w:color w:val="auto"/>
        </w:rPr>
        <w:t>德高</w:t>
      </w:r>
      <w:r>
        <w:rPr>
          <w:color w:val="auto"/>
        </w:rPr>
        <w:t>老人</w:t>
      </w:r>
      <w:r>
        <w:rPr>
          <w:rFonts w:hint="eastAsia"/>
          <w:color w:val="auto"/>
        </w:rPr>
        <w:t>成为乡村社会工作骨干力量</w:t>
      </w:r>
      <w:r>
        <w:rPr>
          <w:color w:val="auto"/>
        </w:rPr>
        <w:t>，</w:t>
      </w:r>
      <w:r>
        <w:rPr>
          <w:rFonts w:hint="eastAsia"/>
          <w:color w:val="auto"/>
        </w:rPr>
        <w:t>健全充满活力的基层群众自治制度。</w:t>
      </w:r>
    </w:p>
    <w:p>
      <w:pPr>
        <w:pStyle w:val="4"/>
        <w:numPr>
          <w:ilvl w:val="0"/>
          <w:numId w:val="0"/>
        </w:numPr>
        <w:ind w:left="643"/>
        <w:rPr>
          <w:color w:val="auto"/>
        </w:rPr>
      </w:pPr>
      <w:r>
        <w:rPr>
          <w:rFonts w:hint="eastAsia"/>
          <w:color w:val="auto"/>
        </w:rPr>
        <w:t>二</w:t>
      </w:r>
      <w:r>
        <w:rPr>
          <w:color w:val="auto"/>
        </w:rPr>
        <w:t>、</w:t>
      </w:r>
      <w:r>
        <w:rPr>
          <w:rFonts w:hint="eastAsia"/>
          <w:color w:val="auto"/>
        </w:rPr>
        <w:t>坚持社会治理社会协同</w:t>
      </w:r>
    </w:p>
    <w:p>
      <w:pPr>
        <w:ind w:firstLine="562"/>
        <w:rPr>
          <w:color w:val="auto"/>
        </w:rPr>
      </w:pPr>
      <w:r>
        <w:rPr>
          <w:rFonts w:hint="eastAsia"/>
          <w:b/>
          <w:color w:val="auto"/>
        </w:rPr>
        <w:t>坚持公众参与推动“五社联动”</w:t>
      </w:r>
      <w:r>
        <w:rPr>
          <w:rFonts w:hint="eastAsia"/>
          <w:color w:val="auto"/>
        </w:rPr>
        <w:t>。探索构建全县社区，社会组织，社会工作者，社会资源和社区自治组织“五社联动”共治生态圈建设。加快建立政社分开、权责明确、依法自治的社会组织制度，不断拓展社会组织发展空间，优化社会组织发展规模和结构，到2025年，基本建成覆盖全县的社会组织孵化培育体系。完善社工服务机构孵化培育体系，建设适应社会需求、专业齐全的社工服务机构；建立社区互助圈和</w:t>
      </w:r>
      <w:r>
        <w:rPr>
          <w:color w:val="auto"/>
        </w:rPr>
        <w:t>互助活动</w:t>
      </w:r>
      <w:r>
        <w:rPr>
          <w:rFonts w:hint="eastAsia"/>
          <w:color w:val="auto"/>
        </w:rPr>
        <w:t>，探索“公益集市”等</w:t>
      </w:r>
      <w:r>
        <w:rPr>
          <w:color w:val="auto"/>
        </w:rPr>
        <w:t>调动</w:t>
      </w:r>
      <w:r>
        <w:rPr>
          <w:rFonts w:hint="eastAsia"/>
          <w:color w:val="auto"/>
        </w:rPr>
        <w:t>形式，</w:t>
      </w:r>
      <w:r>
        <w:rPr>
          <w:color w:val="auto"/>
        </w:rPr>
        <w:t>集聚</w:t>
      </w:r>
      <w:r>
        <w:rPr>
          <w:rFonts w:hint="eastAsia"/>
          <w:color w:val="auto"/>
        </w:rPr>
        <w:t>社区内社会组织、企业、社区居委会、热心居民等社区资源，推动社区问题自我消化和民间互助；引导社会组织拓展</w:t>
      </w:r>
      <w:r>
        <w:rPr>
          <w:color w:val="auto"/>
        </w:rPr>
        <w:t>服务内容，提升</w:t>
      </w:r>
      <w:r>
        <w:rPr>
          <w:rFonts w:hint="eastAsia"/>
          <w:color w:val="auto"/>
        </w:rPr>
        <w:t>服务能力。</w:t>
      </w:r>
    </w:p>
    <w:p>
      <w:pPr>
        <w:ind w:firstLine="562"/>
        <w:rPr>
          <w:color w:val="auto"/>
        </w:rPr>
      </w:pPr>
      <w:r>
        <w:rPr>
          <w:rFonts w:hint="eastAsia"/>
          <w:b/>
          <w:color w:val="auto"/>
        </w:rPr>
        <w:t>大力发展慈善和志愿服务</w:t>
      </w:r>
      <w:r>
        <w:rPr>
          <w:rFonts w:hint="eastAsia"/>
          <w:color w:val="auto"/>
        </w:rPr>
        <w:t>。加强慈善事业制度建设，建立慈善表彰奖励制度，发挥慈善先进典型标杆作用；推动“互联网+慈善”和慈善信托发展，加强慈善组织孵化和公益慈善专业人才培养，鼓励慈善组织和慈善力量由城市进入农村。加大志愿服务组织培育扶持力度，打造示范性志愿服务组织，探索建立志愿者参与志愿服务的保险保障，推广开展“时间银行”等实践。</w:t>
      </w:r>
    </w:p>
    <w:p>
      <w:pPr>
        <w:pStyle w:val="4"/>
        <w:numPr>
          <w:ilvl w:val="0"/>
          <w:numId w:val="0"/>
        </w:numPr>
        <w:ind w:left="643"/>
        <w:rPr>
          <w:color w:val="auto"/>
        </w:rPr>
      </w:pPr>
      <w:r>
        <w:rPr>
          <w:rFonts w:hint="eastAsia"/>
          <w:color w:val="auto"/>
        </w:rPr>
        <w:t>三</w:t>
      </w:r>
      <w:r>
        <w:rPr>
          <w:color w:val="auto"/>
        </w:rPr>
        <w:t>、</w:t>
      </w:r>
      <w:r>
        <w:rPr>
          <w:rFonts w:hint="eastAsia"/>
          <w:color w:val="auto"/>
        </w:rPr>
        <w:t>推动新时代精神文明建设</w:t>
      </w:r>
    </w:p>
    <w:p>
      <w:pPr>
        <w:ind w:firstLine="560"/>
        <w:rPr>
          <w:color w:val="auto"/>
        </w:rPr>
      </w:pPr>
      <w:r>
        <w:rPr>
          <w:rFonts w:hint="eastAsia"/>
          <w:color w:val="auto"/>
        </w:rPr>
        <w:t>加强社会主义精神文明建设，围绕举旗帜、聚民心、育新人、兴文化、展形象的使命任务，为建设平安</w:t>
      </w:r>
      <w:r>
        <w:rPr>
          <w:color w:val="auto"/>
        </w:rPr>
        <w:t>稳定新</w:t>
      </w:r>
      <w:r>
        <w:rPr>
          <w:rFonts w:hint="eastAsia"/>
          <w:color w:val="auto"/>
        </w:rPr>
        <w:t>阜平提供正能量。</w:t>
      </w:r>
    </w:p>
    <w:p>
      <w:pPr>
        <w:ind w:firstLine="562"/>
        <w:rPr>
          <w:color w:val="auto"/>
        </w:rPr>
      </w:pPr>
      <w:r>
        <w:rPr>
          <w:rFonts w:hint="eastAsia"/>
          <w:b/>
          <w:color w:val="auto"/>
        </w:rPr>
        <w:t>倡导新时代文明道德风尚</w:t>
      </w:r>
      <w:r>
        <w:rPr>
          <w:rFonts w:hint="eastAsia"/>
          <w:color w:val="auto"/>
        </w:rPr>
        <w:t>。以习近平新时代中国特色社会主义思想为指导，加强融媒体中心建设，在农村、社区、企业、学校、机关开展多种形式的教育实践活动，深化群众精神文明提升工作，用先进文化凝聚人心力量，改善基层文化风貌，形成良好社会风尚。以道德评议团为主，成立有党员代表、居民代表组成的评议委员会，每年评选“道德模范”和“身边好人”，</w:t>
      </w:r>
      <w:r>
        <w:rPr>
          <w:color w:val="auto"/>
        </w:rPr>
        <w:t>营造崇德向善、见贤思齐的浓厚社会氛围</w:t>
      </w:r>
      <w:r>
        <w:rPr>
          <w:rFonts w:hint="eastAsia"/>
          <w:color w:val="auto"/>
        </w:rPr>
        <w:t>。加大《民法典》宣传力度和普法教育工作，加强法治文化阵地建设，增强全民法治观念。推进社会诚信制度建设，建立社会信用记录，营造诚信舆论环境，健全失信惩戒机制，加强诚信教育。</w:t>
      </w:r>
    </w:p>
    <w:p>
      <w:pPr>
        <w:ind w:firstLine="562"/>
        <w:rPr>
          <w:color w:val="auto"/>
        </w:rPr>
      </w:pPr>
      <w:r>
        <w:rPr>
          <w:rFonts w:hint="eastAsia"/>
          <w:b/>
          <w:color w:val="auto"/>
        </w:rPr>
        <w:t>推进军民深度融合发展</w:t>
      </w:r>
      <w:r>
        <w:rPr>
          <w:rFonts w:hint="eastAsia"/>
          <w:color w:val="auto"/>
        </w:rPr>
        <w:t>。广泛开展爱国主义宣传教育，准确把握新形势下推动军民融合发展的目标要求，继承军民共建传统，加强国防后备力量建设，提高双拥工作水平，并推动更多领域、更广范围军民共建共用、互通互补，加快构建全县军民融合发展新格局。</w:t>
      </w:r>
    </w:p>
    <w:p>
      <w:pPr>
        <w:pStyle w:val="3"/>
        <w:spacing w:before="204"/>
        <w:ind w:firstLine="560" w:firstLineChars="200"/>
        <w:rPr>
          <w:color w:val="auto"/>
          <w:szCs w:val="30"/>
        </w:rPr>
      </w:pPr>
      <w:bookmarkStart w:id="39" w:name="_Toc62244292"/>
      <w:r>
        <w:rPr>
          <w:rFonts w:hint="eastAsia"/>
          <w:color w:val="auto"/>
          <w:szCs w:val="30"/>
        </w:rPr>
        <w:t>第三节  全力构建综合应急管理体系</w:t>
      </w:r>
      <w:bookmarkEnd w:id="39"/>
    </w:p>
    <w:p>
      <w:pPr>
        <w:ind w:firstLine="560"/>
        <w:rPr>
          <w:color w:val="auto"/>
        </w:rPr>
      </w:pPr>
      <w:r>
        <w:rPr>
          <w:rFonts w:hint="eastAsia"/>
          <w:color w:val="auto"/>
        </w:rPr>
        <w:t>坚持把保护人民生命安全摆在首位，全面贯彻安全</w:t>
      </w:r>
      <w:r>
        <w:rPr>
          <w:color w:val="auto"/>
        </w:rPr>
        <w:t>发展战略，</w:t>
      </w:r>
      <w:r>
        <w:rPr>
          <w:rFonts w:hint="eastAsia"/>
          <w:color w:val="auto"/>
        </w:rPr>
        <w:t>着力构建“统一指挥、专常兼备、反应灵敏、上下联动、平战结合”的应急管理体制，全面提高公共安全保障能力。</w:t>
      </w:r>
    </w:p>
    <w:p>
      <w:pPr>
        <w:pStyle w:val="4"/>
        <w:numPr>
          <w:ilvl w:val="0"/>
          <w:numId w:val="0"/>
        </w:numPr>
        <w:ind w:left="643"/>
        <w:rPr>
          <w:color w:val="auto"/>
        </w:rPr>
      </w:pPr>
      <w:r>
        <w:rPr>
          <w:rFonts w:hint="eastAsia"/>
          <w:color w:val="auto"/>
        </w:rPr>
        <w:t>一</w:t>
      </w:r>
      <w:r>
        <w:rPr>
          <w:color w:val="auto"/>
        </w:rPr>
        <w:t>、</w:t>
      </w:r>
      <w:r>
        <w:rPr>
          <w:rFonts w:hint="eastAsia"/>
          <w:color w:val="auto"/>
        </w:rPr>
        <w:t>贯彻执行国家粮食安全战略</w:t>
      </w:r>
    </w:p>
    <w:p>
      <w:pPr>
        <w:ind w:firstLine="560"/>
        <w:rPr>
          <w:color w:val="auto"/>
        </w:rPr>
      </w:pPr>
      <w:r>
        <w:rPr>
          <w:rFonts w:hint="eastAsia"/>
          <w:color w:val="auto"/>
        </w:rPr>
        <w:t>以保障粮食安全为底线，全面落实粮食安全责任制。构建多元化粮食储备体系，加强县级粮油储备管理和运营，增加储备粮、</w:t>
      </w:r>
      <w:r>
        <w:rPr>
          <w:color w:val="auto"/>
        </w:rPr>
        <w:t>食用油</w:t>
      </w:r>
      <w:r>
        <w:rPr>
          <w:rFonts w:hint="eastAsia"/>
          <w:color w:val="auto"/>
        </w:rPr>
        <w:t>规模，继续推进“中国好粮油行动计划”，推进实施“优质粮食工程”，促使粮食向高质量方向转型；推进实施“藏粮于民”，积极鼓励加工流通企业、新型经营主体、农民开展自主储粮和经营。优化储粮库点布局，</w:t>
      </w:r>
      <w:r>
        <w:rPr>
          <w:color w:val="auto"/>
        </w:rPr>
        <w:t>重点打造</w:t>
      </w:r>
      <w:r>
        <w:rPr>
          <w:rFonts w:hint="eastAsia"/>
          <w:color w:val="auto"/>
        </w:rPr>
        <w:t>阜平县国有粮食购销一库平阳粮库库点，不断扩大先进仓储设施规模，推进绿色储粮技术应用，全面实现中心粮库绿色高效储粮。健全粮食应急保障体系，加强城乡粮食应急供应网点建设和维护，保障每个乡镇、街道至少有1个应急供应网点，并配备相应的应急加工企业配送中心，建成集应急、军供、放心粮油、成品粮食储备“四位一体”的粮食应急保障配送体系。加快发展粮食产业经济，继续扎实开展粮食产销对接工作，不断深化粮食产销供需区域合作，积极帮扶粮油企业发展壮大，保障粮食市场供应数量，</w:t>
      </w:r>
      <w:r>
        <w:rPr>
          <w:color w:val="auto"/>
        </w:rPr>
        <w:t>优化供应品种及结构</w:t>
      </w:r>
      <w:r>
        <w:rPr>
          <w:rFonts w:hint="eastAsia"/>
          <w:color w:val="auto"/>
        </w:rPr>
        <w:t>；培育粮食产业化龙头企业，提升加工能力和核心竞争力，促进粮食产业提质增效。“十四五”时期，</w:t>
      </w:r>
      <w:r>
        <w:rPr>
          <w:color w:val="auto"/>
        </w:rPr>
        <w:t>全</w:t>
      </w:r>
      <w:r>
        <w:rPr>
          <w:rFonts w:hint="eastAsia"/>
          <w:color w:val="auto"/>
        </w:rPr>
        <w:t>县建立粮食储备20000吨。</w:t>
      </w:r>
    </w:p>
    <w:p>
      <w:pPr>
        <w:pStyle w:val="4"/>
        <w:numPr>
          <w:ilvl w:val="0"/>
          <w:numId w:val="0"/>
        </w:numPr>
        <w:ind w:left="643"/>
        <w:rPr>
          <w:color w:val="auto"/>
        </w:rPr>
      </w:pPr>
      <w:r>
        <w:rPr>
          <w:rFonts w:hint="eastAsia"/>
          <w:color w:val="auto"/>
        </w:rPr>
        <w:t>二</w:t>
      </w:r>
      <w:r>
        <w:rPr>
          <w:color w:val="auto"/>
        </w:rPr>
        <w:t>、</w:t>
      </w:r>
      <w:r>
        <w:rPr>
          <w:rFonts w:hint="eastAsia"/>
          <w:color w:val="auto"/>
        </w:rPr>
        <w:t>强化</w:t>
      </w:r>
      <w:r>
        <w:rPr>
          <w:color w:val="auto"/>
        </w:rPr>
        <w:t>落实</w:t>
      </w:r>
      <w:r>
        <w:rPr>
          <w:rFonts w:hint="eastAsia"/>
          <w:color w:val="auto"/>
        </w:rPr>
        <w:t>安全生产责任体系</w:t>
      </w:r>
    </w:p>
    <w:p>
      <w:pPr>
        <w:ind w:firstLine="562"/>
        <w:rPr>
          <w:color w:val="auto"/>
        </w:rPr>
      </w:pPr>
      <w:r>
        <w:rPr>
          <w:rFonts w:hint="eastAsia"/>
          <w:b/>
          <w:color w:val="auto"/>
        </w:rPr>
        <w:t>强化安全生产基础工作</w:t>
      </w:r>
      <w:r>
        <w:rPr>
          <w:rFonts w:hint="eastAsia"/>
          <w:color w:val="auto"/>
        </w:rPr>
        <w:t>。继续深入开展危险化学品领域专项整治，开展风险辨识和隐患排查治理；严格执行法规标准和规程制度，加大安全投入，提高安全防范能力；深入开展“打非治违”行动，持续加强对冀中能源邯郸矿业阜平矿业公司的日常监管和隐患排查。强化部门监管责任，落实各级党委政府安全生产领导责任和属地监管责任，进一步完善“党政同责、一岗双责、齐抓共管”的安全生产责任体系；推进主体责任落实，全面落实企业安全生产主体责任，建立完善企业安全保障体系，推进企业安全生产诚信建设和信息公开；全面推进“双控”机制建设，大力宣传贯彻《河北省安全生产风险管控与隐患治理规定》，不断拓展“双控”机制建设覆盖面；深化重点行业（领域）专项治理，严格执行行业安全生产许可制度，防范生产安全事故。</w:t>
      </w:r>
    </w:p>
    <w:p>
      <w:pPr>
        <w:ind w:firstLine="562"/>
        <w:rPr>
          <w:color w:val="auto"/>
        </w:rPr>
      </w:pPr>
      <w:r>
        <w:rPr>
          <w:rFonts w:hint="eastAsia"/>
          <w:b/>
          <w:color w:val="auto"/>
        </w:rPr>
        <w:t>加强宣传培训提高安全素质</w:t>
      </w:r>
      <w:r>
        <w:rPr>
          <w:rFonts w:hint="eastAsia"/>
          <w:color w:val="auto"/>
        </w:rPr>
        <w:t>。加强全民安全培训，将公共安全教育贯穿到学校教育的各个环节，将安全防护技能纳入农民工就业技能培训，将安全生产政策法规纳入各级党校干部培训；建立健全从业人员职业安全后续教育机制，强化高危行业和中小企业一线操作人员安全培训，加强农民工建筑施工安全生产知识教育培训，高危行业企业主要负责人、安全生产管理人员、特种作业人员和特种设备作业人员持证上岗率达到100%。加强全民安全宣传，发挥各类媒体作用，将安全生产宣传作为公益宣传的重要内容，开展形式多样的宣传教育活动，普及安全法律、安全防护、自救互救基本知识与技能。</w:t>
      </w:r>
    </w:p>
    <w:p>
      <w:pPr>
        <w:pStyle w:val="4"/>
        <w:numPr>
          <w:ilvl w:val="0"/>
          <w:numId w:val="0"/>
        </w:numPr>
        <w:ind w:left="643"/>
        <w:rPr>
          <w:color w:val="auto"/>
        </w:rPr>
      </w:pPr>
      <w:r>
        <w:rPr>
          <w:rFonts w:hint="eastAsia"/>
          <w:color w:val="auto"/>
        </w:rPr>
        <w:t>三</w:t>
      </w:r>
      <w:r>
        <w:rPr>
          <w:color w:val="auto"/>
        </w:rPr>
        <w:t>、</w:t>
      </w:r>
      <w:r>
        <w:rPr>
          <w:rFonts w:hint="eastAsia"/>
          <w:color w:val="auto"/>
        </w:rPr>
        <w:t>构建消防工作社会化新格局</w:t>
      </w:r>
    </w:p>
    <w:p>
      <w:pPr>
        <w:ind w:firstLine="560"/>
        <w:rPr>
          <w:color w:val="auto"/>
        </w:rPr>
      </w:pPr>
      <w:r>
        <w:rPr>
          <w:rFonts w:hint="eastAsia"/>
          <w:color w:val="auto"/>
        </w:rPr>
        <w:t>完善消防安全制度，落实消防安全责任，着力改善社会消防安全环境。到2025年</w:t>
      </w:r>
      <w:r>
        <w:rPr>
          <w:color w:val="auto"/>
        </w:rPr>
        <w:t>，</w:t>
      </w:r>
      <w:r>
        <w:rPr>
          <w:rFonts w:hint="eastAsia"/>
          <w:color w:val="auto"/>
        </w:rPr>
        <w:t>“政府统一领导、部门依法监管、单位全面负责、公民积极参与”的消防工作社会化格局全面形成。</w:t>
      </w:r>
    </w:p>
    <w:p>
      <w:pPr>
        <w:ind w:firstLine="562"/>
        <w:rPr>
          <w:color w:val="auto"/>
        </w:rPr>
      </w:pPr>
      <w:r>
        <w:rPr>
          <w:rFonts w:hint="eastAsia"/>
          <w:b/>
          <w:color w:val="auto"/>
        </w:rPr>
        <w:t>打造社会化消防安全管理体系</w:t>
      </w:r>
      <w:r>
        <w:rPr>
          <w:rFonts w:hint="eastAsia"/>
          <w:color w:val="auto"/>
        </w:rPr>
        <w:t>。强化组织领导，健全政府消防工作领导机制，将消防工作列为政府目标责任、社会治安综合治理、创建文明城市（乡镇、村、社区）、平安地区和新农村建设的重要考评内容；深化责任落实，健全责任机制，完善政府部门消防工作联合监管、信息互通和联合执法机制；明确主体责任，完善单位消防安全责任落实机制，建立完善消防安全问责机制。提升火灾隐患源头控制水平，完善排查整治长效机制</w:t>
      </w:r>
      <w:r>
        <w:rPr>
          <w:color w:val="auto"/>
        </w:rPr>
        <w:t>，</w:t>
      </w:r>
      <w:r>
        <w:rPr>
          <w:rFonts w:hint="eastAsia"/>
          <w:color w:val="auto"/>
        </w:rPr>
        <w:t>加大执法联动力度，严防火灾事故发生。提升社会化消防宣传水平，建立宣传教育工作机制，以行业协会为依托，加快培育消防技术市场，满足社会不断增长的消防安全服务需求。</w:t>
      </w:r>
    </w:p>
    <w:p>
      <w:pPr>
        <w:ind w:firstLine="562"/>
        <w:rPr>
          <w:color w:val="auto"/>
        </w:rPr>
      </w:pPr>
      <w:r>
        <w:rPr>
          <w:rFonts w:hint="eastAsia"/>
          <w:b/>
          <w:color w:val="auto"/>
        </w:rPr>
        <w:t>加快公共消防基础设施建设</w:t>
      </w:r>
      <w:r>
        <w:rPr>
          <w:rFonts w:hint="eastAsia"/>
          <w:color w:val="auto"/>
        </w:rPr>
        <w:t>。提升城乡消防规划水平，结合阜平实际，开展城市火灾风险评估，及时调整修订消防专项规划，做好消防专项规划与其他专项规划的衔接。落实城市消防专项规划，将公共消防设施建设和维护资金列入财政年度预算，建成县级消防指挥中心，加强消防供水、消防车通道、消防站等建设，加强公共消防设施维护管理，提高城乡抗御火灾的整体能力。</w:t>
      </w:r>
    </w:p>
    <w:p>
      <w:pPr>
        <w:pStyle w:val="4"/>
        <w:numPr>
          <w:ilvl w:val="0"/>
          <w:numId w:val="0"/>
        </w:numPr>
        <w:ind w:left="643"/>
        <w:rPr>
          <w:color w:val="auto"/>
        </w:rPr>
      </w:pPr>
      <w:r>
        <w:rPr>
          <w:rFonts w:hint="eastAsia"/>
          <w:color w:val="auto"/>
        </w:rPr>
        <w:t>四</w:t>
      </w:r>
      <w:r>
        <w:rPr>
          <w:color w:val="auto"/>
        </w:rPr>
        <w:t>、</w:t>
      </w:r>
      <w:r>
        <w:rPr>
          <w:rFonts w:hint="eastAsia"/>
          <w:color w:val="auto"/>
        </w:rPr>
        <w:t>健全治安</w:t>
      </w:r>
      <w:r>
        <w:rPr>
          <w:color w:val="auto"/>
        </w:rPr>
        <w:t>防控及</w:t>
      </w:r>
      <w:r>
        <w:rPr>
          <w:rFonts w:hint="eastAsia"/>
          <w:color w:val="auto"/>
        </w:rPr>
        <w:t>应急救援体系</w:t>
      </w:r>
    </w:p>
    <w:p>
      <w:pPr>
        <w:ind w:firstLine="560"/>
        <w:rPr>
          <w:color w:val="auto"/>
        </w:rPr>
      </w:pPr>
      <w:r>
        <w:rPr>
          <w:rFonts w:hint="eastAsia"/>
          <w:color w:val="auto"/>
        </w:rPr>
        <w:t>建立“统一指挥、职责明确、结构完整、装备齐全、功能全面、反应灵敏、运转协调”的应急</w:t>
      </w:r>
      <w:r>
        <w:rPr>
          <w:color w:val="auto"/>
        </w:rPr>
        <w:t>救援体系</w:t>
      </w:r>
      <w:r>
        <w:rPr>
          <w:rFonts w:hint="eastAsia"/>
          <w:color w:val="auto"/>
        </w:rPr>
        <w:t>，完善县、镇、村多级应急救援指挥系统，完善防控预警机制、信息传输机制及协调反应机制，提高防灾减灾救灾能力，提高重特大事故的抢险救援能力。坚持专群结合、群防群治，加强社会治安防控体系建设，常态化开展扫黑除恶专项斗争，突出十大重点领域专项整治，完善长效机制；全面开展“枫桥式派出所”创建工作，推进新时代公安派出所工作转型升级，加快智慧平安社区建设。健全公共卫生应急管理体系，加大公共卫生与防疫基础设施、运营体系、人才培养等方面投资，加强公共卫生防疫防控能力；严格</w:t>
      </w:r>
      <w:r>
        <w:rPr>
          <w:color w:val="auto"/>
        </w:rPr>
        <w:t>落实常态化疫情防控措施</w:t>
      </w:r>
      <w:r>
        <w:rPr>
          <w:rFonts w:hint="eastAsia"/>
          <w:color w:val="auto"/>
        </w:rPr>
        <w:t>“阜平加强版”，构建</w:t>
      </w:r>
      <w:r>
        <w:rPr>
          <w:color w:val="auto"/>
        </w:rPr>
        <w:t>疫情防控和经济社会发展中长期协调机制；</w:t>
      </w:r>
      <w:r>
        <w:rPr>
          <w:rFonts w:hint="eastAsia"/>
          <w:color w:val="auto"/>
        </w:rPr>
        <w:t>做好</w:t>
      </w:r>
      <w:r>
        <w:rPr>
          <w:color w:val="auto"/>
        </w:rPr>
        <w:t>防疫物资储备，紧盯重点部位场所，严格落实各级网格管控责任</w:t>
      </w:r>
      <w:r>
        <w:rPr>
          <w:rFonts w:hint="eastAsia"/>
          <w:color w:val="auto"/>
        </w:rPr>
        <w:t>；强化食品药品监管，覆盖</w:t>
      </w:r>
      <w:r>
        <w:rPr>
          <w:color w:val="auto"/>
        </w:rPr>
        <w:t>流通环节，</w:t>
      </w:r>
      <w:r>
        <w:rPr>
          <w:rFonts w:hint="eastAsia"/>
          <w:color w:val="auto"/>
        </w:rPr>
        <w:t>夯实</w:t>
      </w:r>
      <w:r>
        <w:rPr>
          <w:color w:val="auto"/>
        </w:rPr>
        <w:t>安全责任，</w:t>
      </w:r>
      <w:r>
        <w:rPr>
          <w:rFonts w:hint="eastAsia"/>
          <w:color w:val="auto"/>
        </w:rPr>
        <w:t>推进检验检测职业化和能力建设。</w:t>
      </w:r>
    </w:p>
    <w:p>
      <w:pPr>
        <w:pStyle w:val="4"/>
        <w:numPr>
          <w:ilvl w:val="0"/>
          <w:numId w:val="0"/>
        </w:numPr>
        <w:ind w:left="643"/>
        <w:rPr>
          <w:color w:val="auto"/>
        </w:rPr>
      </w:pPr>
      <w:r>
        <w:rPr>
          <w:rFonts w:hint="eastAsia"/>
          <w:color w:val="auto"/>
        </w:rPr>
        <w:t>五</w:t>
      </w:r>
      <w:r>
        <w:rPr>
          <w:color w:val="auto"/>
        </w:rPr>
        <w:t>、</w:t>
      </w:r>
      <w:r>
        <w:rPr>
          <w:rFonts w:hint="eastAsia"/>
          <w:color w:val="auto"/>
        </w:rPr>
        <w:t>完善应急管理长效投入机制</w:t>
      </w:r>
    </w:p>
    <w:p>
      <w:pPr>
        <w:ind w:firstLine="562"/>
        <w:rPr>
          <w:color w:val="auto"/>
        </w:rPr>
      </w:pPr>
      <w:r>
        <w:rPr>
          <w:rFonts w:hint="eastAsia"/>
          <w:b/>
          <w:color w:val="auto"/>
        </w:rPr>
        <w:t>建立安全生产多元投入机制</w:t>
      </w:r>
      <w:r>
        <w:rPr>
          <w:rFonts w:hint="eastAsia"/>
          <w:color w:val="auto"/>
        </w:rPr>
        <w:t>。把政府调控与市场机制相结合、法规约束与政策激励相结合，拓宽安全投入渠道，建立完善“政府引导、市场推进”的安全生产资金投入机制。建立健全涉及公众安全的特种设备第三者强制责任保险制度。完善信贷政策，鼓励银行对安全生产基础设施和技术改造项目给予贷款支持。制定应急救援有偿和保险经济政策。鼓励和引导民间资本，参与安全生产先进适用技术研发推广、应急救援、信息化建设和安全装备融资租赁。</w:t>
      </w:r>
    </w:p>
    <w:p>
      <w:pPr>
        <w:ind w:firstLine="562"/>
        <w:rPr>
          <w:color w:val="auto"/>
        </w:rPr>
      </w:pPr>
      <w:r>
        <w:rPr>
          <w:rFonts w:hint="eastAsia"/>
          <w:b/>
          <w:color w:val="auto"/>
        </w:rPr>
        <w:t>加大政府安全生产投入力度</w:t>
      </w:r>
      <w:r>
        <w:rPr>
          <w:rFonts w:hint="eastAsia"/>
          <w:color w:val="auto"/>
        </w:rPr>
        <w:t>。完善安全生产专项资金制度，把安全生产纳入民生工程，增加财政的引导性投入，重点保障安全监管执法设施、装备和经费到位。采取本级财政主导负责、上级财政支持引导的办法，优先支持列入应急管理“十四五”规划的重大工程项目。</w:t>
      </w:r>
    </w:p>
    <w:tbl>
      <w:tblPr>
        <w:tblStyle w:val="23"/>
        <w:tblpPr w:leftFromText="180" w:rightFromText="180" w:vertAnchor="text" w:horzAnchor="margin" w:tblpXSpec="center" w:tblpY="18"/>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0"/>
              <w:jc w:val="center"/>
              <w:rPr>
                <w:rFonts w:ascii="黑体" w:hAnsi="黑体" w:eastAsia="黑体"/>
                <w:color w:val="auto"/>
                <w:sz w:val="24"/>
                <w:szCs w:val="28"/>
              </w:rPr>
            </w:pPr>
            <w:r>
              <w:rPr>
                <w:rFonts w:hint="eastAsia" w:ascii="黑体" w:hAnsi="黑体" w:eastAsia="黑体"/>
                <w:color w:val="auto"/>
                <w:sz w:val="24"/>
                <w:szCs w:val="28"/>
              </w:rPr>
              <w:t>专栏</w:t>
            </w:r>
            <w:r>
              <w:rPr>
                <w:rFonts w:ascii="黑体" w:hAnsi="黑体" w:eastAsia="黑体"/>
                <w:color w:val="auto"/>
                <w:sz w:val="24"/>
                <w:szCs w:val="28"/>
              </w:rPr>
              <w:t>9</w:t>
            </w:r>
            <w:r>
              <w:rPr>
                <w:rFonts w:hint="eastAsia" w:ascii="黑体" w:hAnsi="黑体" w:eastAsia="黑体"/>
                <w:color w:val="auto"/>
                <w:sz w:val="24"/>
                <w:szCs w:val="28"/>
              </w:rPr>
              <w:t>-</w:t>
            </w:r>
            <w:r>
              <w:rPr>
                <w:rFonts w:ascii="黑体" w:hAnsi="黑体" w:eastAsia="黑体"/>
                <w:color w:val="auto"/>
                <w:sz w:val="24"/>
                <w:szCs w:val="28"/>
              </w:rPr>
              <w:t xml:space="preserve">1 </w:t>
            </w:r>
            <w:r>
              <w:rPr>
                <w:rFonts w:hint="eastAsia" w:ascii="黑体" w:hAnsi="黑体" w:eastAsia="黑体"/>
                <w:color w:val="auto"/>
                <w:sz w:val="24"/>
                <w:szCs w:val="28"/>
              </w:rPr>
              <w:t>综合</w:t>
            </w:r>
            <w:r>
              <w:rPr>
                <w:rFonts w:ascii="黑体" w:hAnsi="黑体" w:eastAsia="黑体"/>
                <w:color w:val="auto"/>
                <w:sz w:val="24"/>
                <w:szCs w:val="28"/>
              </w:rPr>
              <w:t>应急管理体系建设</w:t>
            </w:r>
            <w:r>
              <w:rPr>
                <w:rFonts w:hint="eastAsia" w:ascii="黑体" w:hAnsi="黑体" w:eastAsia="黑体"/>
                <w:color w:val="auto"/>
                <w:sz w:val="24"/>
                <w:szCs w:val="28"/>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8" w:type="dxa"/>
            <w:tcBorders>
              <w:top w:val="single" w:color="auto" w:sz="4" w:space="0"/>
              <w:left w:val="single" w:color="auto" w:sz="4" w:space="0"/>
              <w:bottom w:val="single" w:color="auto" w:sz="4" w:space="0"/>
              <w:right w:val="single" w:color="auto" w:sz="4" w:space="0"/>
            </w:tcBorders>
            <w:vAlign w:val="center"/>
          </w:tcPr>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1、物资储备库工程</w:t>
            </w:r>
            <w:r>
              <w:rPr>
                <w:rFonts w:hint="eastAsia" w:ascii="仿宋_GB2312" w:hAnsi="Times New Roman" w:eastAsia="仿宋_GB2312"/>
                <w:color w:val="auto"/>
                <w:sz w:val="24"/>
                <w:szCs w:val="28"/>
              </w:rPr>
              <w:t>。占地面积10亩、建筑面积600平方米。根据省、市要求，“十四五”期间需要储备满足全县启动三级响应的人数（5000人）需求的应急救灾物资，包括单帐篷500顶、棉帐篷120顶、棉被5000条、棉褥5000条、棉大衣5000件、折叠床600张、铁锹3000把、救生衣200件、救生包50个，总价值276.25万元，分五年完成。</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2、特勤消防站建设工程</w:t>
            </w:r>
            <w:r>
              <w:rPr>
                <w:rFonts w:hint="eastAsia" w:ascii="仿宋_GB2312" w:hAnsi="Times New Roman" w:eastAsia="仿宋_GB2312"/>
                <w:color w:val="auto"/>
                <w:sz w:val="24"/>
                <w:szCs w:val="28"/>
              </w:rPr>
              <w:t>。项目总建筑面积5035.38平方米，建设一座主体4层、局部5层的执勤楼，1座6层的训练塔，一座换热站及1座门卫室；同时进行室外训练场地、消防车道及停车场硬化，绿化，围墙及大门等配套工程的建设，预计消防站投资1500万元；征召消防队员60人，消防车辆装备投资300万元。估算总投资2100万元。</w:t>
            </w:r>
          </w:p>
          <w:p>
            <w:pPr>
              <w:adjustRightInd w:val="0"/>
              <w:snapToGrid w:val="0"/>
              <w:ind w:firstLine="482"/>
              <w:rPr>
                <w:rFonts w:ascii="仿宋_GB2312" w:hAnsi="Times New Roman" w:eastAsia="仿宋_GB2312"/>
                <w:color w:val="auto"/>
                <w:sz w:val="24"/>
                <w:szCs w:val="28"/>
              </w:rPr>
            </w:pPr>
            <w:r>
              <w:rPr>
                <w:rFonts w:hint="eastAsia" w:ascii="仿宋_GB2312" w:hAnsi="Times New Roman" w:eastAsia="仿宋_GB2312"/>
                <w:b/>
                <w:color w:val="auto"/>
                <w:sz w:val="24"/>
                <w:szCs w:val="28"/>
              </w:rPr>
              <w:t>3、应急平台建设工程</w:t>
            </w:r>
            <w:r>
              <w:rPr>
                <w:rFonts w:hint="eastAsia" w:ascii="仿宋_GB2312" w:hAnsi="Times New Roman" w:eastAsia="仿宋_GB2312"/>
                <w:color w:val="auto"/>
                <w:sz w:val="24"/>
                <w:szCs w:val="28"/>
              </w:rPr>
              <w:t>。估算投资500万元的应急管理局应急指挥中心，打造“一张图、两平台、多系统”，强化应急基础信息资源汇聚、现场信息获取、灾情研判等能力，着力提升辅助指挥决策能力，为构建统一指挥、专常兼备、反应灵敏、上下联动、平战结合的应急指挥体系提供支撑，最大限度预防和减少自然灾害、事故灾难及其造成的损害。</w:t>
            </w:r>
          </w:p>
          <w:p>
            <w:pPr>
              <w:adjustRightInd w:val="0"/>
              <w:snapToGrid w:val="0"/>
              <w:ind w:firstLine="482"/>
              <w:rPr>
                <w:rFonts w:ascii="仿宋_GB2312" w:eastAsia="仿宋_GB2312"/>
                <w:bCs/>
                <w:color w:val="auto"/>
                <w:sz w:val="24"/>
                <w:szCs w:val="28"/>
              </w:rPr>
            </w:pPr>
            <w:r>
              <w:rPr>
                <w:rFonts w:hint="eastAsia" w:ascii="仿宋_GB2312" w:hAnsi="Times New Roman" w:eastAsia="仿宋_GB2312"/>
                <w:b/>
                <w:color w:val="auto"/>
                <w:sz w:val="24"/>
                <w:szCs w:val="28"/>
              </w:rPr>
              <w:t>4、</w:t>
            </w:r>
            <w:r>
              <w:rPr>
                <w:rFonts w:ascii="仿宋_GB2312" w:hAnsi="Times New Roman" w:eastAsia="仿宋_GB2312"/>
                <w:b/>
                <w:color w:val="auto"/>
                <w:sz w:val="24"/>
                <w:szCs w:val="28"/>
              </w:rPr>
              <w:t>派出所布局建设工程</w:t>
            </w:r>
            <w:r>
              <w:rPr>
                <w:rFonts w:hint="eastAsia" w:ascii="仿宋_GB2312" w:hAnsi="Times New Roman" w:eastAsia="仿宋_GB2312"/>
                <w:color w:val="auto"/>
                <w:sz w:val="24"/>
                <w:szCs w:val="28"/>
              </w:rPr>
              <w:t>。</w:t>
            </w:r>
            <w:r>
              <w:rPr>
                <w:rFonts w:hint="eastAsia" w:ascii="仿宋_GB2312" w:eastAsia="仿宋_GB2312"/>
                <w:bCs/>
                <w:color w:val="auto"/>
                <w:sz w:val="24"/>
                <w:szCs w:val="28"/>
              </w:rPr>
              <w:t>加强以派出所为重点的基层基础工作，</w:t>
            </w:r>
            <w:r>
              <w:rPr>
                <w:rFonts w:ascii="仿宋_GB2312" w:eastAsia="仿宋_GB2312"/>
                <w:bCs/>
                <w:color w:val="auto"/>
                <w:sz w:val="24"/>
                <w:szCs w:val="28"/>
              </w:rPr>
              <w:t>助推</w:t>
            </w:r>
            <w:r>
              <w:rPr>
                <w:rFonts w:hint="eastAsia" w:ascii="仿宋_GB2312" w:eastAsia="仿宋_GB2312"/>
                <w:bCs/>
                <w:color w:val="auto"/>
                <w:sz w:val="24"/>
                <w:szCs w:val="28"/>
              </w:rPr>
              <w:t>“平安</w:t>
            </w:r>
            <w:r>
              <w:rPr>
                <w:rFonts w:ascii="仿宋_GB2312" w:eastAsia="仿宋_GB2312"/>
                <w:bCs/>
                <w:color w:val="auto"/>
                <w:sz w:val="24"/>
                <w:szCs w:val="28"/>
              </w:rPr>
              <w:t>阜平</w:t>
            </w:r>
            <w:r>
              <w:rPr>
                <w:rFonts w:hint="eastAsia" w:ascii="仿宋_GB2312" w:eastAsia="仿宋_GB2312"/>
                <w:bCs/>
                <w:color w:val="auto"/>
                <w:sz w:val="24"/>
                <w:szCs w:val="28"/>
              </w:rPr>
              <w:t>”科学化</w:t>
            </w:r>
            <w:r>
              <w:rPr>
                <w:rFonts w:ascii="仿宋_GB2312" w:eastAsia="仿宋_GB2312"/>
                <w:bCs/>
                <w:color w:val="auto"/>
                <w:sz w:val="24"/>
                <w:szCs w:val="28"/>
              </w:rPr>
              <w:t>、社会化、</w:t>
            </w:r>
            <w:r>
              <w:rPr>
                <w:rFonts w:hint="eastAsia" w:ascii="仿宋_GB2312" w:eastAsia="仿宋_GB2312"/>
                <w:bCs/>
                <w:color w:val="auto"/>
                <w:sz w:val="24"/>
                <w:szCs w:val="28"/>
              </w:rPr>
              <w:t>法治化</w:t>
            </w:r>
            <w:r>
              <w:rPr>
                <w:rFonts w:ascii="仿宋_GB2312" w:eastAsia="仿宋_GB2312"/>
                <w:bCs/>
                <w:color w:val="auto"/>
                <w:sz w:val="24"/>
                <w:szCs w:val="28"/>
              </w:rPr>
              <w:t>建设</w:t>
            </w:r>
            <w:r>
              <w:rPr>
                <w:rFonts w:hint="eastAsia" w:ascii="仿宋_GB2312" w:eastAsia="仿宋_GB2312"/>
                <w:bCs/>
                <w:color w:val="auto"/>
                <w:sz w:val="24"/>
                <w:szCs w:val="28"/>
              </w:rPr>
              <w:t>，</w:t>
            </w:r>
            <w:r>
              <w:rPr>
                <w:rFonts w:ascii="仿宋_GB2312" w:eastAsia="仿宋_GB2312"/>
                <w:bCs/>
                <w:color w:val="auto"/>
                <w:sz w:val="24"/>
                <w:szCs w:val="28"/>
              </w:rPr>
              <w:t>重点</w:t>
            </w:r>
            <w:r>
              <w:rPr>
                <w:rFonts w:hint="eastAsia" w:ascii="仿宋_GB2312" w:eastAsia="仿宋_GB2312"/>
                <w:bCs/>
                <w:color w:val="auto"/>
                <w:sz w:val="24"/>
                <w:szCs w:val="28"/>
              </w:rPr>
              <w:t>针对12个</w:t>
            </w:r>
            <w:r>
              <w:rPr>
                <w:rFonts w:ascii="仿宋_GB2312" w:eastAsia="仿宋_GB2312"/>
                <w:bCs/>
                <w:color w:val="auto"/>
                <w:sz w:val="24"/>
                <w:szCs w:val="28"/>
              </w:rPr>
              <w:t>镇（</w:t>
            </w:r>
            <w:r>
              <w:rPr>
                <w:rFonts w:hint="eastAsia" w:ascii="仿宋_GB2312" w:eastAsia="仿宋_GB2312"/>
                <w:bCs/>
                <w:color w:val="auto"/>
                <w:sz w:val="24"/>
                <w:szCs w:val="28"/>
              </w:rPr>
              <w:t>乡</w:t>
            </w:r>
            <w:r>
              <w:rPr>
                <w:rFonts w:ascii="仿宋_GB2312" w:eastAsia="仿宋_GB2312"/>
                <w:bCs/>
                <w:color w:val="auto"/>
                <w:sz w:val="24"/>
                <w:szCs w:val="28"/>
              </w:rPr>
              <w:t>）</w:t>
            </w:r>
            <w:r>
              <w:rPr>
                <w:rFonts w:hint="eastAsia" w:ascii="仿宋_GB2312" w:eastAsia="仿宋_GB2312"/>
                <w:bCs/>
                <w:color w:val="auto"/>
                <w:sz w:val="24"/>
                <w:szCs w:val="28"/>
              </w:rPr>
              <w:t>的基层</w:t>
            </w:r>
            <w:r>
              <w:rPr>
                <w:rFonts w:ascii="仿宋_GB2312" w:eastAsia="仿宋_GB2312"/>
                <w:bCs/>
                <w:color w:val="auto"/>
                <w:sz w:val="24"/>
                <w:szCs w:val="28"/>
              </w:rPr>
              <w:t>派出所实施补缺建设工程，完善派出所覆盖网络，项目估算总投资</w:t>
            </w:r>
            <w:r>
              <w:rPr>
                <w:rFonts w:hint="eastAsia" w:ascii="仿宋_GB2312" w:eastAsia="仿宋_GB2312"/>
                <w:bCs/>
                <w:color w:val="auto"/>
                <w:sz w:val="24"/>
                <w:szCs w:val="28"/>
              </w:rPr>
              <w:t>3152万元</w:t>
            </w:r>
            <w:r>
              <w:rPr>
                <w:rFonts w:ascii="仿宋_GB2312" w:eastAsia="仿宋_GB2312"/>
                <w:bCs/>
                <w:color w:val="auto"/>
                <w:sz w:val="24"/>
                <w:szCs w:val="28"/>
              </w:rPr>
              <w:t>。</w:t>
            </w:r>
          </w:p>
        </w:tc>
      </w:tr>
    </w:tbl>
    <w:p>
      <w:pPr>
        <w:ind w:firstLine="560"/>
        <w:rPr>
          <w:color w:val="auto"/>
        </w:rPr>
      </w:pPr>
    </w:p>
    <w:p>
      <w:pPr>
        <w:ind w:firstLine="560"/>
        <w:rPr>
          <w:color w:val="auto"/>
        </w:rPr>
      </w:pPr>
    </w:p>
    <w:p>
      <w:pPr>
        <w:pStyle w:val="2"/>
        <w:spacing w:line="240" w:lineRule="auto"/>
        <w:jc w:val="center"/>
        <w:rPr>
          <w:color w:val="auto"/>
        </w:rPr>
      </w:pPr>
      <w:bookmarkStart w:id="40" w:name="_Toc62244293"/>
      <w:r>
        <w:rPr>
          <w:rFonts w:hint="eastAsia"/>
          <w:color w:val="auto"/>
        </w:rPr>
        <w:t>第十章  强化规划实施保障</w:t>
      </w:r>
      <w:bookmarkEnd w:id="40"/>
    </w:p>
    <w:p>
      <w:pPr>
        <w:ind w:firstLine="560"/>
        <w:rPr>
          <w:color w:val="auto"/>
        </w:rPr>
      </w:pPr>
      <w:r>
        <w:rPr>
          <w:rFonts w:hint="eastAsia"/>
          <w:color w:val="auto"/>
        </w:rPr>
        <w:t>为</w:t>
      </w:r>
      <w:r>
        <w:rPr>
          <w:color w:val="auto"/>
        </w:rPr>
        <w:t>保障</w:t>
      </w:r>
      <w:r>
        <w:rPr>
          <w:rFonts w:hint="eastAsia"/>
          <w:color w:val="auto"/>
        </w:rPr>
        <w:t>阜平县“十四五”规划和2035年远景目标顺利</w:t>
      </w:r>
      <w:r>
        <w:rPr>
          <w:color w:val="auto"/>
        </w:rPr>
        <w:t>实现</w:t>
      </w:r>
      <w:r>
        <w:rPr>
          <w:rFonts w:hint="eastAsia"/>
          <w:color w:val="auto"/>
        </w:rPr>
        <w:t>，必须深入学习贯彻习近平新时代中国特色社会主义思想，坚持和加强党的全面领导，切实发挥规划对经济社会发展各项工作的指导作用。</w:t>
      </w:r>
    </w:p>
    <w:p>
      <w:pPr>
        <w:pStyle w:val="3"/>
        <w:spacing w:before="204"/>
        <w:ind w:firstLine="560" w:firstLineChars="200"/>
        <w:rPr>
          <w:color w:val="auto"/>
          <w:szCs w:val="30"/>
        </w:rPr>
      </w:pPr>
      <w:bookmarkStart w:id="41" w:name="_Toc62244294"/>
      <w:r>
        <w:rPr>
          <w:rFonts w:hint="eastAsia"/>
          <w:color w:val="auto"/>
          <w:szCs w:val="30"/>
        </w:rPr>
        <w:t>第一节  加强党的核心领导作用</w:t>
      </w:r>
      <w:bookmarkEnd w:id="41"/>
    </w:p>
    <w:p>
      <w:pPr>
        <w:ind w:firstLine="562"/>
        <w:rPr>
          <w:color w:val="auto"/>
        </w:rPr>
      </w:pPr>
      <w:r>
        <w:rPr>
          <w:rFonts w:hint="eastAsia"/>
          <w:b/>
          <w:color w:val="auto"/>
        </w:rPr>
        <w:t>强化党的核心领导地位</w:t>
      </w:r>
      <w:r>
        <w:rPr>
          <w:rFonts w:hint="eastAsia"/>
          <w:color w:val="auto"/>
        </w:rPr>
        <w:t>。坚决维护党中央权威和集中统一领导，坚持和完善党领导经济社会发展的体制机制，贯彻党把方向、谋大局、定政策、促改革的要求。发挥县委总揽全局、协调各方的领导</w:t>
      </w:r>
      <w:r>
        <w:rPr>
          <w:color w:val="auto"/>
        </w:rPr>
        <w:t>核心</w:t>
      </w:r>
      <w:r>
        <w:rPr>
          <w:rFonts w:hint="eastAsia"/>
          <w:color w:val="auto"/>
        </w:rPr>
        <w:t>作用，完善大统战工作格局，领导和支持人大、政府、政协依法履职，发挥</w:t>
      </w:r>
      <w:r>
        <w:rPr>
          <w:color w:val="auto"/>
        </w:rPr>
        <w:t>统一</w:t>
      </w:r>
      <w:r>
        <w:rPr>
          <w:rFonts w:hint="eastAsia"/>
          <w:color w:val="auto"/>
        </w:rPr>
        <w:t>战线</w:t>
      </w:r>
      <w:r>
        <w:rPr>
          <w:color w:val="auto"/>
        </w:rPr>
        <w:t>凝心聚力的优势和作用，</w:t>
      </w:r>
      <w:r>
        <w:rPr>
          <w:rFonts w:hint="eastAsia"/>
          <w:color w:val="auto"/>
        </w:rPr>
        <w:t>加强工会、共青团、妇联等群团组织建设，凝聚高质量发展力量，为阜平县“十四五”规划提供坚强保证。</w:t>
      </w:r>
    </w:p>
    <w:p>
      <w:pPr>
        <w:ind w:firstLine="562"/>
        <w:rPr>
          <w:color w:val="auto"/>
        </w:rPr>
      </w:pPr>
      <w:r>
        <w:rPr>
          <w:rFonts w:hint="eastAsia"/>
          <w:b/>
          <w:color w:val="auto"/>
        </w:rPr>
        <w:t>深化干部</w:t>
      </w:r>
      <w:r>
        <w:rPr>
          <w:b/>
          <w:color w:val="auto"/>
        </w:rPr>
        <w:t>人事制度改革</w:t>
      </w:r>
      <w:r>
        <w:rPr>
          <w:color w:val="auto"/>
        </w:rPr>
        <w:t>。</w:t>
      </w:r>
      <w:r>
        <w:rPr>
          <w:rFonts w:hint="eastAsia"/>
          <w:color w:val="auto"/>
        </w:rPr>
        <w:t>全面贯彻新时代党的组织路线，加强干部队伍建设，切实提高各级领导班子和干部贯彻新发展理念、构建新发展格局的能力水平。创新选育管用机制，强化实施“政治素质提升”“业务能力提升”“工作作风提升”三个提升工程，引导党员干部筑牢思想根基，强化党的创新理论武装，营造风清气正的政治生态；改进领导干部政绩考核评价和奖惩机制，健全尽职免责容错纠错机制，加强对敢担当善作为干部的激励保护，充分激发各级干部的积极性、主动性和创造性，为加快建设保定市西部中心城市保驾护航</w:t>
      </w:r>
      <w:r>
        <w:rPr>
          <w:color w:val="auto"/>
        </w:rPr>
        <w:t>。</w:t>
      </w:r>
    </w:p>
    <w:p>
      <w:pPr>
        <w:pStyle w:val="3"/>
        <w:spacing w:before="204"/>
        <w:ind w:firstLine="560" w:firstLineChars="200"/>
        <w:rPr>
          <w:color w:val="auto"/>
          <w:szCs w:val="30"/>
        </w:rPr>
      </w:pPr>
      <w:bookmarkStart w:id="42" w:name="_Toc62244295"/>
      <w:r>
        <w:rPr>
          <w:rFonts w:hint="eastAsia"/>
          <w:color w:val="auto"/>
          <w:szCs w:val="30"/>
        </w:rPr>
        <w:t>第二节  协调规范规划组织实施</w:t>
      </w:r>
      <w:bookmarkEnd w:id="42"/>
    </w:p>
    <w:p>
      <w:pPr>
        <w:ind w:firstLine="562"/>
        <w:rPr>
          <w:color w:val="auto"/>
        </w:rPr>
      </w:pPr>
      <w:r>
        <w:rPr>
          <w:rFonts w:hint="eastAsia"/>
          <w:b/>
          <w:color w:val="auto"/>
        </w:rPr>
        <w:t>加强规划衔接协调</w:t>
      </w:r>
      <w:r>
        <w:rPr>
          <w:rFonts w:hint="eastAsia"/>
          <w:color w:val="auto"/>
        </w:rPr>
        <w:t>。严格规划刚性约束机制，不断增强规划的导向和约束功能。处理好</w:t>
      </w:r>
      <w:r>
        <w:rPr>
          <w:color w:val="auto"/>
        </w:rPr>
        <w:t>规划纲要与专项规划、空间规划的关系，形成定位准确、</w:t>
      </w:r>
      <w:r>
        <w:rPr>
          <w:rFonts w:hint="eastAsia"/>
          <w:color w:val="auto"/>
        </w:rPr>
        <w:t>边界清晰</w:t>
      </w:r>
      <w:r>
        <w:rPr>
          <w:color w:val="auto"/>
        </w:rPr>
        <w:t>、功能</w:t>
      </w:r>
      <w:r>
        <w:rPr>
          <w:rFonts w:hint="eastAsia"/>
          <w:color w:val="auto"/>
        </w:rPr>
        <w:t>互补</w:t>
      </w:r>
      <w:r>
        <w:rPr>
          <w:color w:val="auto"/>
        </w:rPr>
        <w:t>、统一衔接的规划体系</w:t>
      </w:r>
      <w:r>
        <w:rPr>
          <w:rFonts w:hint="eastAsia"/>
          <w:color w:val="auto"/>
        </w:rPr>
        <w:t>。严格</w:t>
      </w:r>
      <w:r>
        <w:rPr>
          <w:color w:val="auto"/>
        </w:rPr>
        <w:t>执行清单管理制度，</w:t>
      </w:r>
      <w:r>
        <w:rPr>
          <w:rFonts w:hint="eastAsia"/>
          <w:color w:val="auto"/>
        </w:rPr>
        <w:t>建立健全规划目录清单、规划协调机制等管理制度，加强五年规划和各级各类规划在发展目标特别是约束性指标、总体布局、重大政策、重大工程等方面的衔接，做到各居其位、相互补位。</w:t>
      </w:r>
    </w:p>
    <w:p>
      <w:pPr>
        <w:ind w:firstLine="562"/>
        <w:rPr>
          <w:color w:val="auto"/>
        </w:rPr>
      </w:pPr>
      <w:r>
        <w:rPr>
          <w:rFonts w:hint="eastAsia"/>
          <w:b/>
          <w:color w:val="auto"/>
        </w:rPr>
        <w:t>创新</w:t>
      </w:r>
      <w:r>
        <w:rPr>
          <w:b/>
          <w:color w:val="auto"/>
        </w:rPr>
        <w:t>规划实施机制</w:t>
      </w:r>
      <w:r>
        <w:rPr>
          <w:color w:val="auto"/>
        </w:rPr>
        <w:t>。</w:t>
      </w:r>
      <w:r>
        <w:rPr>
          <w:rFonts w:hint="eastAsia"/>
          <w:color w:val="auto"/>
        </w:rPr>
        <w:t>制定完善</w:t>
      </w:r>
      <w:r>
        <w:rPr>
          <w:color w:val="auto"/>
        </w:rPr>
        <w:t>规划实施计划</w:t>
      </w:r>
      <w:r>
        <w:rPr>
          <w:rFonts w:hint="eastAsia"/>
          <w:color w:val="auto"/>
        </w:rPr>
        <w:t>体系和</w:t>
      </w:r>
      <w:r>
        <w:rPr>
          <w:color w:val="auto"/>
        </w:rPr>
        <w:t>工作行动方案</w:t>
      </w:r>
      <w:r>
        <w:rPr>
          <w:rFonts w:hint="eastAsia"/>
          <w:color w:val="auto"/>
        </w:rPr>
        <w:t>，明确规划实施主体及责任，建立</w:t>
      </w:r>
      <w:r>
        <w:rPr>
          <w:color w:val="auto"/>
        </w:rPr>
        <w:t>强化</w:t>
      </w:r>
      <w:r>
        <w:rPr>
          <w:rFonts w:hint="eastAsia"/>
          <w:color w:val="auto"/>
        </w:rPr>
        <w:t>分类实施机制，完善规划编制、实施、评估、修订调整的链条；制定</w:t>
      </w:r>
      <w:r>
        <w:rPr>
          <w:color w:val="auto"/>
        </w:rPr>
        <w:t>年度目标，完善考核制度和激励奖惩机制，提高约束力和权威性</w:t>
      </w:r>
      <w:r>
        <w:rPr>
          <w:rFonts w:hint="eastAsia"/>
          <w:color w:val="auto"/>
        </w:rPr>
        <w:t>。建立</w:t>
      </w:r>
      <w:r>
        <w:rPr>
          <w:color w:val="auto"/>
        </w:rPr>
        <w:t>分类指导实施机制，细化分解落实，</w:t>
      </w:r>
      <w:r>
        <w:rPr>
          <w:rFonts w:hint="eastAsia"/>
          <w:color w:val="auto"/>
        </w:rPr>
        <w:t>促进</w:t>
      </w:r>
      <w:r>
        <w:rPr>
          <w:color w:val="auto"/>
        </w:rPr>
        <w:t>部门政策协调</w:t>
      </w:r>
      <w:r>
        <w:rPr>
          <w:rFonts w:hint="eastAsia"/>
          <w:color w:val="auto"/>
        </w:rPr>
        <w:t>。</w:t>
      </w:r>
      <w:r>
        <w:rPr>
          <w:color w:val="auto"/>
        </w:rPr>
        <w:t>健</w:t>
      </w:r>
      <w:r>
        <w:rPr>
          <w:rFonts w:hint="eastAsia"/>
          <w:color w:val="auto"/>
        </w:rPr>
        <w:t>全</w:t>
      </w:r>
      <w:r>
        <w:rPr>
          <w:color w:val="auto"/>
        </w:rPr>
        <w:t>联动</w:t>
      </w:r>
      <w:r>
        <w:rPr>
          <w:rFonts w:hint="eastAsia"/>
          <w:color w:val="auto"/>
        </w:rPr>
        <w:t>工作</w:t>
      </w:r>
      <w:r>
        <w:rPr>
          <w:color w:val="auto"/>
        </w:rPr>
        <w:t>机制，</w:t>
      </w:r>
      <w:r>
        <w:rPr>
          <w:rFonts w:hint="eastAsia"/>
          <w:color w:val="auto"/>
        </w:rPr>
        <w:t>提高</w:t>
      </w:r>
      <w:r>
        <w:rPr>
          <w:color w:val="auto"/>
        </w:rPr>
        <w:t>联动效率，加强</w:t>
      </w:r>
      <w:r>
        <w:rPr>
          <w:rFonts w:hint="eastAsia"/>
          <w:color w:val="auto"/>
        </w:rPr>
        <w:t>县</w:t>
      </w:r>
      <w:r>
        <w:rPr>
          <w:color w:val="auto"/>
        </w:rPr>
        <w:t>、乡</w:t>
      </w:r>
      <w:r>
        <w:rPr>
          <w:rFonts w:hint="eastAsia"/>
          <w:color w:val="auto"/>
        </w:rPr>
        <w:t>（镇）</w:t>
      </w:r>
      <w:r>
        <w:rPr>
          <w:color w:val="auto"/>
        </w:rPr>
        <w:t>、村</w:t>
      </w:r>
      <w:r>
        <w:rPr>
          <w:rFonts w:hint="eastAsia"/>
          <w:color w:val="auto"/>
        </w:rPr>
        <w:t>和</w:t>
      </w:r>
      <w:r>
        <w:rPr>
          <w:color w:val="auto"/>
        </w:rPr>
        <w:t>部门各级各层联动推进</w:t>
      </w:r>
      <w:r>
        <w:rPr>
          <w:rFonts w:hint="eastAsia"/>
          <w:color w:val="auto"/>
        </w:rPr>
        <w:t>实施</w:t>
      </w:r>
      <w:r>
        <w:rPr>
          <w:color w:val="auto"/>
        </w:rPr>
        <w:t>力度</w:t>
      </w:r>
      <w:r>
        <w:rPr>
          <w:rFonts w:hint="eastAsia"/>
          <w:color w:val="auto"/>
        </w:rPr>
        <w:t>。</w:t>
      </w:r>
    </w:p>
    <w:p>
      <w:pPr>
        <w:pStyle w:val="3"/>
        <w:spacing w:before="204"/>
        <w:ind w:firstLine="560" w:firstLineChars="200"/>
        <w:rPr>
          <w:color w:val="auto"/>
          <w:szCs w:val="30"/>
        </w:rPr>
      </w:pPr>
      <w:bookmarkStart w:id="43" w:name="_Toc62244296"/>
      <w:r>
        <w:rPr>
          <w:rFonts w:hint="eastAsia"/>
          <w:color w:val="auto"/>
          <w:szCs w:val="30"/>
        </w:rPr>
        <w:t>第三节  构建强化规划保障体系</w:t>
      </w:r>
      <w:bookmarkEnd w:id="43"/>
    </w:p>
    <w:p>
      <w:pPr>
        <w:ind w:firstLine="562"/>
        <w:rPr>
          <w:color w:val="auto"/>
        </w:rPr>
      </w:pPr>
      <w:r>
        <w:rPr>
          <w:rFonts w:hint="eastAsia"/>
          <w:b/>
          <w:color w:val="auto"/>
        </w:rPr>
        <w:t>加强政策</w:t>
      </w:r>
      <w:r>
        <w:rPr>
          <w:b/>
          <w:color w:val="auto"/>
        </w:rPr>
        <w:t>保障</w:t>
      </w:r>
      <w:r>
        <w:rPr>
          <w:color w:val="auto"/>
        </w:rPr>
        <w:t>。</w:t>
      </w:r>
      <w:r>
        <w:rPr>
          <w:rFonts w:hint="eastAsia"/>
          <w:color w:val="auto"/>
        </w:rPr>
        <w:t>围绕全县发展的重点领域，加强政策储备、研究制定和协调落实。做好政策</w:t>
      </w:r>
      <w:r>
        <w:rPr>
          <w:color w:val="auto"/>
        </w:rPr>
        <w:t>动态调整和细化落实，</w:t>
      </w:r>
      <w:r>
        <w:rPr>
          <w:rFonts w:hint="eastAsia"/>
          <w:color w:val="auto"/>
        </w:rPr>
        <w:t>发挥</w:t>
      </w:r>
      <w:r>
        <w:rPr>
          <w:color w:val="auto"/>
        </w:rPr>
        <w:t>政策引导</w:t>
      </w:r>
      <w:r>
        <w:rPr>
          <w:rFonts w:hint="eastAsia"/>
          <w:color w:val="auto"/>
        </w:rPr>
        <w:t>指导</w:t>
      </w:r>
      <w:r>
        <w:rPr>
          <w:color w:val="auto"/>
        </w:rPr>
        <w:t>作用，</w:t>
      </w:r>
      <w:r>
        <w:rPr>
          <w:rFonts w:hint="eastAsia"/>
          <w:color w:val="auto"/>
        </w:rPr>
        <w:t>做到把握</w:t>
      </w:r>
      <w:r>
        <w:rPr>
          <w:color w:val="auto"/>
        </w:rPr>
        <w:t>关键点，</w:t>
      </w:r>
      <w:r>
        <w:rPr>
          <w:rFonts w:hint="eastAsia"/>
          <w:color w:val="auto"/>
        </w:rPr>
        <w:t>找准小切口</w:t>
      </w:r>
      <w:r>
        <w:rPr>
          <w:color w:val="auto"/>
        </w:rPr>
        <w:t>，</w:t>
      </w:r>
      <w:r>
        <w:rPr>
          <w:rFonts w:hint="eastAsia"/>
          <w:color w:val="auto"/>
        </w:rPr>
        <w:t>实施</w:t>
      </w:r>
      <w:r>
        <w:rPr>
          <w:color w:val="auto"/>
        </w:rPr>
        <w:t>硬举措，</w:t>
      </w:r>
      <w:r>
        <w:rPr>
          <w:rFonts w:hint="eastAsia"/>
          <w:color w:val="auto"/>
        </w:rPr>
        <w:t>做好</w:t>
      </w:r>
      <w:r>
        <w:rPr>
          <w:color w:val="auto"/>
        </w:rPr>
        <w:t>大文章</w:t>
      </w:r>
      <w:r>
        <w:rPr>
          <w:rFonts w:hint="eastAsia"/>
          <w:color w:val="auto"/>
        </w:rPr>
        <w:t>；积极争取国家、省、市各项支持</w:t>
      </w:r>
      <w:r>
        <w:rPr>
          <w:color w:val="auto"/>
        </w:rPr>
        <w:t>政策</w:t>
      </w:r>
      <w:r>
        <w:rPr>
          <w:rFonts w:hint="eastAsia"/>
          <w:color w:val="auto"/>
        </w:rPr>
        <w:t>和</w:t>
      </w:r>
      <w:r>
        <w:rPr>
          <w:color w:val="auto"/>
        </w:rPr>
        <w:t>试点</w:t>
      </w:r>
      <w:r>
        <w:rPr>
          <w:rFonts w:hint="eastAsia"/>
          <w:color w:val="auto"/>
        </w:rPr>
        <w:t>项目，发挥</w:t>
      </w:r>
      <w:r>
        <w:rPr>
          <w:color w:val="auto"/>
        </w:rPr>
        <w:t>契机作用</w:t>
      </w:r>
      <w:r>
        <w:rPr>
          <w:rFonts w:hint="eastAsia"/>
          <w:color w:val="auto"/>
        </w:rPr>
        <w:t>；完善</w:t>
      </w:r>
      <w:r>
        <w:rPr>
          <w:color w:val="auto"/>
        </w:rPr>
        <w:t>县级</w:t>
      </w:r>
      <w:r>
        <w:rPr>
          <w:rFonts w:hint="eastAsia"/>
          <w:color w:val="auto"/>
        </w:rPr>
        <w:t>创新发展</w:t>
      </w:r>
      <w:r>
        <w:rPr>
          <w:color w:val="auto"/>
        </w:rPr>
        <w:t>引导政策</w:t>
      </w:r>
      <w:r>
        <w:rPr>
          <w:rFonts w:hint="eastAsia"/>
          <w:color w:val="auto"/>
        </w:rPr>
        <w:t>和</w:t>
      </w:r>
      <w:r>
        <w:rPr>
          <w:color w:val="auto"/>
        </w:rPr>
        <w:t>配套措施</w:t>
      </w:r>
      <w:r>
        <w:rPr>
          <w:rFonts w:hint="eastAsia"/>
          <w:color w:val="auto"/>
        </w:rPr>
        <w:t>，深入推进财政、金融、土地等领域政策工具的有机组合，</w:t>
      </w:r>
      <w:r>
        <w:rPr>
          <w:color w:val="auto"/>
        </w:rPr>
        <w:t>建立动态调整机制</w:t>
      </w:r>
      <w:r>
        <w:rPr>
          <w:rFonts w:hint="eastAsia"/>
          <w:color w:val="auto"/>
        </w:rPr>
        <w:t>。</w:t>
      </w:r>
    </w:p>
    <w:p>
      <w:pPr>
        <w:ind w:firstLine="562"/>
        <w:rPr>
          <w:color w:val="auto"/>
        </w:rPr>
      </w:pPr>
      <w:r>
        <w:rPr>
          <w:rFonts w:hint="eastAsia"/>
          <w:b/>
          <w:color w:val="auto"/>
        </w:rPr>
        <w:t>加强财政</w:t>
      </w:r>
      <w:r>
        <w:rPr>
          <w:b/>
          <w:color w:val="auto"/>
        </w:rPr>
        <w:t>保障</w:t>
      </w:r>
      <w:r>
        <w:rPr>
          <w:color w:val="auto"/>
        </w:rPr>
        <w:t>。</w:t>
      </w:r>
      <w:r>
        <w:rPr>
          <w:rFonts w:hint="eastAsia"/>
          <w:color w:val="auto"/>
        </w:rPr>
        <w:t>争取</w:t>
      </w:r>
      <w:r>
        <w:rPr>
          <w:color w:val="auto"/>
        </w:rPr>
        <w:t>国家、省、</w:t>
      </w:r>
      <w:r>
        <w:rPr>
          <w:rFonts w:hint="eastAsia"/>
          <w:color w:val="auto"/>
        </w:rPr>
        <w:t>市</w:t>
      </w:r>
      <w:r>
        <w:rPr>
          <w:color w:val="auto"/>
        </w:rPr>
        <w:t>各级财政支持，做好县级财政配套</w:t>
      </w:r>
      <w:r>
        <w:rPr>
          <w:rFonts w:hint="eastAsia"/>
          <w:color w:val="auto"/>
        </w:rPr>
        <w:t>，</w:t>
      </w:r>
      <w:r>
        <w:rPr>
          <w:color w:val="auto"/>
        </w:rPr>
        <w:t>提高投入产出效率</w:t>
      </w:r>
      <w:r>
        <w:rPr>
          <w:rFonts w:hint="eastAsia"/>
          <w:color w:val="auto"/>
        </w:rPr>
        <w:t>。优化县财政预算和支出结构，加强</w:t>
      </w:r>
      <w:r>
        <w:rPr>
          <w:color w:val="auto"/>
        </w:rPr>
        <w:t>中期财政规划管理，</w:t>
      </w:r>
      <w:r>
        <w:rPr>
          <w:rFonts w:hint="eastAsia"/>
          <w:color w:val="auto"/>
        </w:rPr>
        <w:t>持续</w:t>
      </w:r>
      <w:r>
        <w:rPr>
          <w:color w:val="auto"/>
        </w:rPr>
        <w:t>做好项目库完善和更新，</w:t>
      </w:r>
      <w:r>
        <w:rPr>
          <w:rFonts w:hint="eastAsia"/>
          <w:color w:val="auto"/>
        </w:rPr>
        <w:t>提高</w:t>
      </w:r>
      <w:r>
        <w:rPr>
          <w:color w:val="auto"/>
        </w:rPr>
        <w:t>财政可持续性；</w:t>
      </w:r>
      <w:r>
        <w:rPr>
          <w:rFonts w:hint="eastAsia"/>
          <w:color w:val="auto"/>
        </w:rPr>
        <w:t>优先安排涉及生态环境</w:t>
      </w:r>
      <w:r>
        <w:rPr>
          <w:color w:val="auto"/>
        </w:rPr>
        <w:t>、</w:t>
      </w:r>
      <w:r>
        <w:rPr>
          <w:rFonts w:hint="eastAsia"/>
          <w:color w:val="auto"/>
        </w:rPr>
        <w:t>民生保障、公共服务、基础设施、产业载体等领域的投入，集中有限财力保证重大项目。</w:t>
      </w:r>
      <w:r>
        <w:rPr>
          <w:color w:val="auto"/>
        </w:rPr>
        <w:t>发挥</w:t>
      </w:r>
      <w:r>
        <w:rPr>
          <w:rFonts w:hint="eastAsia"/>
          <w:color w:val="auto"/>
        </w:rPr>
        <w:t>财政最大</w:t>
      </w:r>
      <w:r>
        <w:rPr>
          <w:color w:val="auto"/>
        </w:rPr>
        <w:t>撬动作用，</w:t>
      </w:r>
      <w:r>
        <w:rPr>
          <w:rFonts w:hint="eastAsia"/>
          <w:color w:val="auto"/>
        </w:rPr>
        <w:t>强化</w:t>
      </w:r>
      <w:r>
        <w:rPr>
          <w:color w:val="auto"/>
        </w:rPr>
        <w:t>投融资平台</w:t>
      </w:r>
      <w:r>
        <w:rPr>
          <w:rFonts w:hint="eastAsia"/>
          <w:color w:val="auto"/>
        </w:rPr>
        <w:t>资本</w:t>
      </w:r>
      <w:r>
        <w:rPr>
          <w:color w:val="auto"/>
        </w:rPr>
        <w:t>运作能力，加快市场化</w:t>
      </w:r>
      <w:r>
        <w:rPr>
          <w:rFonts w:hint="eastAsia"/>
          <w:color w:val="auto"/>
        </w:rPr>
        <w:t>转型</w:t>
      </w:r>
      <w:r>
        <w:rPr>
          <w:color w:val="auto"/>
        </w:rPr>
        <w:t>，从基础设施服务为主</w:t>
      </w:r>
      <w:r>
        <w:rPr>
          <w:rFonts w:hint="eastAsia"/>
          <w:color w:val="auto"/>
        </w:rPr>
        <w:t>逐步</w:t>
      </w:r>
      <w:r>
        <w:rPr>
          <w:color w:val="auto"/>
        </w:rPr>
        <w:t>转向城市运营服务</w:t>
      </w:r>
      <w:r>
        <w:rPr>
          <w:rFonts w:hint="eastAsia"/>
          <w:color w:val="auto"/>
        </w:rPr>
        <w:t>；放宽</w:t>
      </w:r>
      <w:r>
        <w:rPr>
          <w:color w:val="auto"/>
        </w:rPr>
        <w:t>社会资本</w:t>
      </w:r>
      <w:r>
        <w:rPr>
          <w:rFonts w:hint="eastAsia"/>
          <w:color w:val="auto"/>
        </w:rPr>
        <w:t>进入</w:t>
      </w:r>
      <w:r>
        <w:rPr>
          <w:color w:val="auto"/>
        </w:rPr>
        <w:t>门槛，</w:t>
      </w:r>
      <w:r>
        <w:rPr>
          <w:rFonts w:hint="eastAsia"/>
          <w:color w:val="auto"/>
        </w:rPr>
        <w:t>鼓励</w:t>
      </w:r>
      <w:r>
        <w:rPr>
          <w:color w:val="auto"/>
        </w:rPr>
        <w:t>投向规划重点领域，激发</w:t>
      </w:r>
      <w:r>
        <w:rPr>
          <w:rFonts w:hint="eastAsia"/>
          <w:color w:val="auto"/>
        </w:rPr>
        <w:t>内部</w:t>
      </w:r>
      <w:r>
        <w:rPr>
          <w:color w:val="auto"/>
        </w:rPr>
        <w:t>发展和增长能力，</w:t>
      </w:r>
      <w:r>
        <w:rPr>
          <w:rFonts w:hint="eastAsia"/>
          <w:color w:val="auto"/>
        </w:rPr>
        <w:t>引导</w:t>
      </w:r>
      <w:r>
        <w:rPr>
          <w:color w:val="auto"/>
        </w:rPr>
        <w:t>形成</w:t>
      </w:r>
      <w:r>
        <w:rPr>
          <w:rFonts w:hint="eastAsia"/>
          <w:color w:val="auto"/>
        </w:rPr>
        <w:t>长效</w:t>
      </w:r>
      <w:r>
        <w:rPr>
          <w:color w:val="auto"/>
        </w:rPr>
        <w:t>投入机制。</w:t>
      </w:r>
    </w:p>
    <w:p>
      <w:pPr>
        <w:ind w:firstLine="562"/>
        <w:rPr>
          <w:color w:val="auto"/>
        </w:rPr>
      </w:pPr>
      <w:r>
        <w:rPr>
          <w:rFonts w:hint="eastAsia"/>
          <w:b/>
          <w:color w:val="auto"/>
        </w:rPr>
        <w:t>加强项目保障</w:t>
      </w:r>
      <w:r>
        <w:rPr>
          <w:color w:val="auto"/>
        </w:rPr>
        <w:t>。</w:t>
      </w:r>
      <w:r>
        <w:rPr>
          <w:rFonts w:hint="eastAsia"/>
          <w:color w:val="auto"/>
        </w:rPr>
        <w:t>围绕</w:t>
      </w:r>
      <w:r>
        <w:rPr>
          <w:color w:val="auto"/>
        </w:rPr>
        <w:t>重点</w:t>
      </w:r>
      <w:r>
        <w:rPr>
          <w:rFonts w:hint="eastAsia"/>
          <w:color w:val="auto"/>
        </w:rPr>
        <w:t>带动</w:t>
      </w:r>
      <w:r>
        <w:rPr>
          <w:color w:val="auto"/>
        </w:rPr>
        <w:t>产业和特色提升产业，</w:t>
      </w:r>
      <w:r>
        <w:rPr>
          <w:rFonts w:hint="eastAsia"/>
          <w:color w:val="auto"/>
        </w:rPr>
        <w:t>做好精准</w:t>
      </w:r>
      <w:r>
        <w:rPr>
          <w:color w:val="auto"/>
        </w:rPr>
        <w:t>招商和配套招商，</w:t>
      </w:r>
      <w:r>
        <w:rPr>
          <w:rFonts w:hint="eastAsia"/>
          <w:color w:val="auto"/>
        </w:rPr>
        <w:t>积极</w:t>
      </w:r>
      <w:r>
        <w:rPr>
          <w:color w:val="auto"/>
        </w:rPr>
        <w:t>对接国家、省</w:t>
      </w:r>
      <w:r>
        <w:rPr>
          <w:rFonts w:hint="eastAsia"/>
          <w:color w:val="auto"/>
        </w:rPr>
        <w:t>、</w:t>
      </w:r>
      <w:r>
        <w:rPr>
          <w:color w:val="auto"/>
        </w:rPr>
        <w:t>市重大政策和工程项目，</w:t>
      </w:r>
      <w:r>
        <w:rPr>
          <w:rFonts w:hint="eastAsia"/>
          <w:color w:val="auto"/>
        </w:rPr>
        <w:t>提</w:t>
      </w:r>
      <w:r>
        <w:rPr>
          <w:color w:val="auto"/>
        </w:rPr>
        <w:t>早谋划</w:t>
      </w:r>
      <w:r>
        <w:rPr>
          <w:rFonts w:hint="eastAsia"/>
          <w:color w:val="auto"/>
        </w:rPr>
        <w:t>、</w:t>
      </w:r>
      <w:r>
        <w:rPr>
          <w:color w:val="auto"/>
        </w:rPr>
        <w:t>跟踪落实</w:t>
      </w:r>
      <w:r>
        <w:rPr>
          <w:rFonts w:hint="eastAsia"/>
          <w:color w:val="auto"/>
        </w:rPr>
        <w:t>，争取</w:t>
      </w:r>
      <w:r>
        <w:rPr>
          <w:color w:val="auto"/>
        </w:rPr>
        <w:t>一批</w:t>
      </w:r>
      <w:r>
        <w:rPr>
          <w:rFonts w:hint="eastAsia"/>
          <w:color w:val="auto"/>
        </w:rPr>
        <w:t>“链式企业”落地</w:t>
      </w:r>
      <w:r>
        <w:rPr>
          <w:color w:val="auto"/>
        </w:rPr>
        <w:t>阜平。</w:t>
      </w:r>
      <w:r>
        <w:rPr>
          <w:rFonts w:hint="eastAsia"/>
          <w:color w:val="auto"/>
        </w:rPr>
        <w:t>继续</w:t>
      </w:r>
      <w:r>
        <w:rPr>
          <w:color w:val="auto"/>
        </w:rPr>
        <w:t>优化</w:t>
      </w:r>
      <w:r>
        <w:rPr>
          <w:rFonts w:hint="eastAsia"/>
          <w:color w:val="auto"/>
        </w:rPr>
        <w:t>营商环境，深入</w:t>
      </w:r>
      <w:r>
        <w:rPr>
          <w:color w:val="auto"/>
        </w:rPr>
        <w:t>开展</w:t>
      </w:r>
      <w:r>
        <w:rPr>
          <w:rFonts w:hint="eastAsia"/>
          <w:color w:val="auto"/>
        </w:rPr>
        <w:t>“三重四创五优化”活动</w:t>
      </w:r>
      <w:r>
        <w:rPr>
          <w:color w:val="auto"/>
        </w:rPr>
        <w:t>，</w:t>
      </w:r>
      <w:r>
        <w:rPr>
          <w:rFonts w:hint="eastAsia"/>
          <w:color w:val="auto"/>
        </w:rPr>
        <w:t>盯项目</w:t>
      </w:r>
      <w:r>
        <w:rPr>
          <w:color w:val="auto"/>
        </w:rPr>
        <w:t>、优平台、抓招商、精服务，</w:t>
      </w:r>
      <w:r>
        <w:rPr>
          <w:rFonts w:hint="eastAsia"/>
          <w:color w:val="auto"/>
        </w:rPr>
        <w:t>紧盯落地达效</w:t>
      </w:r>
      <w:r>
        <w:rPr>
          <w:color w:val="auto"/>
        </w:rPr>
        <w:t>，提升</w:t>
      </w:r>
      <w:r>
        <w:rPr>
          <w:rFonts w:hint="eastAsia"/>
          <w:color w:val="auto"/>
        </w:rPr>
        <w:t>支持</w:t>
      </w:r>
      <w:r>
        <w:rPr>
          <w:color w:val="auto"/>
        </w:rPr>
        <w:t>和服务项目</w:t>
      </w:r>
      <w:r>
        <w:rPr>
          <w:rFonts w:hint="eastAsia"/>
          <w:color w:val="auto"/>
        </w:rPr>
        <w:t>、</w:t>
      </w:r>
      <w:r>
        <w:rPr>
          <w:color w:val="auto"/>
        </w:rPr>
        <w:t>企业</w:t>
      </w:r>
      <w:r>
        <w:rPr>
          <w:rFonts w:hint="eastAsia"/>
          <w:color w:val="auto"/>
        </w:rPr>
        <w:t>的</w:t>
      </w:r>
      <w:r>
        <w:rPr>
          <w:color w:val="auto"/>
        </w:rPr>
        <w:t>实际能力，</w:t>
      </w:r>
      <w:r>
        <w:rPr>
          <w:rFonts w:hint="eastAsia"/>
          <w:color w:val="auto"/>
        </w:rPr>
        <w:t>切实</w:t>
      </w:r>
      <w:r>
        <w:rPr>
          <w:color w:val="auto"/>
        </w:rPr>
        <w:t>保障</w:t>
      </w:r>
      <w:r>
        <w:rPr>
          <w:rFonts w:hint="eastAsia"/>
          <w:color w:val="auto"/>
        </w:rPr>
        <w:t>重大</w:t>
      </w:r>
      <w:r>
        <w:rPr>
          <w:color w:val="auto"/>
        </w:rPr>
        <w:t>项目谋划</w:t>
      </w:r>
      <w:r>
        <w:rPr>
          <w:rFonts w:hint="eastAsia"/>
          <w:color w:val="auto"/>
        </w:rPr>
        <w:t>和</w:t>
      </w:r>
      <w:r>
        <w:rPr>
          <w:color w:val="auto"/>
        </w:rPr>
        <w:t>落地</w:t>
      </w:r>
      <w:r>
        <w:rPr>
          <w:rFonts w:hint="eastAsia"/>
          <w:color w:val="auto"/>
        </w:rPr>
        <w:t>实施</w:t>
      </w:r>
      <w:r>
        <w:rPr>
          <w:color w:val="auto"/>
        </w:rPr>
        <w:t>。</w:t>
      </w:r>
    </w:p>
    <w:p>
      <w:pPr>
        <w:pStyle w:val="3"/>
        <w:spacing w:before="204"/>
        <w:ind w:firstLine="560" w:firstLineChars="200"/>
        <w:rPr>
          <w:color w:val="auto"/>
          <w:szCs w:val="30"/>
        </w:rPr>
      </w:pPr>
      <w:bookmarkStart w:id="44" w:name="_Toc62244297"/>
      <w:r>
        <w:rPr>
          <w:rFonts w:hint="eastAsia"/>
          <w:color w:val="auto"/>
          <w:szCs w:val="30"/>
        </w:rPr>
        <w:t>第四节  加强规划动态监测评估</w:t>
      </w:r>
      <w:bookmarkEnd w:id="44"/>
    </w:p>
    <w:p>
      <w:pPr>
        <w:ind w:firstLine="562"/>
        <w:rPr>
          <w:color w:val="auto"/>
        </w:rPr>
      </w:pPr>
      <w:r>
        <w:rPr>
          <w:rFonts w:hint="eastAsia"/>
          <w:b/>
          <w:color w:val="auto"/>
        </w:rPr>
        <w:t>严格</w:t>
      </w:r>
      <w:r>
        <w:rPr>
          <w:b/>
          <w:color w:val="auto"/>
        </w:rPr>
        <w:t>落实规划</w:t>
      </w:r>
      <w:r>
        <w:rPr>
          <w:rFonts w:hint="eastAsia"/>
          <w:b/>
          <w:color w:val="auto"/>
        </w:rPr>
        <w:t>监督考评制度</w:t>
      </w:r>
      <w:r>
        <w:rPr>
          <w:color w:val="auto"/>
        </w:rPr>
        <w:t>。</w:t>
      </w:r>
      <w:r>
        <w:rPr>
          <w:rFonts w:hint="eastAsia"/>
          <w:color w:val="auto"/>
        </w:rPr>
        <w:t>把完善权力运行和监督制约机制作为实施规划的基础性建设，构建全覆盖的责任制度和监督制度。健全规划实施</w:t>
      </w:r>
      <w:r>
        <w:rPr>
          <w:color w:val="auto"/>
        </w:rPr>
        <w:t>监督体系，形成常态长效监督合力</w:t>
      </w:r>
      <w:r>
        <w:rPr>
          <w:rFonts w:hint="eastAsia"/>
          <w:color w:val="auto"/>
        </w:rPr>
        <w:t>；深化</w:t>
      </w:r>
      <w:r>
        <w:rPr>
          <w:color w:val="auto"/>
        </w:rPr>
        <w:t>重点工作大督查，</w:t>
      </w:r>
      <w:r>
        <w:rPr>
          <w:rFonts w:hint="eastAsia"/>
          <w:color w:val="auto"/>
        </w:rPr>
        <w:t>确保</w:t>
      </w:r>
      <w:r>
        <w:rPr>
          <w:color w:val="auto"/>
        </w:rPr>
        <w:t>规划部署有效落实</w:t>
      </w:r>
      <w:r>
        <w:rPr>
          <w:rFonts w:hint="eastAsia"/>
          <w:color w:val="auto"/>
        </w:rPr>
        <w:t>；</w:t>
      </w:r>
      <w:r>
        <w:rPr>
          <w:color w:val="auto"/>
        </w:rPr>
        <w:t>发挥基层监督作用，</w:t>
      </w:r>
      <w:r>
        <w:rPr>
          <w:rFonts w:hint="eastAsia"/>
          <w:color w:val="auto"/>
        </w:rPr>
        <w:t>开辟</w:t>
      </w:r>
      <w:r>
        <w:rPr>
          <w:color w:val="auto"/>
        </w:rPr>
        <w:t>群众参与渠道，推动监督落地。</w:t>
      </w:r>
      <w:r>
        <w:rPr>
          <w:rFonts w:hint="eastAsia"/>
          <w:color w:val="auto"/>
        </w:rPr>
        <w:t>构建</w:t>
      </w:r>
      <w:r>
        <w:rPr>
          <w:color w:val="auto"/>
        </w:rPr>
        <w:t>高质量发展</w:t>
      </w:r>
      <w:r>
        <w:rPr>
          <w:rFonts w:hint="eastAsia"/>
          <w:color w:val="auto"/>
        </w:rPr>
        <w:t>考评</w:t>
      </w:r>
      <w:r>
        <w:rPr>
          <w:color w:val="auto"/>
        </w:rPr>
        <w:t>体系，</w:t>
      </w:r>
      <w:r>
        <w:rPr>
          <w:rFonts w:hint="eastAsia"/>
          <w:color w:val="auto"/>
        </w:rPr>
        <w:t>健全规划的年度、中期评估制度，列入政府督查考核，建立发展规划绩效考核持续改进机制。</w:t>
      </w:r>
    </w:p>
    <w:p>
      <w:pPr>
        <w:ind w:firstLine="562"/>
        <w:rPr>
          <w:color w:val="auto"/>
        </w:rPr>
      </w:pPr>
      <w:r>
        <w:rPr>
          <w:rFonts w:hint="eastAsia"/>
          <w:b/>
          <w:color w:val="auto"/>
        </w:rPr>
        <w:t>建立动态评估监测长效机制</w:t>
      </w:r>
      <w:r>
        <w:rPr>
          <w:rFonts w:hint="eastAsia"/>
          <w:color w:val="auto"/>
        </w:rPr>
        <w:t>。建设综合信息管理平台，深入</w:t>
      </w:r>
      <w:r>
        <w:rPr>
          <w:color w:val="auto"/>
        </w:rPr>
        <w:t>开展规划中期评估</w:t>
      </w:r>
      <w:r>
        <w:rPr>
          <w:rFonts w:hint="eastAsia"/>
          <w:color w:val="auto"/>
        </w:rPr>
        <w:t>，</w:t>
      </w:r>
      <w:r>
        <w:rPr>
          <w:color w:val="auto"/>
        </w:rPr>
        <w:t>重点领域适时开展</w:t>
      </w:r>
      <w:r>
        <w:rPr>
          <w:rFonts w:hint="eastAsia"/>
          <w:color w:val="auto"/>
        </w:rPr>
        <w:t>专题</w:t>
      </w:r>
      <w:r>
        <w:rPr>
          <w:color w:val="auto"/>
        </w:rPr>
        <w:t>专项评估</w:t>
      </w:r>
      <w:r>
        <w:rPr>
          <w:rFonts w:hint="eastAsia"/>
          <w:color w:val="auto"/>
        </w:rPr>
        <w:t>；对接</w:t>
      </w:r>
      <w:r>
        <w:rPr>
          <w:color w:val="auto"/>
        </w:rPr>
        <w:t>考核需求，</w:t>
      </w:r>
      <w:r>
        <w:rPr>
          <w:rFonts w:hint="eastAsia"/>
          <w:color w:val="auto"/>
        </w:rPr>
        <w:t>加强</w:t>
      </w:r>
      <w:r>
        <w:rPr>
          <w:color w:val="auto"/>
        </w:rPr>
        <w:t>重点领域</w:t>
      </w:r>
      <w:r>
        <w:rPr>
          <w:rFonts w:hint="eastAsia"/>
          <w:color w:val="auto"/>
        </w:rPr>
        <w:t>和</w:t>
      </w:r>
      <w:r>
        <w:rPr>
          <w:color w:val="auto"/>
        </w:rPr>
        <w:t>重点任务的统计</w:t>
      </w:r>
      <w:r>
        <w:rPr>
          <w:rFonts w:hint="eastAsia"/>
          <w:color w:val="auto"/>
        </w:rPr>
        <w:t>工作；发挥</w:t>
      </w:r>
      <w:r>
        <w:rPr>
          <w:color w:val="auto"/>
        </w:rPr>
        <w:t>第三方参与作用，提高评估</w:t>
      </w:r>
      <w:bookmarkStart w:id="45" w:name="_GoBack"/>
      <w:bookmarkEnd w:id="45"/>
      <w:r>
        <w:rPr>
          <w:color w:val="auto"/>
        </w:rPr>
        <w:t>的客观性和针对性</w:t>
      </w:r>
      <w:r>
        <w:rPr>
          <w:rFonts w:hint="eastAsia"/>
          <w:color w:val="auto"/>
        </w:rPr>
        <w:t>。</w:t>
      </w:r>
    </w:p>
    <w:p>
      <w:pPr>
        <w:ind w:firstLine="562"/>
        <w:rPr>
          <w:color w:val="auto"/>
        </w:rPr>
      </w:pPr>
      <w:r>
        <w:rPr>
          <w:rFonts w:hint="eastAsia"/>
          <w:b/>
          <w:color w:val="auto"/>
        </w:rPr>
        <w:t>构建</w:t>
      </w:r>
      <w:r>
        <w:rPr>
          <w:b/>
          <w:color w:val="auto"/>
        </w:rPr>
        <w:t>完善多元参与评估机制</w:t>
      </w:r>
      <w:r>
        <w:rPr>
          <w:color w:val="auto"/>
        </w:rPr>
        <w:t>。</w:t>
      </w:r>
      <w:r>
        <w:rPr>
          <w:rFonts w:hint="eastAsia"/>
          <w:color w:val="auto"/>
        </w:rPr>
        <w:t>着眼</w:t>
      </w:r>
      <w:r>
        <w:rPr>
          <w:color w:val="auto"/>
        </w:rPr>
        <w:t>内鼓士气、外树形象，</w:t>
      </w:r>
      <w:r>
        <w:rPr>
          <w:rFonts w:hint="eastAsia"/>
          <w:color w:val="auto"/>
        </w:rPr>
        <w:t>拓宽媒体渠道，加强宣传引导，多做</w:t>
      </w:r>
      <w:r>
        <w:rPr>
          <w:color w:val="auto"/>
        </w:rPr>
        <w:t>解疑释惑、凝聚合力的工作</w:t>
      </w:r>
      <w:r>
        <w:rPr>
          <w:rFonts w:hint="eastAsia"/>
          <w:color w:val="auto"/>
        </w:rPr>
        <w:t>，激发</w:t>
      </w:r>
      <w:r>
        <w:rPr>
          <w:color w:val="auto"/>
        </w:rPr>
        <w:t>和调动积极因素。充分</w:t>
      </w:r>
      <w:r>
        <w:rPr>
          <w:rFonts w:hint="eastAsia"/>
          <w:color w:val="auto"/>
        </w:rPr>
        <w:t>运用</w:t>
      </w:r>
      <w:r>
        <w:rPr>
          <w:color w:val="auto"/>
        </w:rPr>
        <w:t>现代技术，</w:t>
      </w:r>
      <w:r>
        <w:rPr>
          <w:rFonts w:hint="eastAsia"/>
          <w:color w:val="auto"/>
        </w:rPr>
        <w:t>拓展多元</w:t>
      </w:r>
      <w:r>
        <w:rPr>
          <w:color w:val="auto"/>
        </w:rPr>
        <w:t>参与路径</w:t>
      </w:r>
      <w:r>
        <w:rPr>
          <w:rFonts w:hint="eastAsia"/>
          <w:color w:val="auto"/>
        </w:rPr>
        <w:t>，</w:t>
      </w:r>
      <w:r>
        <w:rPr>
          <w:color w:val="auto"/>
        </w:rPr>
        <w:t>广泛调动</w:t>
      </w:r>
      <w:r>
        <w:rPr>
          <w:rFonts w:hint="eastAsia"/>
          <w:color w:val="auto"/>
        </w:rPr>
        <w:t>社会</w:t>
      </w:r>
      <w:r>
        <w:rPr>
          <w:color w:val="auto"/>
        </w:rPr>
        <w:t>机构、领域专家、业界代表、社会公众</w:t>
      </w:r>
      <w:r>
        <w:rPr>
          <w:rFonts w:hint="eastAsia"/>
          <w:color w:val="auto"/>
        </w:rPr>
        <w:t>等，凝聚全社会共识和力量。</w:t>
      </w:r>
    </w:p>
    <w:sectPr>
      <w:headerReference r:id="rId7" w:type="first"/>
      <w:footerReference r:id="rId10" w:type="first"/>
      <w:headerReference r:id="rId5" w:type="default"/>
      <w:footerReference r:id="rId8" w:type="default"/>
      <w:headerReference r:id="rId6" w:type="even"/>
      <w:footerReference r:id="rId9" w:type="even"/>
      <w:endnotePr>
        <w:numFmt w:val="decimal"/>
      </w:endnotePr>
      <w:pgSz w:w="11906" w:h="16838"/>
      <w:pgMar w:top="1440" w:right="1800" w:bottom="1440" w:left="1800" w:header="851" w:footer="992" w:gutter="0"/>
      <w:pgNumType w:start="0"/>
      <w:cols w:space="425" w:num="1"/>
      <w:titlePg/>
      <w:docGrid w:type="lines" w:linePitch="40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panose1 w:val="02010601030101010101"/>
    <w:charset w:val="86"/>
    <w:family w:val="script"/>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panose1 w:val="02030600000101010101"/>
    <w:charset w:val="81"/>
    <w:family w:val="roman"/>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63031042"/>
    </w:sdtPr>
    <w:sdtContent>
      <w:p>
        <w:pPr>
          <w:pStyle w:val="13"/>
          <w:ind w:firstLine="360"/>
          <w:jc w:val="center"/>
        </w:pPr>
        <w:r>
          <w:fldChar w:fldCharType="begin"/>
        </w:r>
        <w:r>
          <w:instrText xml:space="preserve">PAGE   \* MERGEFORMAT</w:instrText>
        </w:r>
        <w:r>
          <w:fldChar w:fldCharType="separate"/>
        </w:r>
        <w:r>
          <w:rPr>
            <w:lang w:val="zh-CN"/>
          </w:rPr>
          <w:t>1</w:t>
        </w:r>
        <w:r>
          <w:rPr>
            <w:lang w:val="zh-CN"/>
          </w:rPr>
          <w:fldChar w:fldCharType="end"/>
        </w:r>
      </w:p>
    </w:sdtContent>
  </w:sdt>
  <w:p>
    <w:pPr>
      <w:pStyle w:val="13"/>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5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5C324A"/>
    <w:multiLevelType w:val="multilevel"/>
    <w:tmpl w:val="325C324A"/>
    <w:lvl w:ilvl="0" w:tentative="0">
      <w:start w:val="1"/>
      <w:numFmt w:val="chineseCountingThousand"/>
      <w:pStyle w:val="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50"/>
  <w:drawingGridVerticalSpacing w:val="204"/>
  <w:displayHorizontalDrawingGridEvery w:val="0"/>
  <w:displayVerticalDrawingGridEvery w:val="2"/>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C6E8F"/>
    <w:rsid w:val="00001627"/>
    <w:rsid w:val="00001953"/>
    <w:rsid w:val="0000198E"/>
    <w:rsid w:val="00001B77"/>
    <w:rsid w:val="00001CC6"/>
    <w:rsid w:val="00001E44"/>
    <w:rsid w:val="00001F38"/>
    <w:rsid w:val="00002D16"/>
    <w:rsid w:val="000048F4"/>
    <w:rsid w:val="00004FA2"/>
    <w:rsid w:val="000066F4"/>
    <w:rsid w:val="00006A8A"/>
    <w:rsid w:val="00006C27"/>
    <w:rsid w:val="00007425"/>
    <w:rsid w:val="000100BC"/>
    <w:rsid w:val="0001025E"/>
    <w:rsid w:val="000111BC"/>
    <w:rsid w:val="00011F37"/>
    <w:rsid w:val="00012AF0"/>
    <w:rsid w:val="00012C93"/>
    <w:rsid w:val="00012D65"/>
    <w:rsid w:val="000131AB"/>
    <w:rsid w:val="0001337C"/>
    <w:rsid w:val="000140B6"/>
    <w:rsid w:val="000140ED"/>
    <w:rsid w:val="000146D4"/>
    <w:rsid w:val="00015BF0"/>
    <w:rsid w:val="0001611F"/>
    <w:rsid w:val="00016139"/>
    <w:rsid w:val="00017E3C"/>
    <w:rsid w:val="00017F8C"/>
    <w:rsid w:val="0002073D"/>
    <w:rsid w:val="000217CC"/>
    <w:rsid w:val="00022565"/>
    <w:rsid w:val="00023010"/>
    <w:rsid w:val="00023C7E"/>
    <w:rsid w:val="000242D1"/>
    <w:rsid w:val="00024DBB"/>
    <w:rsid w:val="00024FD6"/>
    <w:rsid w:val="00025173"/>
    <w:rsid w:val="00026083"/>
    <w:rsid w:val="0002638E"/>
    <w:rsid w:val="000268B8"/>
    <w:rsid w:val="00026B6F"/>
    <w:rsid w:val="0002700E"/>
    <w:rsid w:val="00027395"/>
    <w:rsid w:val="0003008A"/>
    <w:rsid w:val="00030939"/>
    <w:rsid w:val="00030E7E"/>
    <w:rsid w:val="00031881"/>
    <w:rsid w:val="00032436"/>
    <w:rsid w:val="00033255"/>
    <w:rsid w:val="00033C50"/>
    <w:rsid w:val="000340B5"/>
    <w:rsid w:val="00034413"/>
    <w:rsid w:val="00035F5D"/>
    <w:rsid w:val="000364EA"/>
    <w:rsid w:val="00036DDA"/>
    <w:rsid w:val="00037D78"/>
    <w:rsid w:val="00040359"/>
    <w:rsid w:val="000407BD"/>
    <w:rsid w:val="000417B4"/>
    <w:rsid w:val="00041FFC"/>
    <w:rsid w:val="00042491"/>
    <w:rsid w:val="00042784"/>
    <w:rsid w:val="00044A5D"/>
    <w:rsid w:val="00044C31"/>
    <w:rsid w:val="00044F58"/>
    <w:rsid w:val="00045524"/>
    <w:rsid w:val="000458CA"/>
    <w:rsid w:val="000468B7"/>
    <w:rsid w:val="000470C6"/>
    <w:rsid w:val="000472E9"/>
    <w:rsid w:val="00050210"/>
    <w:rsid w:val="00051308"/>
    <w:rsid w:val="00051914"/>
    <w:rsid w:val="00051A3D"/>
    <w:rsid w:val="00052AD3"/>
    <w:rsid w:val="000536C9"/>
    <w:rsid w:val="00053D3C"/>
    <w:rsid w:val="00053FBB"/>
    <w:rsid w:val="000555E8"/>
    <w:rsid w:val="00055BDE"/>
    <w:rsid w:val="00055DEB"/>
    <w:rsid w:val="00055EBE"/>
    <w:rsid w:val="00057549"/>
    <w:rsid w:val="00057CC9"/>
    <w:rsid w:val="00060576"/>
    <w:rsid w:val="000606FE"/>
    <w:rsid w:val="0006151A"/>
    <w:rsid w:val="00062EDA"/>
    <w:rsid w:val="000635A3"/>
    <w:rsid w:val="00063AFC"/>
    <w:rsid w:val="00063AFF"/>
    <w:rsid w:val="00063BE2"/>
    <w:rsid w:val="00066341"/>
    <w:rsid w:val="000663D5"/>
    <w:rsid w:val="00066BAC"/>
    <w:rsid w:val="00067095"/>
    <w:rsid w:val="00067303"/>
    <w:rsid w:val="000674D8"/>
    <w:rsid w:val="00067575"/>
    <w:rsid w:val="00067E73"/>
    <w:rsid w:val="0007124C"/>
    <w:rsid w:val="00071400"/>
    <w:rsid w:val="00072091"/>
    <w:rsid w:val="000728C3"/>
    <w:rsid w:val="00075227"/>
    <w:rsid w:val="00075930"/>
    <w:rsid w:val="00075D75"/>
    <w:rsid w:val="000769DE"/>
    <w:rsid w:val="00077226"/>
    <w:rsid w:val="00080186"/>
    <w:rsid w:val="00080590"/>
    <w:rsid w:val="00080E14"/>
    <w:rsid w:val="0008163E"/>
    <w:rsid w:val="00081E2A"/>
    <w:rsid w:val="00082718"/>
    <w:rsid w:val="000829B9"/>
    <w:rsid w:val="00082E04"/>
    <w:rsid w:val="00083077"/>
    <w:rsid w:val="00083437"/>
    <w:rsid w:val="000839E8"/>
    <w:rsid w:val="00083F65"/>
    <w:rsid w:val="000842DB"/>
    <w:rsid w:val="00084592"/>
    <w:rsid w:val="00084BCC"/>
    <w:rsid w:val="0008509C"/>
    <w:rsid w:val="000855CC"/>
    <w:rsid w:val="00085635"/>
    <w:rsid w:val="00085D2E"/>
    <w:rsid w:val="00085F67"/>
    <w:rsid w:val="0008605C"/>
    <w:rsid w:val="000868C9"/>
    <w:rsid w:val="00092150"/>
    <w:rsid w:val="00092B07"/>
    <w:rsid w:val="0009346D"/>
    <w:rsid w:val="0009381F"/>
    <w:rsid w:val="00094820"/>
    <w:rsid w:val="00094A7C"/>
    <w:rsid w:val="00095729"/>
    <w:rsid w:val="00095A1F"/>
    <w:rsid w:val="00095CE6"/>
    <w:rsid w:val="00096065"/>
    <w:rsid w:val="000963F8"/>
    <w:rsid w:val="0009642C"/>
    <w:rsid w:val="000966FF"/>
    <w:rsid w:val="00096DF9"/>
    <w:rsid w:val="000A03E3"/>
    <w:rsid w:val="000A08AB"/>
    <w:rsid w:val="000A0D31"/>
    <w:rsid w:val="000A10AF"/>
    <w:rsid w:val="000A1259"/>
    <w:rsid w:val="000A1771"/>
    <w:rsid w:val="000A1ECA"/>
    <w:rsid w:val="000A2874"/>
    <w:rsid w:val="000A2FDB"/>
    <w:rsid w:val="000A3329"/>
    <w:rsid w:val="000A3456"/>
    <w:rsid w:val="000A35A4"/>
    <w:rsid w:val="000A48E5"/>
    <w:rsid w:val="000A5EDB"/>
    <w:rsid w:val="000A5F46"/>
    <w:rsid w:val="000A6567"/>
    <w:rsid w:val="000A6746"/>
    <w:rsid w:val="000A67AD"/>
    <w:rsid w:val="000A7BBC"/>
    <w:rsid w:val="000A7DD0"/>
    <w:rsid w:val="000B0150"/>
    <w:rsid w:val="000B03C2"/>
    <w:rsid w:val="000B0892"/>
    <w:rsid w:val="000B1209"/>
    <w:rsid w:val="000B19B4"/>
    <w:rsid w:val="000B1A6C"/>
    <w:rsid w:val="000B1B45"/>
    <w:rsid w:val="000B1DAD"/>
    <w:rsid w:val="000B20D7"/>
    <w:rsid w:val="000B28C9"/>
    <w:rsid w:val="000B2D94"/>
    <w:rsid w:val="000B2F6D"/>
    <w:rsid w:val="000B346B"/>
    <w:rsid w:val="000B499E"/>
    <w:rsid w:val="000B4C63"/>
    <w:rsid w:val="000B6758"/>
    <w:rsid w:val="000B6D79"/>
    <w:rsid w:val="000B735D"/>
    <w:rsid w:val="000C02AC"/>
    <w:rsid w:val="000C02C8"/>
    <w:rsid w:val="000C0459"/>
    <w:rsid w:val="000C09A5"/>
    <w:rsid w:val="000C0A8E"/>
    <w:rsid w:val="000C153B"/>
    <w:rsid w:val="000C2C0D"/>
    <w:rsid w:val="000C3DA9"/>
    <w:rsid w:val="000C4350"/>
    <w:rsid w:val="000C56F9"/>
    <w:rsid w:val="000C5D7B"/>
    <w:rsid w:val="000C6422"/>
    <w:rsid w:val="000C68E2"/>
    <w:rsid w:val="000C6B9E"/>
    <w:rsid w:val="000C6F9B"/>
    <w:rsid w:val="000C6FC6"/>
    <w:rsid w:val="000C7F42"/>
    <w:rsid w:val="000D137E"/>
    <w:rsid w:val="000D1710"/>
    <w:rsid w:val="000D1816"/>
    <w:rsid w:val="000D1D06"/>
    <w:rsid w:val="000D1DF8"/>
    <w:rsid w:val="000D2276"/>
    <w:rsid w:val="000D24E4"/>
    <w:rsid w:val="000D2E26"/>
    <w:rsid w:val="000D326F"/>
    <w:rsid w:val="000D32CC"/>
    <w:rsid w:val="000D36A1"/>
    <w:rsid w:val="000D3819"/>
    <w:rsid w:val="000D4148"/>
    <w:rsid w:val="000D56DE"/>
    <w:rsid w:val="000D5A82"/>
    <w:rsid w:val="000D66A0"/>
    <w:rsid w:val="000D6987"/>
    <w:rsid w:val="000D6BDB"/>
    <w:rsid w:val="000D7062"/>
    <w:rsid w:val="000D7C87"/>
    <w:rsid w:val="000E0393"/>
    <w:rsid w:val="000E0394"/>
    <w:rsid w:val="000E05E3"/>
    <w:rsid w:val="000E08FA"/>
    <w:rsid w:val="000E11C4"/>
    <w:rsid w:val="000E212A"/>
    <w:rsid w:val="000E2670"/>
    <w:rsid w:val="000E2805"/>
    <w:rsid w:val="000E375B"/>
    <w:rsid w:val="000E411D"/>
    <w:rsid w:val="000E425E"/>
    <w:rsid w:val="000E4647"/>
    <w:rsid w:val="000E4A55"/>
    <w:rsid w:val="000E4A9F"/>
    <w:rsid w:val="000E4B84"/>
    <w:rsid w:val="000E5904"/>
    <w:rsid w:val="000E5B64"/>
    <w:rsid w:val="000E6CBB"/>
    <w:rsid w:val="000E6DF2"/>
    <w:rsid w:val="000E6E7F"/>
    <w:rsid w:val="000F05D7"/>
    <w:rsid w:val="000F0A19"/>
    <w:rsid w:val="000F1951"/>
    <w:rsid w:val="000F21EF"/>
    <w:rsid w:val="000F240B"/>
    <w:rsid w:val="000F26B7"/>
    <w:rsid w:val="000F3724"/>
    <w:rsid w:val="000F3B7F"/>
    <w:rsid w:val="000F43E8"/>
    <w:rsid w:val="000F4718"/>
    <w:rsid w:val="000F4C55"/>
    <w:rsid w:val="000F508B"/>
    <w:rsid w:val="000F66DD"/>
    <w:rsid w:val="000F7761"/>
    <w:rsid w:val="00100068"/>
    <w:rsid w:val="00100509"/>
    <w:rsid w:val="00100BB1"/>
    <w:rsid w:val="001012E7"/>
    <w:rsid w:val="0010283F"/>
    <w:rsid w:val="0010299C"/>
    <w:rsid w:val="00102B47"/>
    <w:rsid w:val="001032B6"/>
    <w:rsid w:val="0010407E"/>
    <w:rsid w:val="0010421E"/>
    <w:rsid w:val="001049AB"/>
    <w:rsid w:val="00104DA7"/>
    <w:rsid w:val="0010591F"/>
    <w:rsid w:val="0010629F"/>
    <w:rsid w:val="00106CF1"/>
    <w:rsid w:val="00107986"/>
    <w:rsid w:val="00107A90"/>
    <w:rsid w:val="00110B3A"/>
    <w:rsid w:val="00110FBB"/>
    <w:rsid w:val="0011167E"/>
    <w:rsid w:val="001116E3"/>
    <w:rsid w:val="00111949"/>
    <w:rsid w:val="00111CC5"/>
    <w:rsid w:val="00111D00"/>
    <w:rsid w:val="0011215D"/>
    <w:rsid w:val="0011325D"/>
    <w:rsid w:val="00113E59"/>
    <w:rsid w:val="0011434E"/>
    <w:rsid w:val="00115C09"/>
    <w:rsid w:val="0011623A"/>
    <w:rsid w:val="001173F1"/>
    <w:rsid w:val="001176B2"/>
    <w:rsid w:val="00117BE3"/>
    <w:rsid w:val="00117EC8"/>
    <w:rsid w:val="00120FD1"/>
    <w:rsid w:val="00121051"/>
    <w:rsid w:val="001211C7"/>
    <w:rsid w:val="001213A1"/>
    <w:rsid w:val="001217D9"/>
    <w:rsid w:val="001228F1"/>
    <w:rsid w:val="00122AA9"/>
    <w:rsid w:val="0012338F"/>
    <w:rsid w:val="00123625"/>
    <w:rsid w:val="00123A1D"/>
    <w:rsid w:val="0012437A"/>
    <w:rsid w:val="001246D9"/>
    <w:rsid w:val="0012545D"/>
    <w:rsid w:val="001257B4"/>
    <w:rsid w:val="00125EE3"/>
    <w:rsid w:val="00126737"/>
    <w:rsid w:val="00126ED4"/>
    <w:rsid w:val="00127C02"/>
    <w:rsid w:val="00131907"/>
    <w:rsid w:val="00131B49"/>
    <w:rsid w:val="00131B5D"/>
    <w:rsid w:val="00131FDF"/>
    <w:rsid w:val="001324AE"/>
    <w:rsid w:val="00132821"/>
    <w:rsid w:val="0013331A"/>
    <w:rsid w:val="001335DD"/>
    <w:rsid w:val="001344E6"/>
    <w:rsid w:val="00134D27"/>
    <w:rsid w:val="00134E9D"/>
    <w:rsid w:val="00134F80"/>
    <w:rsid w:val="0013544D"/>
    <w:rsid w:val="00135667"/>
    <w:rsid w:val="0013573C"/>
    <w:rsid w:val="001358FF"/>
    <w:rsid w:val="00136848"/>
    <w:rsid w:val="00136E24"/>
    <w:rsid w:val="001372E5"/>
    <w:rsid w:val="00137B31"/>
    <w:rsid w:val="00137FB7"/>
    <w:rsid w:val="00140163"/>
    <w:rsid w:val="00140BB9"/>
    <w:rsid w:val="001415E7"/>
    <w:rsid w:val="0014220C"/>
    <w:rsid w:val="001427D2"/>
    <w:rsid w:val="0014294F"/>
    <w:rsid w:val="00142E2A"/>
    <w:rsid w:val="00143B4B"/>
    <w:rsid w:val="00144CA8"/>
    <w:rsid w:val="001460FB"/>
    <w:rsid w:val="0014654A"/>
    <w:rsid w:val="00147345"/>
    <w:rsid w:val="00150F77"/>
    <w:rsid w:val="001513F3"/>
    <w:rsid w:val="00151BFB"/>
    <w:rsid w:val="00152E3B"/>
    <w:rsid w:val="00153898"/>
    <w:rsid w:val="001543D1"/>
    <w:rsid w:val="00154D37"/>
    <w:rsid w:val="001553AB"/>
    <w:rsid w:val="001555DF"/>
    <w:rsid w:val="00155752"/>
    <w:rsid w:val="00155A0A"/>
    <w:rsid w:val="001561C6"/>
    <w:rsid w:val="00156339"/>
    <w:rsid w:val="001567BA"/>
    <w:rsid w:val="001569BA"/>
    <w:rsid w:val="00157287"/>
    <w:rsid w:val="00157EE3"/>
    <w:rsid w:val="00160116"/>
    <w:rsid w:val="00160D1A"/>
    <w:rsid w:val="00162593"/>
    <w:rsid w:val="00162A54"/>
    <w:rsid w:val="00162A7C"/>
    <w:rsid w:val="00162FFD"/>
    <w:rsid w:val="00164551"/>
    <w:rsid w:val="00164A39"/>
    <w:rsid w:val="00164C9F"/>
    <w:rsid w:val="0016519A"/>
    <w:rsid w:val="001653EB"/>
    <w:rsid w:val="00165752"/>
    <w:rsid w:val="00165D5E"/>
    <w:rsid w:val="00166073"/>
    <w:rsid w:val="00166180"/>
    <w:rsid w:val="00166762"/>
    <w:rsid w:val="001667C2"/>
    <w:rsid w:val="001671B5"/>
    <w:rsid w:val="00167A8C"/>
    <w:rsid w:val="001701B4"/>
    <w:rsid w:val="0017066B"/>
    <w:rsid w:val="001707E3"/>
    <w:rsid w:val="0017119F"/>
    <w:rsid w:val="0017125F"/>
    <w:rsid w:val="00171279"/>
    <w:rsid w:val="001715AF"/>
    <w:rsid w:val="0017191A"/>
    <w:rsid w:val="00171C84"/>
    <w:rsid w:val="00172DDB"/>
    <w:rsid w:val="00173A19"/>
    <w:rsid w:val="00173CA7"/>
    <w:rsid w:val="00173CAE"/>
    <w:rsid w:val="00174196"/>
    <w:rsid w:val="00175A8C"/>
    <w:rsid w:val="001761BD"/>
    <w:rsid w:val="00177126"/>
    <w:rsid w:val="00177FD5"/>
    <w:rsid w:val="001803B9"/>
    <w:rsid w:val="0018089F"/>
    <w:rsid w:val="00181314"/>
    <w:rsid w:val="00181B9C"/>
    <w:rsid w:val="00181E0A"/>
    <w:rsid w:val="00182078"/>
    <w:rsid w:val="001829C4"/>
    <w:rsid w:val="00182D54"/>
    <w:rsid w:val="00183391"/>
    <w:rsid w:val="00183932"/>
    <w:rsid w:val="00184182"/>
    <w:rsid w:val="0018488E"/>
    <w:rsid w:val="0018595A"/>
    <w:rsid w:val="00186E4D"/>
    <w:rsid w:val="00187576"/>
    <w:rsid w:val="00190593"/>
    <w:rsid w:val="00190678"/>
    <w:rsid w:val="0019098B"/>
    <w:rsid w:val="00190CF1"/>
    <w:rsid w:val="00190D55"/>
    <w:rsid w:val="00191911"/>
    <w:rsid w:val="0019192E"/>
    <w:rsid w:val="00191A2C"/>
    <w:rsid w:val="00193C68"/>
    <w:rsid w:val="001942AB"/>
    <w:rsid w:val="001949F6"/>
    <w:rsid w:val="00195172"/>
    <w:rsid w:val="00195674"/>
    <w:rsid w:val="001958E3"/>
    <w:rsid w:val="001962B5"/>
    <w:rsid w:val="00196B51"/>
    <w:rsid w:val="00197193"/>
    <w:rsid w:val="001976B1"/>
    <w:rsid w:val="001978B6"/>
    <w:rsid w:val="00197940"/>
    <w:rsid w:val="001A0C09"/>
    <w:rsid w:val="001A1FC8"/>
    <w:rsid w:val="001A26CC"/>
    <w:rsid w:val="001A3E55"/>
    <w:rsid w:val="001A4002"/>
    <w:rsid w:val="001A51E5"/>
    <w:rsid w:val="001A5EC9"/>
    <w:rsid w:val="001A7909"/>
    <w:rsid w:val="001A7BBF"/>
    <w:rsid w:val="001A7DB4"/>
    <w:rsid w:val="001B03A6"/>
    <w:rsid w:val="001B0CAE"/>
    <w:rsid w:val="001B1156"/>
    <w:rsid w:val="001B1892"/>
    <w:rsid w:val="001B1B4A"/>
    <w:rsid w:val="001B1CE4"/>
    <w:rsid w:val="001B1E1B"/>
    <w:rsid w:val="001B34A0"/>
    <w:rsid w:val="001B3AA3"/>
    <w:rsid w:val="001B4DA7"/>
    <w:rsid w:val="001B4EA9"/>
    <w:rsid w:val="001B5001"/>
    <w:rsid w:val="001B5372"/>
    <w:rsid w:val="001B56BF"/>
    <w:rsid w:val="001B601D"/>
    <w:rsid w:val="001B6883"/>
    <w:rsid w:val="001B73A6"/>
    <w:rsid w:val="001B7EF8"/>
    <w:rsid w:val="001C00D5"/>
    <w:rsid w:val="001C0C0E"/>
    <w:rsid w:val="001C174F"/>
    <w:rsid w:val="001C2DA7"/>
    <w:rsid w:val="001C3010"/>
    <w:rsid w:val="001C3152"/>
    <w:rsid w:val="001C3376"/>
    <w:rsid w:val="001C4359"/>
    <w:rsid w:val="001C48A8"/>
    <w:rsid w:val="001C55D7"/>
    <w:rsid w:val="001C5EEC"/>
    <w:rsid w:val="001C6071"/>
    <w:rsid w:val="001C6226"/>
    <w:rsid w:val="001C6F40"/>
    <w:rsid w:val="001C7A9F"/>
    <w:rsid w:val="001D03BE"/>
    <w:rsid w:val="001D0527"/>
    <w:rsid w:val="001D06CD"/>
    <w:rsid w:val="001D0CAD"/>
    <w:rsid w:val="001D1F12"/>
    <w:rsid w:val="001D2946"/>
    <w:rsid w:val="001D2E54"/>
    <w:rsid w:val="001D3347"/>
    <w:rsid w:val="001D366C"/>
    <w:rsid w:val="001D40FE"/>
    <w:rsid w:val="001D46A3"/>
    <w:rsid w:val="001D4FB0"/>
    <w:rsid w:val="001D5B3B"/>
    <w:rsid w:val="001D6CBA"/>
    <w:rsid w:val="001D720D"/>
    <w:rsid w:val="001D742E"/>
    <w:rsid w:val="001E0030"/>
    <w:rsid w:val="001E1089"/>
    <w:rsid w:val="001E1245"/>
    <w:rsid w:val="001E1803"/>
    <w:rsid w:val="001E20C6"/>
    <w:rsid w:val="001E28A9"/>
    <w:rsid w:val="001E33D8"/>
    <w:rsid w:val="001E3514"/>
    <w:rsid w:val="001E382F"/>
    <w:rsid w:val="001E4663"/>
    <w:rsid w:val="001E4EF8"/>
    <w:rsid w:val="001E5274"/>
    <w:rsid w:val="001E5773"/>
    <w:rsid w:val="001E6076"/>
    <w:rsid w:val="001E6687"/>
    <w:rsid w:val="001E68D3"/>
    <w:rsid w:val="001E7454"/>
    <w:rsid w:val="001F023A"/>
    <w:rsid w:val="001F21D8"/>
    <w:rsid w:val="001F222B"/>
    <w:rsid w:val="001F2DC0"/>
    <w:rsid w:val="001F40F2"/>
    <w:rsid w:val="001F4C7A"/>
    <w:rsid w:val="001F4E7B"/>
    <w:rsid w:val="001F5CB8"/>
    <w:rsid w:val="001F64EC"/>
    <w:rsid w:val="001F7112"/>
    <w:rsid w:val="001F7651"/>
    <w:rsid w:val="0020006A"/>
    <w:rsid w:val="0020030B"/>
    <w:rsid w:val="002014F9"/>
    <w:rsid w:val="0020163A"/>
    <w:rsid w:val="0020210C"/>
    <w:rsid w:val="00202429"/>
    <w:rsid w:val="00202536"/>
    <w:rsid w:val="00202872"/>
    <w:rsid w:val="00202CF0"/>
    <w:rsid w:val="00202F09"/>
    <w:rsid w:val="0020384E"/>
    <w:rsid w:val="002047DE"/>
    <w:rsid w:val="00204E21"/>
    <w:rsid w:val="00206E7B"/>
    <w:rsid w:val="0020701F"/>
    <w:rsid w:val="002074C0"/>
    <w:rsid w:val="00207EA7"/>
    <w:rsid w:val="002106E6"/>
    <w:rsid w:val="00210C04"/>
    <w:rsid w:val="002115C1"/>
    <w:rsid w:val="00211C59"/>
    <w:rsid w:val="00211E4E"/>
    <w:rsid w:val="00212141"/>
    <w:rsid w:val="00213267"/>
    <w:rsid w:val="002134CC"/>
    <w:rsid w:val="00213644"/>
    <w:rsid w:val="0021424E"/>
    <w:rsid w:val="00214969"/>
    <w:rsid w:val="002153BC"/>
    <w:rsid w:val="0021542B"/>
    <w:rsid w:val="00215C69"/>
    <w:rsid w:val="00215E86"/>
    <w:rsid w:val="0021753D"/>
    <w:rsid w:val="0021765A"/>
    <w:rsid w:val="002178C6"/>
    <w:rsid w:val="00217F31"/>
    <w:rsid w:val="00220B34"/>
    <w:rsid w:val="00222823"/>
    <w:rsid w:val="00222E75"/>
    <w:rsid w:val="00223299"/>
    <w:rsid w:val="00223371"/>
    <w:rsid w:val="002234B7"/>
    <w:rsid w:val="00224C22"/>
    <w:rsid w:val="0022581D"/>
    <w:rsid w:val="0022588C"/>
    <w:rsid w:val="002259A6"/>
    <w:rsid w:val="00225FDA"/>
    <w:rsid w:val="002275E8"/>
    <w:rsid w:val="00227E6C"/>
    <w:rsid w:val="00227EEC"/>
    <w:rsid w:val="00227FB8"/>
    <w:rsid w:val="0023041F"/>
    <w:rsid w:val="002307D0"/>
    <w:rsid w:val="00230ECC"/>
    <w:rsid w:val="00232070"/>
    <w:rsid w:val="00232C2B"/>
    <w:rsid w:val="00233764"/>
    <w:rsid w:val="00233F96"/>
    <w:rsid w:val="00234508"/>
    <w:rsid w:val="002355C6"/>
    <w:rsid w:val="002362EB"/>
    <w:rsid w:val="00237898"/>
    <w:rsid w:val="002379E7"/>
    <w:rsid w:val="002408CF"/>
    <w:rsid w:val="00241315"/>
    <w:rsid w:val="00241644"/>
    <w:rsid w:val="00241BE9"/>
    <w:rsid w:val="00241D34"/>
    <w:rsid w:val="00242002"/>
    <w:rsid w:val="002427A4"/>
    <w:rsid w:val="00242FB5"/>
    <w:rsid w:val="00243048"/>
    <w:rsid w:val="0024337E"/>
    <w:rsid w:val="00243731"/>
    <w:rsid w:val="002439C7"/>
    <w:rsid w:val="002446C3"/>
    <w:rsid w:val="002447DF"/>
    <w:rsid w:val="00244CED"/>
    <w:rsid w:val="00244DB4"/>
    <w:rsid w:val="00245D4E"/>
    <w:rsid w:val="0024654E"/>
    <w:rsid w:val="002468ED"/>
    <w:rsid w:val="00246A24"/>
    <w:rsid w:val="00246FAA"/>
    <w:rsid w:val="0024703C"/>
    <w:rsid w:val="00247325"/>
    <w:rsid w:val="00250F7A"/>
    <w:rsid w:val="0025219C"/>
    <w:rsid w:val="00253213"/>
    <w:rsid w:val="00253556"/>
    <w:rsid w:val="002540C2"/>
    <w:rsid w:val="002544B4"/>
    <w:rsid w:val="002551A9"/>
    <w:rsid w:val="002563AE"/>
    <w:rsid w:val="002572E6"/>
    <w:rsid w:val="002576B7"/>
    <w:rsid w:val="00257C02"/>
    <w:rsid w:val="00257D05"/>
    <w:rsid w:val="0026103D"/>
    <w:rsid w:val="00261474"/>
    <w:rsid w:val="002619DE"/>
    <w:rsid w:val="002629A5"/>
    <w:rsid w:val="00264001"/>
    <w:rsid w:val="00264381"/>
    <w:rsid w:val="00265BD9"/>
    <w:rsid w:val="00266CC3"/>
    <w:rsid w:val="00267B87"/>
    <w:rsid w:val="00267E04"/>
    <w:rsid w:val="002702FF"/>
    <w:rsid w:val="00270D7F"/>
    <w:rsid w:val="00271588"/>
    <w:rsid w:val="00271B2B"/>
    <w:rsid w:val="00271B52"/>
    <w:rsid w:val="00271D08"/>
    <w:rsid w:val="00273292"/>
    <w:rsid w:val="0027435F"/>
    <w:rsid w:val="00275029"/>
    <w:rsid w:val="00276035"/>
    <w:rsid w:val="002769B0"/>
    <w:rsid w:val="00276B47"/>
    <w:rsid w:val="00276E6F"/>
    <w:rsid w:val="0027700F"/>
    <w:rsid w:val="0027714B"/>
    <w:rsid w:val="00277DA6"/>
    <w:rsid w:val="00277E4F"/>
    <w:rsid w:val="002805BD"/>
    <w:rsid w:val="0028066E"/>
    <w:rsid w:val="0028117E"/>
    <w:rsid w:val="002814EE"/>
    <w:rsid w:val="002814FA"/>
    <w:rsid w:val="002818A0"/>
    <w:rsid w:val="00282272"/>
    <w:rsid w:val="0028499A"/>
    <w:rsid w:val="002851E1"/>
    <w:rsid w:val="002858AD"/>
    <w:rsid w:val="00286050"/>
    <w:rsid w:val="002865A9"/>
    <w:rsid w:val="002867D3"/>
    <w:rsid w:val="002868D1"/>
    <w:rsid w:val="00286AA6"/>
    <w:rsid w:val="00286BA2"/>
    <w:rsid w:val="00286DAE"/>
    <w:rsid w:val="00287035"/>
    <w:rsid w:val="00287E48"/>
    <w:rsid w:val="002901A1"/>
    <w:rsid w:val="00290323"/>
    <w:rsid w:val="0029067F"/>
    <w:rsid w:val="00290AAE"/>
    <w:rsid w:val="00290C67"/>
    <w:rsid w:val="00290DA4"/>
    <w:rsid w:val="00290F48"/>
    <w:rsid w:val="0029190E"/>
    <w:rsid w:val="00291F02"/>
    <w:rsid w:val="0029255F"/>
    <w:rsid w:val="0029283B"/>
    <w:rsid w:val="002939C6"/>
    <w:rsid w:val="00293F67"/>
    <w:rsid w:val="00294A27"/>
    <w:rsid w:val="00294FA4"/>
    <w:rsid w:val="0029533B"/>
    <w:rsid w:val="00295598"/>
    <w:rsid w:val="002956A7"/>
    <w:rsid w:val="00295CAF"/>
    <w:rsid w:val="00295DFE"/>
    <w:rsid w:val="0029672E"/>
    <w:rsid w:val="00296D58"/>
    <w:rsid w:val="00296E15"/>
    <w:rsid w:val="002A04A3"/>
    <w:rsid w:val="002A06C2"/>
    <w:rsid w:val="002A089D"/>
    <w:rsid w:val="002A0A4D"/>
    <w:rsid w:val="002A0BC1"/>
    <w:rsid w:val="002A1E8A"/>
    <w:rsid w:val="002A238A"/>
    <w:rsid w:val="002A2608"/>
    <w:rsid w:val="002A27C1"/>
    <w:rsid w:val="002A2CA2"/>
    <w:rsid w:val="002A313C"/>
    <w:rsid w:val="002A3B0F"/>
    <w:rsid w:val="002A3B1B"/>
    <w:rsid w:val="002A42D4"/>
    <w:rsid w:val="002A493B"/>
    <w:rsid w:val="002A4B47"/>
    <w:rsid w:val="002A534D"/>
    <w:rsid w:val="002A5890"/>
    <w:rsid w:val="002A5EAA"/>
    <w:rsid w:val="002A72AB"/>
    <w:rsid w:val="002A73CB"/>
    <w:rsid w:val="002A7466"/>
    <w:rsid w:val="002A74BE"/>
    <w:rsid w:val="002A77B7"/>
    <w:rsid w:val="002A7DAF"/>
    <w:rsid w:val="002B08C6"/>
    <w:rsid w:val="002B0A77"/>
    <w:rsid w:val="002B0E74"/>
    <w:rsid w:val="002B0EBD"/>
    <w:rsid w:val="002B152B"/>
    <w:rsid w:val="002B166B"/>
    <w:rsid w:val="002B1B1D"/>
    <w:rsid w:val="002B1CC0"/>
    <w:rsid w:val="002B2927"/>
    <w:rsid w:val="002B2BD8"/>
    <w:rsid w:val="002B2EA5"/>
    <w:rsid w:val="002B452F"/>
    <w:rsid w:val="002B4DFF"/>
    <w:rsid w:val="002B5142"/>
    <w:rsid w:val="002B5ADC"/>
    <w:rsid w:val="002B6A4E"/>
    <w:rsid w:val="002B6C8C"/>
    <w:rsid w:val="002B6FE7"/>
    <w:rsid w:val="002B70E1"/>
    <w:rsid w:val="002B72ED"/>
    <w:rsid w:val="002B740F"/>
    <w:rsid w:val="002B7994"/>
    <w:rsid w:val="002B7D22"/>
    <w:rsid w:val="002C06C5"/>
    <w:rsid w:val="002C25AD"/>
    <w:rsid w:val="002C2B3F"/>
    <w:rsid w:val="002C316A"/>
    <w:rsid w:val="002C3569"/>
    <w:rsid w:val="002C4382"/>
    <w:rsid w:val="002C4EB3"/>
    <w:rsid w:val="002C625F"/>
    <w:rsid w:val="002C6392"/>
    <w:rsid w:val="002C67A2"/>
    <w:rsid w:val="002C67E0"/>
    <w:rsid w:val="002C685B"/>
    <w:rsid w:val="002C6C27"/>
    <w:rsid w:val="002D042B"/>
    <w:rsid w:val="002D0EBE"/>
    <w:rsid w:val="002D1218"/>
    <w:rsid w:val="002D128C"/>
    <w:rsid w:val="002D12DC"/>
    <w:rsid w:val="002D14B5"/>
    <w:rsid w:val="002D15B9"/>
    <w:rsid w:val="002D237F"/>
    <w:rsid w:val="002D2B24"/>
    <w:rsid w:val="002D4588"/>
    <w:rsid w:val="002D4D3B"/>
    <w:rsid w:val="002D529A"/>
    <w:rsid w:val="002D5565"/>
    <w:rsid w:val="002D6370"/>
    <w:rsid w:val="002D79F0"/>
    <w:rsid w:val="002D7F90"/>
    <w:rsid w:val="002E0931"/>
    <w:rsid w:val="002E1021"/>
    <w:rsid w:val="002E18DD"/>
    <w:rsid w:val="002E19C2"/>
    <w:rsid w:val="002E1A6B"/>
    <w:rsid w:val="002E1E8C"/>
    <w:rsid w:val="002E2ABF"/>
    <w:rsid w:val="002E2D79"/>
    <w:rsid w:val="002E349C"/>
    <w:rsid w:val="002E3859"/>
    <w:rsid w:val="002E40C6"/>
    <w:rsid w:val="002E45AA"/>
    <w:rsid w:val="002E4799"/>
    <w:rsid w:val="002E5C27"/>
    <w:rsid w:val="002E652E"/>
    <w:rsid w:val="002E77B0"/>
    <w:rsid w:val="002F175E"/>
    <w:rsid w:val="002F18F2"/>
    <w:rsid w:val="002F4074"/>
    <w:rsid w:val="002F43C6"/>
    <w:rsid w:val="002F4E16"/>
    <w:rsid w:val="002F5C17"/>
    <w:rsid w:val="002F66C6"/>
    <w:rsid w:val="002F7675"/>
    <w:rsid w:val="002F78CC"/>
    <w:rsid w:val="002F7CC8"/>
    <w:rsid w:val="003009E9"/>
    <w:rsid w:val="00300A13"/>
    <w:rsid w:val="00300B13"/>
    <w:rsid w:val="0030154A"/>
    <w:rsid w:val="00301B83"/>
    <w:rsid w:val="0030245A"/>
    <w:rsid w:val="00302BCC"/>
    <w:rsid w:val="00302BFC"/>
    <w:rsid w:val="003030BF"/>
    <w:rsid w:val="00304E13"/>
    <w:rsid w:val="0030544A"/>
    <w:rsid w:val="00305E08"/>
    <w:rsid w:val="00306F55"/>
    <w:rsid w:val="00307C18"/>
    <w:rsid w:val="00307DBB"/>
    <w:rsid w:val="00310350"/>
    <w:rsid w:val="003105D9"/>
    <w:rsid w:val="00311C4A"/>
    <w:rsid w:val="003123C2"/>
    <w:rsid w:val="003141DF"/>
    <w:rsid w:val="00315272"/>
    <w:rsid w:val="003160BB"/>
    <w:rsid w:val="0031643A"/>
    <w:rsid w:val="00317998"/>
    <w:rsid w:val="00317C56"/>
    <w:rsid w:val="00320344"/>
    <w:rsid w:val="003208FC"/>
    <w:rsid w:val="0032134A"/>
    <w:rsid w:val="003240EF"/>
    <w:rsid w:val="0032466E"/>
    <w:rsid w:val="0032513E"/>
    <w:rsid w:val="00325357"/>
    <w:rsid w:val="0032566F"/>
    <w:rsid w:val="00325695"/>
    <w:rsid w:val="003257A7"/>
    <w:rsid w:val="00325BE5"/>
    <w:rsid w:val="0032640C"/>
    <w:rsid w:val="0033073D"/>
    <w:rsid w:val="00330907"/>
    <w:rsid w:val="00330973"/>
    <w:rsid w:val="003309E4"/>
    <w:rsid w:val="00330D4F"/>
    <w:rsid w:val="00332757"/>
    <w:rsid w:val="003329CE"/>
    <w:rsid w:val="00333826"/>
    <w:rsid w:val="0033453E"/>
    <w:rsid w:val="00334601"/>
    <w:rsid w:val="00334603"/>
    <w:rsid w:val="00334891"/>
    <w:rsid w:val="00335E19"/>
    <w:rsid w:val="00335EE9"/>
    <w:rsid w:val="00336B83"/>
    <w:rsid w:val="00336D00"/>
    <w:rsid w:val="00336EF8"/>
    <w:rsid w:val="00336F51"/>
    <w:rsid w:val="00337AEA"/>
    <w:rsid w:val="003404FA"/>
    <w:rsid w:val="0034083D"/>
    <w:rsid w:val="0034085F"/>
    <w:rsid w:val="00340FD4"/>
    <w:rsid w:val="003424F8"/>
    <w:rsid w:val="00342BDF"/>
    <w:rsid w:val="00342C1A"/>
    <w:rsid w:val="003433C6"/>
    <w:rsid w:val="003435B9"/>
    <w:rsid w:val="00343EA6"/>
    <w:rsid w:val="0034427D"/>
    <w:rsid w:val="003455CA"/>
    <w:rsid w:val="00345F59"/>
    <w:rsid w:val="00346220"/>
    <w:rsid w:val="00346333"/>
    <w:rsid w:val="00346696"/>
    <w:rsid w:val="00346F1B"/>
    <w:rsid w:val="00347317"/>
    <w:rsid w:val="00347445"/>
    <w:rsid w:val="00347D47"/>
    <w:rsid w:val="00350661"/>
    <w:rsid w:val="00350D13"/>
    <w:rsid w:val="00350E32"/>
    <w:rsid w:val="00351E75"/>
    <w:rsid w:val="003528C1"/>
    <w:rsid w:val="003528E8"/>
    <w:rsid w:val="0035338D"/>
    <w:rsid w:val="003534E4"/>
    <w:rsid w:val="003536E5"/>
    <w:rsid w:val="0035380C"/>
    <w:rsid w:val="003542EA"/>
    <w:rsid w:val="00354F2D"/>
    <w:rsid w:val="003551DA"/>
    <w:rsid w:val="00355E5E"/>
    <w:rsid w:val="00355EFD"/>
    <w:rsid w:val="00356373"/>
    <w:rsid w:val="003567E8"/>
    <w:rsid w:val="003568CF"/>
    <w:rsid w:val="0035696B"/>
    <w:rsid w:val="00356D1D"/>
    <w:rsid w:val="0035782C"/>
    <w:rsid w:val="00357DC2"/>
    <w:rsid w:val="003601D9"/>
    <w:rsid w:val="00360600"/>
    <w:rsid w:val="00360914"/>
    <w:rsid w:val="00360D50"/>
    <w:rsid w:val="003611E6"/>
    <w:rsid w:val="00361743"/>
    <w:rsid w:val="00361CC8"/>
    <w:rsid w:val="003629C3"/>
    <w:rsid w:val="00362F92"/>
    <w:rsid w:val="00363816"/>
    <w:rsid w:val="0036383C"/>
    <w:rsid w:val="00363BC4"/>
    <w:rsid w:val="00363CF9"/>
    <w:rsid w:val="00363E4D"/>
    <w:rsid w:val="00365D14"/>
    <w:rsid w:val="00366303"/>
    <w:rsid w:val="00366874"/>
    <w:rsid w:val="0036770B"/>
    <w:rsid w:val="003679EB"/>
    <w:rsid w:val="00367F22"/>
    <w:rsid w:val="0037005F"/>
    <w:rsid w:val="00370303"/>
    <w:rsid w:val="003703E8"/>
    <w:rsid w:val="0037059F"/>
    <w:rsid w:val="003707EE"/>
    <w:rsid w:val="00370A47"/>
    <w:rsid w:val="00370BBD"/>
    <w:rsid w:val="003715DA"/>
    <w:rsid w:val="00372D33"/>
    <w:rsid w:val="00372DF1"/>
    <w:rsid w:val="00373012"/>
    <w:rsid w:val="0037411F"/>
    <w:rsid w:val="0037457D"/>
    <w:rsid w:val="00374BDA"/>
    <w:rsid w:val="00374DB6"/>
    <w:rsid w:val="003751B3"/>
    <w:rsid w:val="0037566C"/>
    <w:rsid w:val="00375C79"/>
    <w:rsid w:val="00375FF2"/>
    <w:rsid w:val="003772D0"/>
    <w:rsid w:val="003774DD"/>
    <w:rsid w:val="003774F9"/>
    <w:rsid w:val="00377952"/>
    <w:rsid w:val="00377E26"/>
    <w:rsid w:val="00377E84"/>
    <w:rsid w:val="0038074D"/>
    <w:rsid w:val="0038099D"/>
    <w:rsid w:val="003816A9"/>
    <w:rsid w:val="00382433"/>
    <w:rsid w:val="0038263E"/>
    <w:rsid w:val="00383248"/>
    <w:rsid w:val="003832E5"/>
    <w:rsid w:val="003838B5"/>
    <w:rsid w:val="00383C81"/>
    <w:rsid w:val="00383CEB"/>
    <w:rsid w:val="00383FFC"/>
    <w:rsid w:val="003844EC"/>
    <w:rsid w:val="00384904"/>
    <w:rsid w:val="003859B3"/>
    <w:rsid w:val="00385F99"/>
    <w:rsid w:val="003868BA"/>
    <w:rsid w:val="00386A73"/>
    <w:rsid w:val="00386AEC"/>
    <w:rsid w:val="00386D28"/>
    <w:rsid w:val="00387550"/>
    <w:rsid w:val="003914F6"/>
    <w:rsid w:val="00392B29"/>
    <w:rsid w:val="00392C13"/>
    <w:rsid w:val="00392ECB"/>
    <w:rsid w:val="00393746"/>
    <w:rsid w:val="003939CC"/>
    <w:rsid w:val="00393BD5"/>
    <w:rsid w:val="00393C7F"/>
    <w:rsid w:val="0039415A"/>
    <w:rsid w:val="00394926"/>
    <w:rsid w:val="00394C61"/>
    <w:rsid w:val="003953A7"/>
    <w:rsid w:val="0039580E"/>
    <w:rsid w:val="003961A2"/>
    <w:rsid w:val="0039640C"/>
    <w:rsid w:val="003A011B"/>
    <w:rsid w:val="003A0921"/>
    <w:rsid w:val="003A0B83"/>
    <w:rsid w:val="003A1601"/>
    <w:rsid w:val="003A20B5"/>
    <w:rsid w:val="003A23E3"/>
    <w:rsid w:val="003A35EF"/>
    <w:rsid w:val="003A3645"/>
    <w:rsid w:val="003A3975"/>
    <w:rsid w:val="003A3FBB"/>
    <w:rsid w:val="003A3FC8"/>
    <w:rsid w:val="003A45EB"/>
    <w:rsid w:val="003A4624"/>
    <w:rsid w:val="003A4845"/>
    <w:rsid w:val="003A4B49"/>
    <w:rsid w:val="003A57CD"/>
    <w:rsid w:val="003A5C9F"/>
    <w:rsid w:val="003A7498"/>
    <w:rsid w:val="003A763B"/>
    <w:rsid w:val="003A7990"/>
    <w:rsid w:val="003B006B"/>
    <w:rsid w:val="003B1449"/>
    <w:rsid w:val="003B1533"/>
    <w:rsid w:val="003B3D84"/>
    <w:rsid w:val="003B5228"/>
    <w:rsid w:val="003B62E7"/>
    <w:rsid w:val="003B62F0"/>
    <w:rsid w:val="003B6B65"/>
    <w:rsid w:val="003B755C"/>
    <w:rsid w:val="003B77D8"/>
    <w:rsid w:val="003B7A92"/>
    <w:rsid w:val="003B7D5C"/>
    <w:rsid w:val="003B7F87"/>
    <w:rsid w:val="003C0327"/>
    <w:rsid w:val="003C080D"/>
    <w:rsid w:val="003C0D2B"/>
    <w:rsid w:val="003C3181"/>
    <w:rsid w:val="003C353E"/>
    <w:rsid w:val="003C44CC"/>
    <w:rsid w:val="003C4C7C"/>
    <w:rsid w:val="003C4E89"/>
    <w:rsid w:val="003C53C1"/>
    <w:rsid w:val="003C58C9"/>
    <w:rsid w:val="003C5D98"/>
    <w:rsid w:val="003C5F6C"/>
    <w:rsid w:val="003C6738"/>
    <w:rsid w:val="003C6BA8"/>
    <w:rsid w:val="003C71DC"/>
    <w:rsid w:val="003C7899"/>
    <w:rsid w:val="003C7B54"/>
    <w:rsid w:val="003C7ECE"/>
    <w:rsid w:val="003D017F"/>
    <w:rsid w:val="003D0326"/>
    <w:rsid w:val="003D0A03"/>
    <w:rsid w:val="003D0D7F"/>
    <w:rsid w:val="003D1843"/>
    <w:rsid w:val="003D2170"/>
    <w:rsid w:val="003D31C8"/>
    <w:rsid w:val="003D3296"/>
    <w:rsid w:val="003D37C7"/>
    <w:rsid w:val="003D396B"/>
    <w:rsid w:val="003D4BF4"/>
    <w:rsid w:val="003D4D37"/>
    <w:rsid w:val="003D4DE3"/>
    <w:rsid w:val="003D52E5"/>
    <w:rsid w:val="003D5B82"/>
    <w:rsid w:val="003D74A5"/>
    <w:rsid w:val="003D7848"/>
    <w:rsid w:val="003D796F"/>
    <w:rsid w:val="003D7D42"/>
    <w:rsid w:val="003E07B8"/>
    <w:rsid w:val="003E0BF3"/>
    <w:rsid w:val="003E0FA2"/>
    <w:rsid w:val="003E11F9"/>
    <w:rsid w:val="003E196D"/>
    <w:rsid w:val="003E2BDD"/>
    <w:rsid w:val="003E3AE2"/>
    <w:rsid w:val="003E43CF"/>
    <w:rsid w:val="003E5A2B"/>
    <w:rsid w:val="003E5A5F"/>
    <w:rsid w:val="003E5B55"/>
    <w:rsid w:val="003E659C"/>
    <w:rsid w:val="003E6A67"/>
    <w:rsid w:val="003E777D"/>
    <w:rsid w:val="003E7D86"/>
    <w:rsid w:val="003F07C0"/>
    <w:rsid w:val="003F0E49"/>
    <w:rsid w:val="003F2002"/>
    <w:rsid w:val="003F2876"/>
    <w:rsid w:val="003F2BEC"/>
    <w:rsid w:val="003F2FB1"/>
    <w:rsid w:val="003F31D8"/>
    <w:rsid w:val="003F45C8"/>
    <w:rsid w:val="003F4B6A"/>
    <w:rsid w:val="003F53F5"/>
    <w:rsid w:val="003F77ED"/>
    <w:rsid w:val="00400EAC"/>
    <w:rsid w:val="004015AE"/>
    <w:rsid w:val="00403DF2"/>
    <w:rsid w:val="00404690"/>
    <w:rsid w:val="00404D6D"/>
    <w:rsid w:val="0040501A"/>
    <w:rsid w:val="00405251"/>
    <w:rsid w:val="004055A7"/>
    <w:rsid w:val="004062A2"/>
    <w:rsid w:val="004066D7"/>
    <w:rsid w:val="00406F98"/>
    <w:rsid w:val="00407C71"/>
    <w:rsid w:val="00410492"/>
    <w:rsid w:val="00410ABE"/>
    <w:rsid w:val="00410BE6"/>
    <w:rsid w:val="0041108B"/>
    <w:rsid w:val="00412A6A"/>
    <w:rsid w:val="0041324D"/>
    <w:rsid w:val="00413EEF"/>
    <w:rsid w:val="00414953"/>
    <w:rsid w:val="00414F57"/>
    <w:rsid w:val="00415336"/>
    <w:rsid w:val="00415725"/>
    <w:rsid w:val="0041574E"/>
    <w:rsid w:val="00415BDF"/>
    <w:rsid w:val="00415C2A"/>
    <w:rsid w:val="004160FE"/>
    <w:rsid w:val="00416495"/>
    <w:rsid w:val="0041697A"/>
    <w:rsid w:val="00417897"/>
    <w:rsid w:val="00420795"/>
    <w:rsid w:val="004207D1"/>
    <w:rsid w:val="00421A78"/>
    <w:rsid w:val="00421A9A"/>
    <w:rsid w:val="00421FC4"/>
    <w:rsid w:val="00422B32"/>
    <w:rsid w:val="0042506C"/>
    <w:rsid w:val="0043052F"/>
    <w:rsid w:val="00430996"/>
    <w:rsid w:val="004320F0"/>
    <w:rsid w:val="00432588"/>
    <w:rsid w:val="00433025"/>
    <w:rsid w:val="004345B2"/>
    <w:rsid w:val="004347D6"/>
    <w:rsid w:val="00434C44"/>
    <w:rsid w:val="004352DA"/>
    <w:rsid w:val="0043704B"/>
    <w:rsid w:val="004375BE"/>
    <w:rsid w:val="0043767C"/>
    <w:rsid w:val="004379C6"/>
    <w:rsid w:val="00440184"/>
    <w:rsid w:val="004404F0"/>
    <w:rsid w:val="00440D9E"/>
    <w:rsid w:val="00440E18"/>
    <w:rsid w:val="004415AD"/>
    <w:rsid w:val="004421C9"/>
    <w:rsid w:val="004428C3"/>
    <w:rsid w:val="004433D8"/>
    <w:rsid w:val="0044372E"/>
    <w:rsid w:val="00443F03"/>
    <w:rsid w:val="004442F3"/>
    <w:rsid w:val="00444DC6"/>
    <w:rsid w:val="004459F3"/>
    <w:rsid w:val="00445B9C"/>
    <w:rsid w:val="00445C26"/>
    <w:rsid w:val="004478A3"/>
    <w:rsid w:val="00447EB4"/>
    <w:rsid w:val="004500C1"/>
    <w:rsid w:val="0045052A"/>
    <w:rsid w:val="00450BFD"/>
    <w:rsid w:val="00451AE9"/>
    <w:rsid w:val="00451FDE"/>
    <w:rsid w:val="00453501"/>
    <w:rsid w:val="0045372C"/>
    <w:rsid w:val="00454232"/>
    <w:rsid w:val="00454327"/>
    <w:rsid w:val="00454886"/>
    <w:rsid w:val="0045490D"/>
    <w:rsid w:val="00455A68"/>
    <w:rsid w:val="0045696D"/>
    <w:rsid w:val="00456CA6"/>
    <w:rsid w:val="00456D1D"/>
    <w:rsid w:val="00457521"/>
    <w:rsid w:val="004576E3"/>
    <w:rsid w:val="00460295"/>
    <w:rsid w:val="0046070C"/>
    <w:rsid w:val="00460D11"/>
    <w:rsid w:val="0046187D"/>
    <w:rsid w:val="004619A7"/>
    <w:rsid w:val="00461B38"/>
    <w:rsid w:val="00461D9C"/>
    <w:rsid w:val="004623F9"/>
    <w:rsid w:val="00463457"/>
    <w:rsid w:val="00463AF9"/>
    <w:rsid w:val="004647B5"/>
    <w:rsid w:val="0046600B"/>
    <w:rsid w:val="00467FED"/>
    <w:rsid w:val="00470014"/>
    <w:rsid w:val="00470388"/>
    <w:rsid w:val="00470E37"/>
    <w:rsid w:val="00471FFB"/>
    <w:rsid w:val="00472606"/>
    <w:rsid w:val="004729C3"/>
    <w:rsid w:val="00473AF1"/>
    <w:rsid w:val="00473C8C"/>
    <w:rsid w:val="00473D8D"/>
    <w:rsid w:val="00474407"/>
    <w:rsid w:val="00477246"/>
    <w:rsid w:val="004777E3"/>
    <w:rsid w:val="004777F4"/>
    <w:rsid w:val="004778BA"/>
    <w:rsid w:val="00480497"/>
    <w:rsid w:val="004804E5"/>
    <w:rsid w:val="004807F8"/>
    <w:rsid w:val="00480872"/>
    <w:rsid w:val="00480BF6"/>
    <w:rsid w:val="00482EB0"/>
    <w:rsid w:val="00483576"/>
    <w:rsid w:val="00483CB2"/>
    <w:rsid w:val="00483E5C"/>
    <w:rsid w:val="00484085"/>
    <w:rsid w:val="004841D6"/>
    <w:rsid w:val="00485CDD"/>
    <w:rsid w:val="004868E2"/>
    <w:rsid w:val="00486DE9"/>
    <w:rsid w:val="004873AC"/>
    <w:rsid w:val="00487461"/>
    <w:rsid w:val="00487C9D"/>
    <w:rsid w:val="00487F15"/>
    <w:rsid w:val="0049001F"/>
    <w:rsid w:val="0049352B"/>
    <w:rsid w:val="00493C9B"/>
    <w:rsid w:val="00493F6C"/>
    <w:rsid w:val="00494458"/>
    <w:rsid w:val="00494FFB"/>
    <w:rsid w:val="004953DB"/>
    <w:rsid w:val="0049566E"/>
    <w:rsid w:val="004957F4"/>
    <w:rsid w:val="00496138"/>
    <w:rsid w:val="00496B51"/>
    <w:rsid w:val="00496B57"/>
    <w:rsid w:val="00496E25"/>
    <w:rsid w:val="00496F1C"/>
    <w:rsid w:val="00497972"/>
    <w:rsid w:val="004A0244"/>
    <w:rsid w:val="004A032B"/>
    <w:rsid w:val="004A05CD"/>
    <w:rsid w:val="004A0952"/>
    <w:rsid w:val="004A2601"/>
    <w:rsid w:val="004A2AE8"/>
    <w:rsid w:val="004A2D01"/>
    <w:rsid w:val="004A42B0"/>
    <w:rsid w:val="004A54A5"/>
    <w:rsid w:val="004A6246"/>
    <w:rsid w:val="004A634B"/>
    <w:rsid w:val="004A6CEB"/>
    <w:rsid w:val="004A71BD"/>
    <w:rsid w:val="004A7DC6"/>
    <w:rsid w:val="004B066A"/>
    <w:rsid w:val="004B0BBD"/>
    <w:rsid w:val="004B18F4"/>
    <w:rsid w:val="004B1A67"/>
    <w:rsid w:val="004B1AF8"/>
    <w:rsid w:val="004B203C"/>
    <w:rsid w:val="004B21DD"/>
    <w:rsid w:val="004B289D"/>
    <w:rsid w:val="004B28CF"/>
    <w:rsid w:val="004B2A28"/>
    <w:rsid w:val="004B2D13"/>
    <w:rsid w:val="004B2E2E"/>
    <w:rsid w:val="004B36BC"/>
    <w:rsid w:val="004B4134"/>
    <w:rsid w:val="004B4924"/>
    <w:rsid w:val="004B4CDD"/>
    <w:rsid w:val="004B4CF3"/>
    <w:rsid w:val="004B4F7C"/>
    <w:rsid w:val="004B57E2"/>
    <w:rsid w:val="004B59E4"/>
    <w:rsid w:val="004B5D15"/>
    <w:rsid w:val="004B7922"/>
    <w:rsid w:val="004C11F3"/>
    <w:rsid w:val="004C199E"/>
    <w:rsid w:val="004C1E1E"/>
    <w:rsid w:val="004C1FB1"/>
    <w:rsid w:val="004C2354"/>
    <w:rsid w:val="004C26C3"/>
    <w:rsid w:val="004C2E52"/>
    <w:rsid w:val="004C31B4"/>
    <w:rsid w:val="004C3E73"/>
    <w:rsid w:val="004C3F88"/>
    <w:rsid w:val="004C461D"/>
    <w:rsid w:val="004C4BA5"/>
    <w:rsid w:val="004C5190"/>
    <w:rsid w:val="004C54E2"/>
    <w:rsid w:val="004C5614"/>
    <w:rsid w:val="004C711A"/>
    <w:rsid w:val="004C7DF4"/>
    <w:rsid w:val="004C7EA5"/>
    <w:rsid w:val="004D0509"/>
    <w:rsid w:val="004D1025"/>
    <w:rsid w:val="004D123F"/>
    <w:rsid w:val="004D20EF"/>
    <w:rsid w:val="004D276A"/>
    <w:rsid w:val="004D2F38"/>
    <w:rsid w:val="004D4055"/>
    <w:rsid w:val="004D45B0"/>
    <w:rsid w:val="004D4F0C"/>
    <w:rsid w:val="004D57B1"/>
    <w:rsid w:val="004D6AA1"/>
    <w:rsid w:val="004D6BE1"/>
    <w:rsid w:val="004D77F3"/>
    <w:rsid w:val="004D781D"/>
    <w:rsid w:val="004D7CC3"/>
    <w:rsid w:val="004D7EF7"/>
    <w:rsid w:val="004D7FAE"/>
    <w:rsid w:val="004E0A2A"/>
    <w:rsid w:val="004E1695"/>
    <w:rsid w:val="004E26D3"/>
    <w:rsid w:val="004E2A27"/>
    <w:rsid w:val="004E2B37"/>
    <w:rsid w:val="004E2FD8"/>
    <w:rsid w:val="004E3D36"/>
    <w:rsid w:val="004E486A"/>
    <w:rsid w:val="004E58D8"/>
    <w:rsid w:val="004E630A"/>
    <w:rsid w:val="004E7963"/>
    <w:rsid w:val="004E7C36"/>
    <w:rsid w:val="004E7FFA"/>
    <w:rsid w:val="004F03FF"/>
    <w:rsid w:val="004F11AC"/>
    <w:rsid w:val="004F1DB0"/>
    <w:rsid w:val="004F1F7C"/>
    <w:rsid w:val="004F215D"/>
    <w:rsid w:val="004F2311"/>
    <w:rsid w:val="004F27BB"/>
    <w:rsid w:val="004F34B2"/>
    <w:rsid w:val="004F37E5"/>
    <w:rsid w:val="004F41F1"/>
    <w:rsid w:val="004F435B"/>
    <w:rsid w:val="004F44BD"/>
    <w:rsid w:val="004F5936"/>
    <w:rsid w:val="004F5C22"/>
    <w:rsid w:val="004F62AF"/>
    <w:rsid w:val="004F689F"/>
    <w:rsid w:val="004F6BB0"/>
    <w:rsid w:val="004F7B0D"/>
    <w:rsid w:val="0050031E"/>
    <w:rsid w:val="005004EF"/>
    <w:rsid w:val="00500B21"/>
    <w:rsid w:val="00500F6F"/>
    <w:rsid w:val="005014AE"/>
    <w:rsid w:val="00501DB3"/>
    <w:rsid w:val="00502EF8"/>
    <w:rsid w:val="00503BBA"/>
    <w:rsid w:val="00504092"/>
    <w:rsid w:val="00504AF2"/>
    <w:rsid w:val="00505433"/>
    <w:rsid w:val="005055FF"/>
    <w:rsid w:val="00506292"/>
    <w:rsid w:val="005068A2"/>
    <w:rsid w:val="00510064"/>
    <w:rsid w:val="005104F4"/>
    <w:rsid w:val="00510840"/>
    <w:rsid w:val="005121B3"/>
    <w:rsid w:val="0051268E"/>
    <w:rsid w:val="00512E58"/>
    <w:rsid w:val="00513BF0"/>
    <w:rsid w:val="0051411D"/>
    <w:rsid w:val="005142DC"/>
    <w:rsid w:val="0051435A"/>
    <w:rsid w:val="00514BEF"/>
    <w:rsid w:val="00515258"/>
    <w:rsid w:val="005157D3"/>
    <w:rsid w:val="0051586C"/>
    <w:rsid w:val="00515B16"/>
    <w:rsid w:val="00515B99"/>
    <w:rsid w:val="00516007"/>
    <w:rsid w:val="0051675B"/>
    <w:rsid w:val="005168AB"/>
    <w:rsid w:val="0051711C"/>
    <w:rsid w:val="0051748A"/>
    <w:rsid w:val="0052057B"/>
    <w:rsid w:val="00520906"/>
    <w:rsid w:val="00520B51"/>
    <w:rsid w:val="00520DD6"/>
    <w:rsid w:val="00521448"/>
    <w:rsid w:val="00521C50"/>
    <w:rsid w:val="00521DE3"/>
    <w:rsid w:val="00523671"/>
    <w:rsid w:val="00523E2D"/>
    <w:rsid w:val="005242B4"/>
    <w:rsid w:val="00524391"/>
    <w:rsid w:val="0052515E"/>
    <w:rsid w:val="00525379"/>
    <w:rsid w:val="00525DCE"/>
    <w:rsid w:val="00525F9F"/>
    <w:rsid w:val="00526746"/>
    <w:rsid w:val="00526DBF"/>
    <w:rsid w:val="00527545"/>
    <w:rsid w:val="005277BD"/>
    <w:rsid w:val="00527C66"/>
    <w:rsid w:val="005301E4"/>
    <w:rsid w:val="0053086C"/>
    <w:rsid w:val="00531241"/>
    <w:rsid w:val="0053128A"/>
    <w:rsid w:val="00532535"/>
    <w:rsid w:val="00533355"/>
    <w:rsid w:val="00533780"/>
    <w:rsid w:val="005339FB"/>
    <w:rsid w:val="00534F90"/>
    <w:rsid w:val="00535792"/>
    <w:rsid w:val="00535D5A"/>
    <w:rsid w:val="00535D7E"/>
    <w:rsid w:val="00536089"/>
    <w:rsid w:val="00536390"/>
    <w:rsid w:val="005365B5"/>
    <w:rsid w:val="00537574"/>
    <w:rsid w:val="00537583"/>
    <w:rsid w:val="00537AF5"/>
    <w:rsid w:val="00537BFF"/>
    <w:rsid w:val="00537D58"/>
    <w:rsid w:val="00540034"/>
    <w:rsid w:val="005404EB"/>
    <w:rsid w:val="005405FC"/>
    <w:rsid w:val="005416DB"/>
    <w:rsid w:val="00542EC8"/>
    <w:rsid w:val="005443AF"/>
    <w:rsid w:val="00544FA9"/>
    <w:rsid w:val="00545466"/>
    <w:rsid w:val="00546313"/>
    <w:rsid w:val="00546D90"/>
    <w:rsid w:val="00547773"/>
    <w:rsid w:val="005506DA"/>
    <w:rsid w:val="00551B6B"/>
    <w:rsid w:val="00551D91"/>
    <w:rsid w:val="00552629"/>
    <w:rsid w:val="00552E1A"/>
    <w:rsid w:val="00552EB3"/>
    <w:rsid w:val="00552ED6"/>
    <w:rsid w:val="00552ED9"/>
    <w:rsid w:val="00552EEF"/>
    <w:rsid w:val="005530C4"/>
    <w:rsid w:val="00553501"/>
    <w:rsid w:val="00553785"/>
    <w:rsid w:val="0055470F"/>
    <w:rsid w:val="00554A86"/>
    <w:rsid w:val="00554BC3"/>
    <w:rsid w:val="005552B7"/>
    <w:rsid w:val="005554B4"/>
    <w:rsid w:val="0055563B"/>
    <w:rsid w:val="00555D37"/>
    <w:rsid w:val="00555E1B"/>
    <w:rsid w:val="00556049"/>
    <w:rsid w:val="005567EF"/>
    <w:rsid w:val="00556C1D"/>
    <w:rsid w:val="00557128"/>
    <w:rsid w:val="005607DD"/>
    <w:rsid w:val="005626BE"/>
    <w:rsid w:val="005638CF"/>
    <w:rsid w:val="00563DAE"/>
    <w:rsid w:val="00564ACA"/>
    <w:rsid w:val="00564E7F"/>
    <w:rsid w:val="00564FC3"/>
    <w:rsid w:val="0056536E"/>
    <w:rsid w:val="005654A0"/>
    <w:rsid w:val="00566F49"/>
    <w:rsid w:val="00566FF0"/>
    <w:rsid w:val="00567714"/>
    <w:rsid w:val="005702D1"/>
    <w:rsid w:val="00571E61"/>
    <w:rsid w:val="00571FE1"/>
    <w:rsid w:val="00573BC4"/>
    <w:rsid w:val="00574402"/>
    <w:rsid w:val="005753CA"/>
    <w:rsid w:val="0057619F"/>
    <w:rsid w:val="005762BC"/>
    <w:rsid w:val="0057774D"/>
    <w:rsid w:val="00580BCA"/>
    <w:rsid w:val="00580CE2"/>
    <w:rsid w:val="00580FAD"/>
    <w:rsid w:val="00581043"/>
    <w:rsid w:val="0058115A"/>
    <w:rsid w:val="005814E0"/>
    <w:rsid w:val="00581A64"/>
    <w:rsid w:val="00581BAC"/>
    <w:rsid w:val="00581C12"/>
    <w:rsid w:val="00581ED3"/>
    <w:rsid w:val="00582558"/>
    <w:rsid w:val="005826A9"/>
    <w:rsid w:val="00582898"/>
    <w:rsid w:val="00582DEE"/>
    <w:rsid w:val="005837CD"/>
    <w:rsid w:val="00584A0D"/>
    <w:rsid w:val="00584A78"/>
    <w:rsid w:val="00584BF1"/>
    <w:rsid w:val="00584F61"/>
    <w:rsid w:val="005854DA"/>
    <w:rsid w:val="005857FE"/>
    <w:rsid w:val="0058608D"/>
    <w:rsid w:val="00586BE0"/>
    <w:rsid w:val="00586E21"/>
    <w:rsid w:val="005871C6"/>
    <w:rsid w:val="00587C52"/>
    <w:rsid w:val="00590028"/>
    <w:rsid w:val="005901A5"/>
    <w:rsid w:val="00590510"/>
    <w:rsid w:val="0059107A"/>
    <w:rsid w:val="00591211"/>
    <w:rsid w:val="00591F6D"/>
    <w:rsid w:val="00593438"/>
    <w:rsid w:val="00593617"/>
    <w:rsid w:val="00593993"/>
    <w:rsid w:val="0059478B"/>
    <w:rsid w:val="005948DB"/>
    <w:rsid w:val="00594902"/>
    <w:rsid w:val="00595EE4"/>
    <w:rsid w:val="00596543"/>
    <w:rsid w:val="005968C2"/>
    <w:rsid w:val="00596A5E"/>
    <w:rsid w:val="005974B2"/>
    <w:rsid w:val="00597866"/>
    <w:rsid w:val="005A09BA"/>
    <w:rsid w:val="005A1265"/>
    <w:rsid w:val="005A14ED"/>
    <w:rsid w:val="005A1772"/>
    <w:rsid w:val="005A18C5"/>
    <w:rsid w:val="005A2699"/>
    <w:rsid w:val="005A2977"/>
    <w:rsid w:val="005A2F20"/>
    <w:rsid w:val="005A3578"/>
    <w:rsid w:val="005A4314"/>
    <w:rsid w:val="005A4323"/>
    <w:rsid w:val="005A46A6"/>
    <w:rsid w:val="005A4826"/>
    <w:rsid w:val="005A5169"/>
    <w:rsid w:val="005A5244"/>
    <w:rsid w:val="005A5FEF"/>
    <w:rsid w:val="005A6B68"/>
    <w:rsid w:val="005A6D0D"/>
    <w:rsid w:val="005A7682"/>
    <w:rsid w:val="005A7838"/>
    <w:rsid w:val="005A7D71"/>
    <w:rsid w:val="005A7F56"/>
    <w:rsid w:val="005B02BE"/>
    <w:rsid w:val="005B09C1"/>
    <w:rsid w:val="005B1BFE"/>
    <w:rsid w:val="005B1DF7"/>
    <w:rsid w:val="005B3D4D"/>
    <w:rsid w:val="005B4E87"/>
    <w:rsid w:val="005B5024"/>
    <w:rsid w:val="005B502D"/>
    <w:rsid w:val="005B5B83"/>
    <w:rsid w:val="005B64B0"/>
    <w:rsid w:val="005B6986"/>
    <w:rsid w:val="005C02BA"/>
    <w:rsid w:val="005C0844"/>
    <w:rsid w:val="005C1580"/>
    <w:rsid w:val="005C1609"/>
    <w:rsid w:val="005C32BA"/>
    <w:rsid w:val="005C3C14"/>
    <w:rsid w:val="005C3CB8"/>
    <w:rsid w:val="005C3D9C"/>
    <w:rsid w:val="005C4281"/>
    <w:rsid w:val="005C4347"/>
    <w:rsid w:val="005C48BA"/>
    <w:rsid w:val="005C4FAD"/>
    <w:rsid w:val="005C51D9"/>
    <w:rsid w:val="005C5BD6"/>
    <w:rsid w:val="005C64BA"/>
    <w:rsid w:val="005C6817"/>
    <w:rsid w:val="005C6D30"/>
    <w:rsid w:val="005C7554"/>
    <w:rsid w:val="005C7A3A"/>
    <w:rsid w:val="005C7CEA"/>
    <w:rsid w:val="005D0C5F"/>
    <w:rsid w:val="005D1F26"/>
    <w:rsid w:val="005D23EC"/>
    <w:rsid w:val="005D27A0"/>
    <w:rsid w:val="005D377E"/>
    <w:rsid w:val="005D3E91"/>
    <w:rsid w:val="005D4077"/>
    <w:rsid w:val="005D4312"/>
    <w:rsid w:val="005D4B7E"/>
    <w:rsid w:val="005D51CF"/>
    <w:rsid w:val="005D67A3"/>
    <w:rsid w:val="005D7A46"/>
    <w:rsid w:val="005D7FB5"/>
    <w:rsid w:val="005E011E"/>
    <w:rsid w:val="005E24FC"/>
    <w:rsid w:val="005E2C83"/>
    <w:rsid w:val="005E330F"/>
    <w:rsid w:val="005E3545"/>
    <w:rsid w:val="005E4D55"/>
    <w:rsid w:val="005E58CA"/>
    <w:rsid w:val="005E60E7"/>
    <w:rsid w:val="005E6B3C"/>
    <w:rsid w:val="005E7979"/>
    <w:rsid w:val="005F069F"/>
    <w:rsid w:val="005F0EF9"/>
    <w:rsid w:val="005F0F25"/>
    <w:rsid w:val="005F143B"/>
    <w:rsid w:val="005F29CF"/>
    <w:rsid w:val="005F2DF3"/>
    <w:rsid w:val="005F31DA"/>
    <w:rsid w:val="005F32C5"/>
    <w:rsid w:val="005F353F"/>
    <w:rsid w:val="005F3542"/>
    <w:rsid w:val="005F3600"/>
    <w:rsid w:val="005F369B"/>
    <w:rsid w:val="005F3765"/>
    <w:rsid w:val="005F3A76"/>
    <w:rsid w:val="005F43A6"/>
    <w:rsid w:val="005F4479"/>
    <w:rsid w:val="005F4C33"/>
    <w:rsid w:val="005F576D"/>
    <w:rsid w:val="005F598C"/>
    <w:rsid w:val="005F6175"/>
    <w:rsid w:val="005F631F"/>
    <w:rsid w:val="005F67E9"/>
    <w:rsid w:val="0060099D"/>
    <w:rsid w:val="00601ADE"/>
    <w:rsid w:val="00601C04"/>
    <w:rsid w:val="006021C7"/>
    <w:rsid w:val="006027F5"/>
    <w:rsid w:val="00603368"/>
    <w:rsid w:val="006034D8"/>
    <w:rsid w:val="006037C5"/>
    <w:rsid w:val="00603A94"/>
    <w:rsid w:val="00603D44"/>
    <w:rsid w:val="00603E45"/>
    <w:rsid w:val="006049A8"/>
    <w:rsid w:val="00604F23"/>
    <w:rsid w:val="0060523B"/>
    <w:rsid w:val="00605FAE"/>
    <w:rsid w:val="006064B2"/>
    <w:rsid w:val="006068FB"/>
    <w:rsid w:val="00607AEF"/>
    <w:rsid w:val="006102E7"/>
    <w:rsid w:val="006109A1"/>
    <w:rsid w:val="00610BC1"/>
    <w:rsid w:val="00610E72"/>
    <w:rsid w:val="00610ED1"/>
    <w:rsid w:val="00612AAF"/>
    <w:rsid w:val="00612DC3"/>
    <w:rsid w:val="0061332C"/>
    <w:rsid w:val="00614287"/>
    <w:rsid w:val="00614599"/>
    <w:rsid w:val="006154B1"/>
    <w:rsid w:val="006155E8"/>
    <w:rsid w:val="0061573B"/>
    <w:rsid w:val="00615A6D"/>
    <w:rsid w:val="006160A7"/>
    <w:rsid w:val="00616E38"/>
    <w:rsid w:val="00620627"/>
    <w:rsid w:val="00620AA9"/>
    <w:rsid w:val="00620C06"/>
    <w:rsid w:val="00620F2F"/>
    <w:rsid w:val="0062129C"/>
    <w:rsid w:val="00621BD0"/>
    <w:rsid w:val="006221E2"/>
    <w:rsid w:val="00622AEF"/>
    <w:rsid w:val="00622C93"/>
    <w:rsid w:val="00623106"/>
    <w:rsid w:val="0062373A"/>
    <w:rsid w:val="0062408B"/>
    <w:rsid w:val="00624462"/>
    <w:rsid w:val="006261F1"/>
    <w:rsid w:val="0063048D"/>
    <w:rsid w:val="00630973"/>
    <w:rsid w:val="006309A2"/>
    <w:rsid w:val="006317C0"/>
    <w:rsid w:val="00631807"/>
    <w:rsid w:val="0063229A"/>
    <w:rsid w:val="0063264F"/>
    <w:rsid w:val="00632EE0"/>
    <w:rsid w:val="00634530"/>
    <w:rsid w:val="006357EF"/>
    <w:rsid w:val="00636F8D"/>
    <w:rsid w:val="00642180"/>
    <w:rsid w:val="00642BBF"/>
    <w:rsid w:val="00642F78"/>
    <w:rsid w:val="006433E2"/>
    <w:rsid w:val="0064538C"/>
    <w:rsid w:val="006455A9"/>
    <w:rsid w:val="00645E5C"/>
    <w:rsid w:val="006463CB"/>
    <w:rsid w:val="00646B58"/>
    <w:rsid w:val="006476CE"/>
    <w:rsid w:val="00650375"/>
    <w:rsid w:val="006505B0"/>
    <w:rsid w:val="00650CCE"/>
    <w:rsid w:val="0065116E"/>
    <w:rsid w:val="00651210"/>
    <w:rsid w:val="00651B6A"/>
    <w:rsid w:val="00651B95"/>
    <w:rsid w:val="00651DAA"/>
    <w:rsid w:val="00652F49"/>
    <w:rsid w:val="0065459E"/>
    <w:rsid w:val="00654D71"/>
    <w:rsid w:val="00654ECB"/>
    <w:rsid w:val="00654F60"/>
    <w:rsid w:val="006553B0"/>
    <w:rsid w:val="00655A6B"/>
    <w:rsid w:val="00656002"/>
    <w:rsid w:val="006560E3"/>
    <w:rsid w:val="0065612B"/>
    <w:rsid w:val="00657ACD"/>
    <w:rsid w:val="00660607"/>
    <w:rsid w:val="006607E5"/>
    <w:rsid w:val="00661090"/>
    <w:rsid w:val="00661158"/>
    <w:rsid w:val="0066231F"/>
    <w:rsid w:val="0066232C"/>
    <w:rsid w:val="00662B01"/>
    <w:rsid w:val="0066329D"/>
    <w:rsid w:val="00663683"/>
    <w:rsid w:val="00664159"/>
    <w:rsid w:val="0066495D"/>
    <w:rsid w:val="00664BCE"/>
    <w:rsid w:val="00664EF1"/>
    <w:rsid w:val="006652F1"/>
    <w:rsid w:val="006654B8"/>
    <w:rsid w:val="00665B39"/>
    <w:rsid w:val="00666DA6"/>
    <w:rsid w:val="0066715F"/>
    <w:rsid w:val="0066723B"/>
    <w:rsid w:val="006678F4"/>
    <w:rsid w:val="00667A0C"/>
    <w:rsid w:val="006705A2"/>
    <w:rsid w:val="00670910"/>
    <w:rsid w:val="00671906"/>
    <w:rsid w:val="00673151"/>
    <w:rsid w:val="00673542"/>
    <w:rsid w:val="006738A4"/>
    <w:rsid w:val="006739AD"/>
    <w:rsid w:val="006740C6"/>
    <w:rsid w:val="006744F9"/>
    <w:rsid w:val="00674C5C"/>
    <w:rsid w:val="00675734"/>
    <w:rsid w:val="00675BF5"/>
    <w:rsid w:val="00676CC1"/>
    <w:rsid w:val="0067716B"/>
    <w:rsid w:val="006772CE"/>
    <w:rsid w:val="0068032F"/>
    <w:rsid w:val="006805D2"/>
    <w:rsid w:val="00680E8C"/>
    <w:rsid w:val="00681B8A"/>
    <w:rsid w:val="00682289"/>
    <w:rsid w:val="006837D8"/>
    <w:rsid w:val="00683A7D"/>
    <w:rsid w:val="006840E3"/>
    <w:rsid w:val="0068454D"/>
    <w:rsid w:val="00685085"/>
    <w:rsid w:val="00685280"/>
    <w:rsid w:val="00685F3B"/>
    <w:rsid w:val="00686DDB"/>
    <w:rsid w:val="00687149"/>
    <w:rsid w:val="00687684"/>
    <w:rsid w:val="00690286"/>
    <w:rsid w:val="00690CC8"/>
    <w:rsid w:val="00691109"/>
    <w:rsid w:val="006914F3"/>
    <w:rsid w:val="00691D4F"/>
    <w:rsid w:val="00692F49"/>
    <w:rsid w:val="00693A9F"/>
    <w:rsid w:val="00693B96"/>
    <w:rsid w:val="00693E7F"/>
    <w:rsid w:val="0069522A"/>
    <w:rsid w:val="00695318"/>
    <w:rsid w:val="006955F2"/>
    <w:rsid w:val="00696578"/>
    <w:rsid w:val="0069694A"/>
    <w:rsid w:val="00696EA5"/>
    <w:rsid w:val="006973DD"/>
    <w:rsid w:val="00697A79"/>
    <w:rsid w:val="00697FA1"/>
    <w:rsid w:val="006A0552"/>
    <w:rsid w:val="006A07F2"/>
    <w:rsid w:val="006A0BCE"/>
    <w:rsid w:val="006A1351"/>
    <w:rsid w:val="006A15BA"/>
    <w:rsid w:val="006A25A2"/>
    <w:rsid w:val="006A2CAB"/>
    <w:rsid w:val="006A351A"/>
    <w:rsid w:val="006A3569"/>
    <w:rsid w:val="006A370B"/>
    <w:rsid w:val="006A3892"/>
    <w:rsid w:val="006A38D4"/>
    <w:rsid w:val="006A476D"/>
    <w:rsid w:val="006A48A7"/>
    <w:rsid w:val="006A4B94"/>
    <w:rsid w:val="006A4C27"/>
    <w:rsid w:val="006A50BE"/>
    <w:rsid w:val="006A522B"/>
    <w:rsid w:val="006A7A34"/>
    <w:rsid w:val="006B0394"/>
    <w:rsid w:val="006B137C"/>
    <w:rsid w:val="006B2993"/>
    <w:rsid w:val="006B2C12"/>
    <w:rsid w:val="006B318E"/>
    <w:rsid w:val="006B381E"/>
    <w:rsid w:val="006B4A8D"/>
    <w:rsid w:val="006B4E75"/>
    <w:rsid w:val="006B503E"/>
    <w:rsid w:val="006B53D6"/>
    <w:rsid w:val="006B5752"/>
    <w:rsid w:val="006B5B1A"/>
    <w:rsid w:val="006B612D"/>
    <w:rsid w:val="006B6367"/>
    <w:rsid w:val="006B64FF"/>
    <w:rsid w:val="006B6FA1"/>
    <w:rsid w:val="006B70A5"/>
    <w:rsid w:val="006B7253"/>
    <w:rsid w:val="006B72F6"/>
    <w:rsid w:val="006B7582"/>
    <w:rsid w:val="006B7EE6"/>
    <w:rsid w:val="006C1A1D"/>
    <w:rsid w:val="006C1DE5"/>
    <w:rsid w:val="006C255B"/>
    <w:rsid w:val="006C31B2"/>
    <w:rsid w:val="006C4549"/>
    <w:rsid w:val="006C475A"/>
    <w:rsid w:val="006C4D01"/>
    <w:rsid w:val="006C5A7F"/>
    <w:rsid w:val="006C5DBA"/>
    <w:rsid w:val="006C6092"/>
    <w:rsid w:val="006C6516"/>
    <w:rsid w:val="006C6AF6"/>
    <w:rsid w:val="006C7789"/>
    <w:rsid w:val="006C7DD9"/>
    <w:rsid w:val="006D11A5"/>
    <w:rsid w:val="006D1562"/>
    <w:rsid w:val="006D161E"/>
    <w:rsid w:val="006D1B53"/>
    <w:rsid w:val="006D1E5F"/>
    <w:rsid w:val="006D30F2"/>
    <w:rsid w:val="006D3A7F"/>
    <w:rsid w:val="006D3B78"/>
    <w:rsid w:val="006D4FA9"/>
    <w:rsid w:val="006D63EA"/>
    <w:rsid w:val="006D6623"/>
    <w:rsid w:val="006D6BE1"/>
    <w:rsid w:val="006D71C3"/>
    <w:rsid w:val="006E06FA"/>
    <w:rsid w:val="006E0896"/>
    <w:rsid w:val="006E17C6"/>
    <w:rsid w:val="006E2B4F"/>
    <w:rsid w:val="006E36ED"/>
    <w:rsid w:val="006E47CE"/>
    <w:rsid w:val="006E484D"/>
    <w:rsid w:val="006E5654"/>
    <w:rsid w:val="006E65C0"/>
    <w:rsid w:val="006E67F4"/>
    <w:rsid w:val="006E6B5A"/>
    <w:rsid w:val="006E7B7A"/>
    <w:rsid w:val="006E7C1C"/>
    <w:rsid w:val="006F0170"/>
    <w:rsid w:val="006F032B"/>
    <w:rsid w:val="006F08CC"/>
    <w:rsid w:val="006F10F4"/>
    <w:rsid w:val="006F1E33"/>
    <w:rsid w:val="006F1EC7"/>
    <w:rsid w:val="006F33D1"/>
    <w:rsid w:val="006F34B8"/>
    <w:rsid w:val="006F42D2"/>
    <w:rsid w:val="006F46D9"/>
    <w:rsid w:val="006F599D"/>
    <w:rsid w:val="006F623F"/>
    <w:rsid w:val="00700668"/>
    <w:rsid w:val="0070093A"/>
    <w:rsid w:val="00700AB0"/>
    <w:rsid w:val="00700CE1"/>
    <w:rsid w:val="00700E16"/>
    <w:rsid w:val="00701B26"/>
    <w:rsid w:val="00701B43"/>
    <w:rsid w:val="00702243"/>
    <w:rsid w:val="00702382"/>
    <w:rsid w:val="00702D3B"/>
    <w:rsid w:val="0070300B"/>
    <w:rsid w:val="00705046"/>
    <w:rsid w:val="00705243"/>
    <w:rsid w:val="00706887"/>
    <w:rsid w:val="00710049"/>
    <w:rsid w:val="00711A11"/>
    <w:rsid w:val="0071215F"/>
    <w:rsid w:val="00712162"/>
    <w:rsid w:val="0071222C"/>
    <w:rsid w:val="00712989"/>
    <w:rsid w:val="00713E2C"/>
    <w:rsid w:val="00714A2D"/>
    <w:rsid w:val="00714D2B"/>
    <w:rsid w:val="007154F9"/>
    <w:rsid w:val="00716211"/>
    <w:rsid w:val="0071697F"/>
    <w:rsid w:val="00716F70"/>
    <w:rsid w:val="00717FFE"/>
    <w:rsid w:val="007214EE"/>
    <w:rsid w:val="007216D8"/>
    <w:rsid w:val="00722554"/>
    <w:rsid w:val="00722B12"/>
    <w:rsid w:val="007232D7"/>
    <w:rsid w:val="00723FF6"/>
    <w:rsid w:val="007250AE"/>
    <w:rsid w:val="007259B6"/>
    <w:rsid w:val="00725B46"/>
    <w:rsid w:val="00726514"/>
    <w:rsid w:val="00727093"/>
    <w:rsid w:val="007277C8"/>
    <w:rsid w:val="00730503"/>
    <w:rsid w:val="00730935"/>
    <w:rsid w:val="00730989"/>
    <w:rsid w:val="00730BB2"/>
    <w:rsid w:val="007321F6"/>
    <w:rsid w:val="00732529"/>
    <w:rsid w:val="0073266F"/>
    <w:rsid w:val="0073358D"/>
    <w:rsid w:val="007336A6"/>
    <w:rsid w:val="0073370C"/>
    <w:rsid w:val="00733ABC"/>
    <w:rsid w:val="00733CAC"/>
    <w:rsid w:val="00734751"/>
    <w:rsid w:val="0073589C"/>
    <w:rsid w:val="00735EE7"/>
    <w:rsid w:val="0073631A"/>
    <w:rsid w:val="00736F7F"/>
    <w:rsid w:val="00737D25"/>
    <w:rsid w:val="007403EE"/>
    <w:rsid w:val="00740CA5"/>
    <w:rsid w:val="007411B8"/>
    <w:rsid w:val="007426FB"/>
    <w:rsid w:val="00743404"/>
    <w:rsid w:val="007435CF"/>
    <w:rsid w:val="00743CF2"/>
    <w:rsid w:val="00743FE6"/>
    <w:rsid w:val="00744404"/>
    <w:rsid w:val="0074465D"/>
    <w:rsid w:val="00744994"/>
    <w:rsid w:val="00744C22"/>
    <w:rsid w:val="00745448"/>
    <w:rsid w:val="00745F70"/>
    <w:rsid w:val="007462BE"/>
    <w:rsid w:val="007463E4"/>
    <w:rsid w:val="007464FB"/>
    <w:rsid w:val="00746E72"/>
    <w:rsid w:val="00747BDE"/>
    <w:rsid w:val="00747EE8"/>
    <w:rsid w:val="00750865"/>
    <w:rsid w:val="00750DE0"/>
    <w:rsid w:val="0075112E"/>
    <w:rsid w:val="00752E3A"/>
    <w:rsid w:val="007532EA"/>
    <w:rsid w:val="0075386F"/>
    <w:rsid w:val="00753B1A"/>
    <w:rsid w:val="00753D27"/>
    <w:rsid w:val="007540DB"/>
    <w:rsid w:val="007552C3"/>
    <w:rsid w:val="007555D5"/>
    <w:rsid w:val="00756DC5"/>
    <w:rsid w:val="007572DB"/>
    <w:rsid w:val="00757EAF"/>
    <w:rsid w:val="00760281"/>
    <w:rsid w:val="0076034E"/>
    <w:rsid w:val="00760978"/>
    <w:rsid w:val="00760F09"/>
    <w:rsid w:val="00761031"/>
    <w:rsid w:val="00761914"/>
    <w:rsid w:val="00761B8F"/>
    <w:rsid w:val="007621AD"/>
    <w:rsid w:val="00762207"/>
    <w:rsid w:val="00762593"/>
    <w:rsid w:val="007635CD"/>
    <w:rsid w:val="00763785"/>
    <w:rsid w:val="00763949"/>
    <w:rsid w:val="00763D51"/>
    <w:rsid w:val="0076450B"/>
    <w:rsid w:val="00764958"/>
    <w:rsid w:val="00764D81"/>
    <w:rsid w:val="0076582A"/>
    <w:rsid w:val="00765C4C"/>
    <w:rsid w:val="00766ACA"/>
    <w:rsid w:val="00766C2A"/>
    <w:rsid w:val="00767AF1"/>
    <w:rsid w:val="00770488"/>
    <w:rsid w:val="00771A8F"/>
    <w:rsid w:val="00772695"/>
    <w:rsid w:val="00772BFC"/>
    <w:rsid w:val="007730B4"/>
    <w:rsid w:val="0077323E"/>
    <w:rsid w:val="00773304"/>
    <w:rsid w:val="00773328"/>
    <w:rsid w:val="007734A7"/>
    <w:rsid w:val="0077350E"/>
    <w:rsid w:val="007735B5"/>
    <w:rsid w:val="007748C7"/>
    <w:rsid w:val="00774DC3"/>
    <w:rsid w:val="00774EF8"/>
    <w:rsid w:val="007754DB"/>
    <w:rsid w:val="00775E16"/>
    <w:rsid w:val="00776E9A"/>
    <w:rsid w:val="00776FC9"/>
    <w:rsid w:val="00777AB7"/>
    <w:rsid w:val="00777F79"/>
    <w:rsid w:val="00780B87"/>
    <w:rsid w:val="00780E2C"/>
    <w:rsid w:val="007814A6"/>
    <w:rsid w:val="007821B5"/>
    <w:rsid w:val="007827F6"/>
    <w:rsid w:val="007835EC"/>
    <w:rsid w:val="00783D26"/>
    <w:rsid w:val="00783ED3"/>
    <w:rsid w:val="007846A5"/>
    <w:rsid w:val="00784A2B"/>
    <w:rsid w:val="00784B82"/>
    <w:rsid w:val="007859C2"/>
    <w:rsid w:val="00785D0B"/>
    <w:rsid w:val="007860A8"/>
    <w:rsid w:val="00786615"/>
    <w:rsid w:val="00786906"/>
    <w:rsid w:val="00790609"/>
    <w:rsid w:val="007918A0"/>
    <w:rsid w:val="00791941"/>
    <w:rsid w:val="00791E9B"/>
    <w:rsid w:val="007927F2"/>
    <w:rsid w:val="00792D61"/>
    <w:rsid w:val="0079330F"/>
    <w:rsid w:val="00793788"/>
    <w:rsid w:val="00793793"/>
    <w:rsid w:val="00793ED9"/>
    <w:rsid w:val="0079412D"/>
    <w:rsid w:val="00794AF2"/>
    <w:rsid w:val="007962DE"/>
    <w:rsid w:val="00796565"/>
    <w:rsid w:val="007969F2"/>
    <w:rsid w:val="00797A3E"/>
    <w:rsid w:val="007A2315"/>
    <w:rsid w:val="007A237E"/>
    <w:rsid w:val="007A2BA1"/>
    <w:rsid w:val="007A2E54"/>
    <w:rsid w:val="007A36B1"/>
    <w:rsid w:val="007A3BA3"/>
    <w:rsid w:val="007A4738"/>
    <w:rsid w:val="007A4EA1"/>
    <w:rsid w:val="007A515D"/>
    <w:rsid w:val="007A5ABF"/>
    <w:rsid w:val="007A67C7"/>
    <w:rsid w:val="007A6B20"/>
    <w:rsid w:val="007A6E35"/>
    <w:rsid w:val="007A6FC8"/>
    <w:rsid w:val="007A6FE5"/>
    <w:rsid w:val="007A75FF"/>
    <w:rsid w:val="007A7AAB"/>
    <w:rsid w:val="007B028D"/>
    <w:rsid w:val="007B0796"/>
    <w:rsid w:val="007B1094"/>
    <w:rsid w:val="007B1426"/>
    <w:rsid w:val="007B1482"/>
    <w:rsid w:val="007B18BA"/>
    <w:rsid w:val="007B1950"/>
    <w:rsid w:val="007B240A"/>
    <w:rsid w:val="007B27EE"/>
    <w:rsid w:val="007B32C8"/>
    <w:rsid w:val="007B4A55"/>
    <w:rsid w:val="007B4DB7"/>
    <w:rsid w:val="007B503F"/>
    <w:rsid w:val="007B798A"/>
    <w:rsid w:val="007C0F21"/>
    <w:rsid w:val="007C100B"/>
    <w:rsid w:val="007C112F"/>
    <w:rsid w:val="007C19DC"/>
    <w:rsid w:val="007C25CB"/>
    <w:rsid w:val="007C2848"/>
    <w:rsid w:val="007C2E5F"/>
    <w:rsid w:val="007C323C"/>
    <w:rsid w:val="007C454B"/>
    <w:rsid w:val="007C464E"/>
    <w:rsid w:val="007C4691"/>
    <w:rsid w:val="007C61A4"/>
    <w:rsid w:val="007C64C7"/>
    <w:rsid w:val="007C71F5"/>
    <w:rsid w:val="007C7546"/>
    <w:rsid w:val="007C7B79"/>
    <w:rsid w:val="007D05BC"/>
    <w:rsid w:val="007D0B5B"/>
    <w:rsid w:val="007D0F18"/>
    <w:rsid w:val="007D1BB2"/>
    <w:rsid w:val="007D1C2A"/>
    <w:rsid w:val="007D2DC3"/>
    <w:rsid w:val="007D2E13"/>
    <w:rsid w:val="007D35D5"/>
    <w:rsid w:val="007D3C6F"/>
    <w:rsid w:val="007D4621"/>
    <w:rsid w:val="007D4722"/>
    <w:rsid w:val="007D4E76"/>
    <w:rsid w:val="007D57C9"/>
    <w:rsid w:val="007D6004"/>
    <w:rsid w:val="007D6CD7"/>
    <w:rsid w:val="007D6F1F"/>
    <w:rsid w:val="007D77D9"/>
    <w:rsid w:val="007D7BAC"/>
    <w:rsid w:val="007D7F57"/>
    <w:rsid w:val="007E05E1"/>
    <w:rsid w:val="007E0B50"/>
    <w:rsid w:val="007E0E13"/>
    <w:rsid w:val="007E13F3"/>
    <w:rsid w:val="007E1E0E"/>
    <w:rsid w:val="007E259B"/>
    <w:rsid w:val="007E2668"/>
    <w:rsid w:val="007E3019"/>
    <w:rsid w:val="007E32A4"/>
    <w:rsid w:val="007E42FA"/>
    <w:rsid w:val="007E4EB2"/>
    <w:rsid w:val="007E4FE6"/>
    <w:rsid w:val="007E5609"/>
    <w:rsid w:val="007E578F"/>
    <w:rsid w:val="007E5956"/>
    <w:rsid w:val="007E5B18"/>
    <w:rsid w:val="007E6129"/>
    <w:rsid w:val="007E6683"/>
    <w:rsid w:val="007E7866"/>
    <w:rsid w:val="007E7AE7"/>
    <w:rsid w:val="007E7F2B"/>
    <w:rsid w:val="007F0351"/>
    <w:rsid w:val="007F0A04"/>
    <w:rsid w:val="007F1DC4"/>
    <w:rsid w:val="007F1E5C"/>
    <w:rsid w:val="007F1F74"/>
    <w:rsid w:val="007F2638"/>
    <w:rsid w:val="007F281D"/>
    <w:rsid w:val="007F300A"/>
    <w:rsid w:val="007F3ECC"/>
    <w:rsid w:val="007F4A13"/>
    <w:rsid w:val="007F4B3B"/>
    <w:rsid w:val="007F4C31"/>
    <w:rsid w:val="007F4D52"/>
    <w:rsid w:val="007F5EDA"/>
    <w:rsid w:val="007F6521"/>
    <w:rsid w:val="007F6A48"/>
    <w:rsid w:val="007F6E89"/>
    <w:rsid w:val="007F7389"/>
    <w:rsid w:val="0080012C"/>
    <w:rsid w:val="0080025F"/>
    <w:rsid w:val="00800D26"/>
    <w:rsid w:val="00800E1E"/>
    <w:rsid w:val="00800EE7"/>
    <w:rsid w:val="00801766"/>
    <w:rsid w:val="00801D4F"/>
    <w:rsid w:val="00801DD8"/>
    <w:rsid w:val="00801F7E"/>
    <w:rsid w:val="008034C9"/>
    <w:rsid w:val="00803631"/>
    <w:rsid w:val="00804016"/>
    <w:rsid w:val="00804443"/>
    <w:rsid w:val="00804DD9"/>
    <w:rsid w:val="00806297"/>
    <w:rsid w:val="00806370"/>
    <w:rsid w:val="008064A7"/>
    <w:rsid w:val="0080681E"/>
    <w:rsid w:val="00806CE0"/>
    <w:rsid w:val="00807193"/>
    <w:rsid w:val="008074D1"/>
    <w:rsid w:val="00807AE3"/>
    <w:rsid w:val="0081003C"/>
    <w:rsid w:val="008108AA"/>
    <w:rsid w:val="00810A66"/>
    <w:rsid w:val="00810A98"/>
    <w:rsid w:val="00810B70"/>
    <w:rsid w:val="00811723"/>
    <w:rsid w:val="0081240F"/>
    <w:rsid w:val="0081262B"/>
    <w:rsid w:val="00812958"/>
    <w:rsid w:val="008133A3"/>
    <w:rsid w:val="00813816"/>
    <w:rsid w:val="00813996"/>
    <w:rsid w:val="00813ADA"/>
    <w:rsid w:val="00813F4A"/>
    <w:rsid w:val="0081636E"/>
    <w:rsid w:val="0081677B"/>
    <w:rsid w:val="00817C96"/>
    <w:rsid w:val="00817F2D"/>
    <w:rsid w:val="008202DB"/>
    <w:rsid w:val="00820E19"/>
    <w:rsid w:val="0082276F"/>
    <w:rsid w:val="00822F76"/>
    <w:rsid w:val="008230D0"/>
    <w:rsid w:val="00823800"/>
    <w:rsid w:val="0082435B"/>
    <w:rsid w:val="008247C9"/>
    <w:rsid w:val="00824853"/>
    <w:rsid w:val="008249F9"/>
    <w:rsid w:val="00825807"/>
    <w:rsid w:val="00825E4E"/>
    <w:rsid w:val="008260FD"/>
    <w:rsid w:val="00826492"/>
    <w:rsid w:val="008268E3"/>
    <w:rsid w:val="00826F31"/>
    <w:rsid w:val="00827362"/>
    <w:rsid w:val="0082796F"/>
    <w:rsid w:val="00827E1C"/>
    <w:rsid w:val="00827FF9"/>
    <w:rsid w:val="008309A6"/>
    <w:rsid w:val="008313B3"/>
    <w:rsid w:val="00831904"/>
    <w:rsid w:val="0083284E"/>
    <w:rsid w:val="00832E50"/>
    <w:rsid w:val="00835EC5"/>
    <w:rsid w:val="008362A9"/>
    <w:rsid w:val="00837DCE"/>
    <w:rsid w:val="008404D9"/>
    <w:rsid w:val="00840506"/>
    <w:rsid w:val="00840EC7"/>
    <w:rsid w:val="008413BF"/>
    <w:rsid w:val="0084182F"/>
    <w:rsid w:val="008421A5"/>
    <w:rsid w:val="008438CF"/>
    <w:rsid w:val="00843CBB"/>
    <w:rsid w:val="00844067"/>
    <w:rsid w:val="00844DC3"/>
    <w:rsid w:val="00845052"/>
    <w:rsid w:val="00845469"/>
    <w:rsid w:val="00846416"/>
    <w:rsid w:val="00847228"/>
    <w:rsid w:val="00847238"/>
    <w:rsid w:val="00847BCD"/>
    <w:rsid w:val="00850ACB"/>
    <w:rsid w:val="00850BFD"/>
    <w:rsid w:val="00851434"/>
    <w:rsid w:val="00852EE6"/>
    <w:rsid w:val="00853857"/>
    <w:rsid w:val="0085410A"/>
    <w:rsid w:val="00854328"/>
    <w:rsid w:val="00854CA6"/>
    <w:rsid w:val="00854CA8"/>
    <w:rsid w:val="00855427"/>
    <w:rsid w:val="00855669"/>
    <w:rsid w:val="008566C8"/>
    <w:rsid w:val="008566E3"/>
    <w:rsid w:val="008571EF"/>
    <w:rsid w:val="00857A09"/>
    <w:rsid w:val="0086012C"/>
    <w:rsid w:val="00860452"/>
    <w:rsid w:val="00860A8E"/>
    <w:rsid w:val="00860EEC"/>
    <w:rsid w:val="0086122D"/>
    <w:rsid w:val="008633CA"/>
    <w:rsid w:val="0086376F"/>
    <w:rsid w:val="00863942"/>
    <w:rsid w:val="00864DD6"/>
    <w:rsid w:val="00865B90"/>
    <w:rsid w:val="0086611E"/>
    <w:rsid w:val="008669C6"/>
    <w:rsid w:val="00866BBF"/>
    <w:rsid w:val="0087056D"/>
    <w:rsid w:val="00870616"/>
    <w:rsid w:val="00870AA7"/>
    <w:rsid w:val="00870AC7"/>
    <w:rsid w:val="00871484"/>
    <w:rsid w:val="0087150A"/>
    <w:rsid w:val="00871BCE"/>
    <w:rsid w:val="00871C72"/>
    <w:rsid w:val="00871D1F"/>
    <w:rsid w:val="008726DC"/>
    <w:rsid w:val="00872B75"/>
    <w:rsid w:val="00872CBC"/>
    <w:rsid w:val="00872F75"/>
    <w:rsid w:val="0087348D"/>
    <w:rsid w:val="008735B0"/>
    <w:rsid w:val="00873896"/>
    <w:rsid w:val="0087405B"/>
    <w:rsid w:val="00874667"/>
    <w:rsid w:val="00874AE7"/>
    <w:rsid w:val="0087585D"/>
    <w:rsid w:val="00875C5B"/>
    <w:rsid w:val="00875E96"/>
    <w:rsid w:val="00876277"/>
    <w:rsid w:val="008771F8"/>
    <w:rsid w:val="0088087C"/>
    <w:rsid w:val="00880D93"/>
    <w:rsid w:val="00881565"/>
    <w:rsid w:val="00881AFE"/>
    <w:rsid w:val="0088214B"/>
    <w:rsid w:val="00882784"/>
    <w:rsid w:val="008834C0"/>
    <w:rsid w:val="00883AC6"/>
    <w:rsid w:val="0088401B"/>
    <w:rsid w:val="008842A7"/>
    <w:rsid w:val="0088462F"/>
    <w:rsid w:val="00884F14"/>
    <w:rsid w:val="00885198"/>
    <w:rsid w:val="0088581A"/>
    <w:rsid w:val="00885A5C"/>
    <w:rsid w:val="00885B40"/>
    <w:rsid w:val="0088672A"/>
    <w:rsid w:val="0088721B"/>
    <w:rsid w:val="008872E1"/>
    <w:rsid w:val="0088778E"/>
    <w:rsid w:val="008902E7"/>
    <w:rsid w:val="00890333"/>
    <w:rsid w:val="00890438"/>
    <w:rsid w:val="0089079B"/>
    <w:rsid w:val="0089096A"/>
    <w:rsid w:val="00890E44"/>
    <w:rsid w:val="00890ECA"/>
    <w:rsid w:val="00890F85"/>
    <w:rsid w:val="0089439B"/>
    <w:rsid w:val="0089458C"/>
    <w:rsid w:val="00894AA7"/>
    <w:rsid w:val="00894AF4"/>
    <w:rsid w:val="00894BCC"/>
    <w:rsid w:val="008962D9"/>
    <w:rsid w:val="00896FEC"/>
    <w:rsid w:val="0089758B"/>
    <w:rsid w:val="00897EBC"/>
    <w:rsid w:val="008A0C34"/>
    <w:rsid w:val="008A0DA9"/>
    <w:rsid w:val="008A139A"/>
    <w:rsid w:val="008A156D"/>
    <w:rsid w:val="008A2EFE"/>
    <w:rsid w:val="008A30AE"/>
    <w:rsid w:val="008A33B9"/>
    <w:rsid w:val="008A3EA2"/>
    <w:rsid w:val="008A3F42"/>
    <w:rsid w:val="008A3F52"/>
    <w:rsid w:val="008A4287"/>
    <w:rsid w:val="008A4666"/>
    <w:rsid w:val="008A4EDB"/>
    <w:rsid w:val="008A584C"/>
    <w:rsid w:val="008A595B"/>
    <w:rsid w:val="008A5AA2"/>
    <w:rsid w:val="008A5C42"/>
    <w:rsid w:val="008A61C0"/>
    <w:rsid w:val="008A6B87"/>
    <w:rsid w:val="008A6E14"/>
    <w:rsid w:val="008A6EF4"/>
    <w:rsid w:val="008A6F4B"/>
    <w:rsid w:val="008A6FEE"/>
    <w:rsid w:val="008A70C6"/>
    <w:rsid w:val="008B0F7C"/>
    <w:rsid w:val="008B1E6C"/>
    <w:rsid w:val="008B1F9B"/>
    <w:rsid w:val="008B34AB"/>
    <w:rsid w:val="008B5306"/>
    <w:rsid w:val="008B60CA"/>
    <w:rsid w:val="008B7C04"/>
    <w:rsid w:val="008B7FA9"/>
    <w:rsid w:val="008C006F"/>
    <w:rsid w:val="008C085C"/>
    <w:rsid w:val="008C08EB"/>
    <w:rsid w:val="008C1782"/>
    <w:rsid w:val="008C1F82"/>
    <w:rsid w:val="008C1FE1"/>
    <w:rsid w:val="008C2AD7"/>
    <w:rsid w:val="008C3415"/>
    <w:rsid w:val="008C3E1C"/>
    <w:rsid w:val="008C3FEB"/>
    <w:rsid w:val="008C4713"/>
    <w:rsid w:val="008C4864"/>
    <w:rsid w:val="008C4DCD"/>
    <w:rsid w:val="008C4E9B"/>
    <w:rsid w:val="008C566A"/>
    <w:rsid w:val="008C5A4F"/>
    <w:rsid w:val="008C61A5"/>
    <w:rsid w:val="008C72AF"/>
    <w:rsid w:val="008C7574"/>
    <w:rsid w:val="008C7690"/>
    <w:rsid w:val="008C78FA"/>
    <w:rsid w:val="008D0791"/>
    <w:rsid w:val="008D0E8D"/>
    <w:rsid w:val="008D1180"/>
    <w:rsid w:val="008D1435"/>
    <w:rsid w:val="008D151C"/>
    <w:rsid w:val="008D1588"/>
    <w:rsid w:val="008D18AC"/>
    <w:rsid w:val="008D1900"/>
    <w:rsid w:val="008D265E"/>
    <w:rsid w:val="008D2C1C"/>
    <w:rsid w:val="008D2C7F"/>
    <w:rsid w:val="008D2F59"/>
    <w:rsid w:val="008D2F92"/>
    <w:rsid w:val="008D3324"/>
    <w:rsid w:val="008D3B48"/>
    <w:rsid w:val="008D3DC8"/>
    <w:rsid w:val="008D460E"/>
    <w:rsid w:val="008D4D6C"/>
    <w:rsid w:val="008D52A6"/>
    <w:rsid w:val="008D6107"/>
    <w:rsid w:val="008D611D"/>
    <w:rsid w:val="008D68E0"/>
    <w:rsid w:val="008D6F3D"/>
    <w:rsid w:val="008D6FD4"/>
    <w:rsid w:val="008D75BC"/>
    <w:rsid w:val="008D7E27"/>
    <w:rsid w:val="008D7FFD"/>
    <w:rsid w:val="008E021E"/>
    <w:rsid w:val="008E04B2"/>
    <w:rsid w:val="008E0BDE"/>
    <w:rsid w:val="008E1279"/>
    <w:rsid w:val="008E1EB4"/>
    <w:rsid w:val="008E1F41"/>
    <w:rsid w:val="008E2018"/>
    <w:rsid w:val="008E23E8"/>
    <w:rsid w:val="008E2B18"/>
    <w:rsid w:val="008E3015"/>
    <w:rsid w:val="008E3301"/>
    <w:rsid w:val="008E3EA3"/>
    <w:rsid w:val="008E418A"/>
    <w:rsid w:val="008E42B9"/>
    <w:rsid w:val="008E4C5F"/>
    <w:rsid w:val="008E4CC0"/>
    <w:rsid w:val="008E66D4"/>
    <w:rsid w:val="008E7A65"/>
    <w:rsid w:val="008E7BB4"/>
    <w:rsid w:val="008F09DC"/>
    <w:rsid w:val="008F0BB5"/>
    <w:rsid w:val="008F179B"/>
    <w:rsid w:val="008F1C2E"/>
    <w:rsid w:val="008F220D"/>
    <w:rsid w:val="008F253B"/>
    <w:rsid w:val="008F27FD"/>
    <w:rsid w:val="008F2822"/>
    <w:rsid w:val="008F2A0F"/>
    <w:rsid w:val="008F2C42"/>
    <w:rsid w:val="008F3713"/>
    <w:rsid w:val="008F3833"/>
    <w:rsid w:val="008F3D90"/>
    <w:rsid w:val="008F5AB1"/>
    <w:rsid w:val="008F6112"/>
    <w:rsid w:val="008F6165"/>
    <w:rsid w:val="008F6A17"/>
    <w:rsid w:val="008F70F3"/>
    <w:rsid w:val="008F7FD0"/>
    <w:rsid w:val="0090080E"/>
    <w:rsid w:val="00900B69"/>
    <w:rsid w:val="00900DB3"/>
    <w:rsid w:val="009012EE"/>
    <w:rsid w:val="0090137A"/>
    <w:rsid w:val="00902C10"/>
    <w:rsid w:val="0090358E"/>
    <w:rsid w:val="009037A4"/>
    <w:rsid w:val="00903F57"/>
    <w:rsid w:val="0090425A"/>
    <w:rsid w:val="0090498D"/>
    <w:rsid w:val="00904CF3"/>
    <w:rsid w:val="009050AE"/>
    <w:rsid w:val="00905330"/>
    <w:rsid w:val="009075F1"/>
    <w:rsid w:val="00907883"/>
    <w:rsid w:val="0091055C"/>
    <w:rsid w:val="0091062C"/>
    <w:rsid w:val="00910CEB"/>
    <w:rsid w:val="00911F4A"/>
    <w:rsid w:val="00912390"/>
    <w:rsid w:val="009128AE"/>
    <w:rsid w:val="0091355A"/>
    <w:rsid w:val="00913571"/>
    <w:rsid w:val="00913842"/>
    <w:rsid w:val="0091386E"/>
    <w:rsid w:val="009138C5"/>
    <w:rsid w:val="00913925"/>
    <w:rsid w:val="00915812"/>
    <w:rsid w:val="009164C1"/>
    <w:rsid w:val="00916C36"/>
    <w:rsid w:val="009174E6"/>
    <w:rsid w:val="00917D53"/>
    <w:rsid w:val="009206CC"/>
    <w:rsid w:val="009209A2"/>
    <w:rsid w:val="00920C15"/>
    <w:rsid w:val="00920F64"/>
    <w:rsid w:val="00921C82"/>
    <w:rsid w:val="00922E54"/>
    <w:rsid w:val="009241FA"/>
    <w:rsid w:val="009243BC"/>
    <w:rsid w:val="00924BC3"/>
    <w:rsid w:val="00924F0E"/>
    <w:rsid w:val="009255AF"/>
    <w:rsid w:val="009255EE"/>
    <w:rsid w:val="009265E0"/>
    <w:rsid w:val="00927041"/>
    <w:rsid w:val="009272AD"/>
    <w:rsid w:val="00930960"/>
    <w:rsid w:val="00930AB5"/>
    <w:rsid w:val="009310BD"/>
    <w:rsid w:val="009314A0"/>
    <w:rsid w:val="00931AC3"/>
    <w:rsid w:val="00932FF1"/>
    <w:rsid w:val="009332C1"/>
    <w:rsid w:val="00933848"/>
    <w:rsid w:val="009339BD"/>
    <w:rsid w:val="0093461B"/>
    <w:rsid w:val="00934DD0"/>
    <w:rsid w:val="009352EE"/>
    <w:rsid w:val="00935371"/>
    <w:rsid w:val="009354C8"/>
    <w:rsid w:val="009356C4"/>
    <w:rsid w:val="00935767"/>
    <w:rsid w:val="0093642D"/>
    <w:rsid w:val="00940E1B"/>
    <w:rsid w:val="00941F64"/>
    <w:rsid w:val="0094218E"/>
    <w:rsid w:val="009429E1"/>
    <w:rsid w:val="00942DE5"/>
    <w:rsid w:val="00942ED0"/>
    <w:rsid w:val="0094372D"/>
    <w:rsid w:val="0094435F"/>
    <w:rsid w:val="0094479C"/>
    <w:rsid w:val="00944D2A"/>
    <w:rsid w:val="00945284"/>
    <w:rsid w:val="00945288"/>
    <w:rsid w:val="009455B1"/>
    <w:rsid w:val="00945E68"/>
    <w:rsid w:val="00945E71"/>
    <w:rsid w:val="009463E0"/>
    <w:rsid w:val="0094695C"/>
    <w:rsid w:val="00946E4F"/>
    <w:rsid w:val="009473F6"/>
    <w:rsid w:val="00950448"/>
    <w:rsid w:val="00951793"/>
    <w:rsid w:val="00951B81"/>
    <w:rsid w:val="0095218D"/>
    <w:rsid w:val="0095221E"/>
    <w:rsid w:val="009526B2"/>
    <w:rsid w:val="0095298D"/>
    <w:rsid w:val="00952DBD"/>
    <w:rsid w:val="009530E8"/>
    <w:rsid w:val="0095315F"/>
    <w:rsid w:val="00953C26"/>
    <w:rsid w:val="00953CD9"/>
    <w:rsid w:val="009545F6"/>
    <w:rsid w:val="009576CA"/>
    <w:rsid w:val="00960793"/>
    <w:rsid w:val="00960B51"/>
    <w:rsid w:val="0096115F"/>
    <w:rsid w:val="009613B7"/>
    <w:rsid w:val="00962FC2"/>
    <w:rsid w:val="009637FD"/>
    <w:rsid w:val="00963D22"/>
    <w:rsid w:val="00963DE4"/>
    <w:rsid w:val="00963F2B"/>
    <w:rsid w:val="00964C6A"/>
    <w:rsid w:val="0096522B"/>
    <w:rsid w:val="009662A4"/>
    <w:rsid w:val="00966B67"/>
    <w:rsid w:val="00966E60"/>
    <w:rsid w:val="00966EAE"/>
    <w:rsid w:val="009701C6"/>
    <w:rsid w:val="009718EE"/>
    <w:rsid w:val="00971C55"/>
    <w:rsid w:val="00972004"/>
    <w:rsid w:val="0097250B"/>
    <w:rsid w:val="00973A2D"/>
    <w:rsid w:val="00973EB4"/>
    <w:rsid w:val="00974257"/>
    <w:rsid w:val="0097453E"/>
    <w:rsid w:val="00974BE1"/>
    <w:rsid w:val="00975587"/>
    <w:rsid w:val="0097603E"/>
    <w:rsid w:val="00976171"/>
    <w:rsid w:val="0097617A"/>
    <w:rsid w:val="00976E6B"/>
    <w:rsid w:val="00977268"/>
    <w:rsid w:val="009774AF"/>
    <w:rsid w:val="0098076E"/>
    <w:rsid w:val="00981D6E"/>
    <w:rsid w:val="0098234C"/>
    <w:rsid w:val="00982D2C"/>
    <w:rsid w:val="00983059"/>
    <w:rsid w:val="00984622"/>
    <w:rsid w:val="00984A62"/>
    <w:rsid w:val="00984BDE"/>
    <w:rsid w:val="009850DD"/>
    <w:rsid w:val="00985393"/>
    <w:rsid w:val="00986503"/>
    <w:rsid w:val="00986A10"/>
    <w:rsid w:val="009872B8"/>
    <w:rsid w:val="009914E5"/>
    <w:rsid w:val="00991C23"/>
    <w:rsid w:val="00991DF2"/>
    <w:rsid w:val="00991F30"/>
    <w:rsid w:val="00992045"/>
    <w:rsid w:val="00992B03"/>
    <w:rsid w:val="00993640"/>
    <w:rsid w:val="00993EC8"/>
    <w:rsid w:val="009942B8"/>
    <w:rsid w:val="00994598"/>
    <w:rsid w:val="00994A7E"/>
    <w:rsid w:val="00995622"/>
    <w:rsid w:val="00995E40"/>
    <w:rsid w:val="00996830"/>
    <w:rsid w:val="00996E52"/>
    <w:rsid w:val="00997042"/>
    <w:rsid w:val="0099711D"/>
    <w:rsid w:val="00997ACC"/>
    <w:rsid w:val="009A034C"/>
    <w:rsid w:val="009A284E"/>
    <w:rsid w:val="009A3660"/>
    <w:rsid w:val="009A373A"/>
    <w:rsid w:val="009A39A8"/>
    <w:rsid w:val="009A3D3F"/>
    <w:rsid w:val="009A4554"/>
    <w:rsid w:val="009A47C5"/>
    <w:rsid w:val="009A4B51"/>
    <w:rsid w:val="009A4C86"/>
    <w:rsid w:val="009A4D65"/>
    <w:rsid w:val="009A55E0"/>
    <w:rsid w:val="009A5AB2"/>
    <w:rsid w:val="009A6831"/>
    <w:rsid w:val="009A72CB"/>
    <w:rsid w:val="009B037A"/>
    <w:rsid w:val="009B06DF"/>
    <w:rsid w:val="009B16B9"/>
    <w:rsid w:val="009B20AC"/>
    <w:rsid w:val="009B2A62"/>
    <w:rsid w:val="009B2CD0"/>
    <w:rsid w:val="009B3AF5"/>
    <w:rsid w:val="009B3BB2"/>
    <w:rsid w:val="009B411C"/>
    <w:rsid w:val="009B535E"/>
    <w:rsid w:val="009B5EDF"/>
    <w:rsid w:val="009B6CD4"/>
    <w:rsid w:val="009B7696"/>
    <w:rsid w:val="009B775F"/>
    <w:rsid w:val="009C01F5"/>
    <w:rsid w:val="009C0518"/>
    <w:rsid w:val="009C0902"/>
    <w:rsid w:val="009C0A06"/>
    <w:rsid w:val="009C10DA"/>
    <w:rsid w:val="009C1695"/>
    <w:rsid w:val="009C1D32"/>
    <w:rsid w:val="009C1F16"/>
    <w:rsid w:val="009C2C09"/>
    <w:rsid w:val="009C3A5B"/>
    <w:rsid w:val="009C3C4E"/>
    <w:rsid w:val="009C3CB5"/>
    <w:rsid w:val="009C48DB"/>
    <w:rsid w:val="009C532D"/>
    <w:rsid w:val="009C6DBF"/>
    <w:rsid w:val="009D0059"/>
    <w:rsid w:val="009D026C"/>
    <w:rsid w:val="009D0952"/>
    <w:rsid w:val="009D1766"/>
    <w:rsid w:val="009D21CD"/>
    <w:rsid w:val="009D2705"/>
    <w:rsid w:val="009D2BA5"/>
    <w:rsid w:val="009D2CDE"/>
    <w:rsid w:val="009D2D45"/>
    <w:rsid w:val="009D2DB8"/>
    <w:rsid w:val="009D2E34"/>
    <w:rsid w:val="009D31C8"/>
    <w:rsid w:val="009D3FEA"/>
    <w:rsid w:val="009D488B"/>
    <w:rsid w:val="009D48E8"/>
    <w:rsid w:val="009D49B6"/>
    <w:rsid w:val="009D5F62"/>
    <w:rsid w:val="009D65F8"/>
    <w:rsid w:val="009D66D2"/>
    <w:rsid w:val="009E1081"/>
    <w:rsid w:val="009E11E0"/>
    <w:rsid w:val="009E1548"/>
    <w:rsid w:val="009E1601"/>
    <w:rsid w:val="009E1E68"/>
    <w:rsid w:val="009E1ECA"/>
    <w:rsid w:val="009E2469"/>
    <w:rsid w:val="009E2B3F"/>
    <w:rsid w:val="009E2C93"/>
    <w:rsid w:val="009E4484"/>
    <w:rsid w:val="009E6622"/>
    <w:rsid w:val="009E6AF9"/>
    <w:rsid w:val="009E6CA7"/>
    <w:rsid w:val="009E6E39"/>
    <w:rsid w:val="009E6FD2"/>
    <w:rsid w:val="009E7102"/>
    <w:rsid w:val="009E71C5"/>
    <w:rsid w:val="009E72A7"/>
    <w:rsid w:val="009E78EA"/>
    <w:rsid w:val="009F00D6"/>
    <w:rsid w:val="009F012C"/>
    <w:rsid w:val="009F08BD"/>
    <w:rsid w:val="009F0C20"/>
    <w:rsid w:val="009F20B2"/>
    <w:rsid w:val="009F3660"/>
    <w:rsid w:val="009F36E1"/>
    <w:rsid w:val="009F4A7D"/>
    <w:rsid w:val="009F4DCC"/>
    <w:rsid w:val="009F5258"/>
    <w:rsid w:val="00A00558"/>
    <w:rsid w:val="00A0057A"/>
    <w:rsid w:val="00A009DF"/>
    <w:rsid w:val="00A02DB2"/>
    <w:rsid w:val="00A03F93"/>
    <w:rsid w:val="00A04757"/>
    <w:rsid w:val="00A04B2A"/>
    <w:rsid w:val="00A065CE"/>
    <w:rsid w:val="00A067C3"/>
    <w:rsid w:val="00A06ABB"/>
    <w:rsid w:val="00A073D4"/>
    <w:rsid w:val="00A0746F"/>
    <w:rsid w:val="00A07552"/>
    <w:rsid w:val="00A0764A"/>
    <w:rsid w:val="00A102D5"/>
    <w:rsid w:val="00A10991"/>
    <w:rsid w:val="00A10D6A"/>
    <w:rsid w:val="00A10DB1"/>
    <w:rsid w:val="00A11560"/>
    <w:rsid w:val="00A12178"/>
    <w:rsid w:val="00A136CD"/>
    <w:rsid w:val="00A14C2F"/>
    <w:rsid w:val="00A1586E"/>
    <w:rsid w:val="00A15AC7"/>
    <w:rsid w:val="00A15EDE"/>
    <w:rsid w:val="00A1656C"/>
    <w:rsid w:val="00A16733"/>
    <w:rsid w:val="00A173A5"/>
    <w:rsid w:val="00A17EB3"/>
    <w:rsid w:val="00A22BEE"/>
    <w:rsid w:val="00A22D3A"/>
    <w:rsid w:val="00A22F2B"/>
    <w:rsid w:val="00A23619"/>
    <w:rsid w:val="00A24BF5"/>
    <w:rsid w:val="00A24ED7"/>
    <w:rsid w:val="00A25FA5"/>
    <w:rsid w:val="00A26E44"/>
    <w:rsid w:val="00A272DF"/>
    <w:rsid w:val="00A27B2E"/>
    <w:rsid w:val="00A27D49"/>
    <w:rsid w:val="00A308A1"/>
    <w:rsid w:val="00A313D6"/>
    <w:rsid w:val="00A31BF1"/>
    <w:rsid w:val="00A31D7F"/>
    <w:rsid w:val="00A32985"/>
    <w:rsid w:val="00A34F2D"/>
    <w:rsid w:val="00A357B7"/>
    <w:rsid w:val="00A35A1B"/>
    <w:rsid w:val="00A35FAE"/>
    <w:rsid w:val="00A361F0"/>
    <w:rsid w:val="00A36862"/>
    <w:rsid w:val="00A37845"/>
    <w:rsid w:val="00A37F40"/>
    <w:rsid w:val="00A4078D"/>
    <w:rsid w:val="00A40A3F"/>
    <w:rsid w:val="00A41B11"/>
    <w:rsid w:val="00A41CAA"/>
    <w:rsid w:val="00A42157"/>
    <w:rsid w:val="00A422E5"/>
    <w:rsid w:val="00A428B8"/>
    <w:rsid w:val="00A42AAE"/>
    <w:rsid w:val="00A42C27"/>
    <w:rsid w:val="00A42EE9"/>
    <w:rsid w:val="00A430A2"/>
    <w:rsid w:val="00A438A3"/>
    <w:rsid w:val="00A43916"/>
    <w:rsid w:val="00A4403B"/>
    <w:rsid w:val="00A44785"/>
    <w:rsid w:val="00A44A78"/>
    <w:rsid w:val="00A4534F"/>
    <w:rsid w:val="00A45435"/>
    <w:rsid w:val="00A45975"/>
    <w:rsid w:val="00A45AE2"/>
    <w:rsid w:val="00A45DAC"/>
    <w:rsid w:val="00A45E24"/>
    <w:rsid w:val="00A46199"/>
    <w:rsid w:val="00A46B58"/>
    <w:rsid w:val="00A50287"/>
    <w:rsid w:val="00A504CC"/>
    <w:rsid w:val="00A5095C"/>
    <w:rsid w:val="00A5100E"/>
    <w:rsid w:val="00A52B32"/>
    <w:rsid w:val="00A52D61"/>
    <w:rsid w:val="00A53C6C"/>
    <w:rsid w:val="00A54852"/>
    <w:rsid w:val="00A54923"/>
    <w:rsid w:val="00A54E25"/>
    <w:rsid w:val="00A5667D"/>
    <w:rsid w:val="00A56BA1"/>
    <w:rsid w:val="00A60333"/>
    <w:rsid w:val="00A6034A"/>
    <w:rsid w:val="00A6049E"/>
    <w:rsid w:val="00A607B6"/>
    <w:rsid w:val="00A6097D"/>
    <w:rsid w:val="00A60A1A"/>
    <w:rsid w:val="00A61D8E"/>
    <w:rsid w:val="00A61DA3"/>
    <w:rsid w:val="00A62C4C"/>
    <w:rsid w:val="00A63B59"/>
    <w:rsid w:val="00A63BB4"/>
    <w:rsid w:val="00A64151"/>
    <w:rsid w:val="00A6467D"/>
    <w:rsid w:val="00A6687E"/>
    <w:rsid w:val="00A66BA1"/>
    <w:rsid w:val="00A66CC2"/>
    <w:rsid w:val="00A66D53"/>
    <w:rsid w:val="00A6760D"/>
    <w:rsid w:val="00A67AEC"/>
    <w:rsid w:val="00A67B08"/>
    <w:rsid w:val="00A67F7F"/>
    <w:rsid w:val="00A70012"/>
    <w:rsid w:val="00A70255"/>
    <w:rsid w:val="00A70A84"/>
    <w:rsid w:val="00A70ABC"/>
    <w:rsid w:val="00A71076"/>
    <w:rsid w:val="00A7122B"/>
    <w:rsid w:val="00A71273"/>
    <w:rsid w:val="00A713F3"/>
    <w:rsid w:val="00A7197C"/>
    <w:rsid w:val="00A71BD7"/>
    <w:rsid w:val="00A722D2"/>
    <w:rsid w:val="00A7238B"/>
    <w:rsid w:val="00A727BA"/>
    <w:rsid w:val="00A7291F"/>
    <w:rsid w:val="00A72C6F"/>
    <w:rsid w:val="00A72D65"/>
    <w:rsid w:val="00A73106"/>
    <w:rsid w:val="00A73681"/>
    <w:rsid w:val="00A73A90"/>
    <w:rsid w:val="00A742D8"/>
    <w:rsid w:val="00A748C0"/>
    <w:rsid w:val="00A74D2E"/>
    <w:rsid w:val="00A75880"/>
    <w:rsid w:val="00A75C4E"/>
    <w:rsid w:val="00A75F77"/>
    <w:rsid w:val="00A764B1"/>
    <w:rsid w:val="00A77987"/>
    <w:rsid w:val="00A77E76"/>
    <w:rsid w:val="00A80731"/>
    <w:rsid w:val="00A81050"/>
    <w:rsid w:val="00A8121F"/>
    <w:rsid w:val="00A81261"/>
    <w:rsid w:val="00A82AFD"/>
    <w:rsid w:val="00A8362C"/>
    <w:rsid w:val="00A83B32"/>
    <w:rsid w:val="00A8415F"/>
    <w:rsid w:val="00A84E92"/>
    <w:rsid w:val="00A856A0"/>
    <w:rsid w:val="00A85B64"/>
    <w:rsid w:val="00A85F58"/>
    <w:rsid w:val="00A86595"/>
    <w:rsid w:val="00A8725D"/>
    <w:rsid w:val="00A90575"/>
    <w:rsid w:val="00A90AF4"/>
    <w:rsid w:val="00A91059"/>
    <w:rsid w:val="00A9166D"/>
    <w:rsid w:val="00A92B79"/>
    <w:rsid w:val="00A934BE"/>
    <w:rsid w:val="00A93A1F"/>
    <w:rsid w:val="00A941F8"/>
    <w:rsid w:val="00A943C5"/>
    <w:rsid w:val="00A9454A"/>
    <w:rsid w:val="00A95333"/>
    <w:rsid w:val="00A9533C"/>
    <w:rsid w:val="00A95CA0"/>
    <w:rsid w:val="00A9606D"/>
    <w:rsid w:val="00A96326"/>
    <w:rsid w:val="00A969D3"/>
    <w:rsid w:val="00AA0775"/>
    <w:rsid w:val="00AA2E87"/>
    <w:rsid w:val="00AA2E94"/>
    <w:rsid w:val="00AA33CD"/>
    <w:rsid w:val="00AA34FA"/>
    <w:rsid w:val="00AA4134"/>
    <w:rsid w:val="00AA4E3B"/>
    <w:rsid w:val="00AA4F32"/>
    <w:rsid w:val="00AA50E1"/>
    <w:rsid w:val="00AA5CC1"/>
    <w:rsid w:val="00AA5CC7"/>
    <w:rsid w:val="00AA5EA8"/>
    <w:rsid w:val="00AA65C8"/>
    <w:rsid w:val="00AA6681"/>
    <w:rsid w:val="00AA6DB0"/>
    <w:rsid w:val="00AA6ED6"/>
    <w:rsid w:val="00AA7247"/>
    <w:rsid w:val="00AA74E5"/>
    <w:rsid w:val="00AA75AE"/>
    <w:rsid w:val="00AA795D"/>
    <w:rsid w:val="00AA7E85"/>
    <w:rsid w:val="00AA7EB4"/>
    <w:rsid w:val="00AB00F4"/>
    <w:rsid w:val="00AB15D3"/>
    <w:rsid w:val="00AB1D74"/>
    <w:rsid w:val="00AB1E0F"/>
    <w:rsid w:val="00AB20A7"/>
    <w:rsid w:val="00AB20FD"/>
    <w:rsid w:val="00AB2943"/>
    <w:rsid w:val="00AB2D6D"/>
    <w:rsid w:val="00AB3193"/>
    <w:rsid w:val="00AB3489"/>
    <w:rsid w:val="00AB4A9C"/>
    <w:rsid w:val="00AB4CF6"/>
    <w:rsid w:val="00AB4E4C"/>
    <w:rsid w:val="00AB513D"/>
    <w:rsid w:val="00AB5442"/>
    <w:rsid w:val="00AB6AB7"/>
    <w:rsid w:val="00AB6ACC"/>
    <w:rsid w:val="00AB79DC"/>
    <w:rsid w:val="00AC0462"/>
    <w:rsid w:val="00AC0A49"/>
    <w:rsid w:val="00AC0AEA"/>
    <w:rsid w:val="00AC0FD1"/>
    <w:rsid w:val="00AC13CE"/>
    <w:rsid w:val="00AC21F6"/>
    <w:rsid w:val="00AC33F6"/>
    <w:rsid w:val="00AC5038"/>
    <w:rsid w:val="00AC5440"/>
    <w:rsid w:val="00AC5579"/>
    <w:rsid w:val="00AC6018"/>
    <w:rsid w:val="00AC668C"/>
    <w:rsid w:val="00AC7134"/>
    <w:rsid w:val="00AC762C"/>
    <w:rsid w:val="00AC76A8"/>
    <w:rsid w:val="00AC797E"/>
    <w:rsid w:val="00AD0AF1"/>
    <w:rsid w:val="00AD180D"/>
    <w:rsid w:val="00AD1E9D"/>
    <w:rsid w:val="00AD227F"/>
    <w:rsid w:val="00AD31EE"/>
    <w:rsid w:val="00AD3460"/>
    <w:rsid w:val="00AD34C3"/>
    <w:rsid w:val="00AD3856"/>
    <w:rsid w:val="00AD40D6"/>
    <w:rsid w:val="00AD439C"/>
    <w:rsid w:val="00AD450A"/>
    <w:rsid w:val="00AD452E"/>
    <w:rsid w:val="00AD4A4F"/>
    <w:rsid w:val="00AD4B67"/>
    <w:rsid w:val="00AD4C0F"/>
    <w:rsid w:val="00AD52C4"/>
    <w:rsid w:val="00AD6194"/>
    <w:rsid w:val="00AD629D"/>
    <w:rsid w:val="00AD6D34"/>
    <w:rsid w:val="00AD7844"/>
    <w:rsid w:val="00AD7E41"/>
    <w:rsid w:val="00AE008F"/>
    <w:rsid w:val="00AE0421"/>
    <w:rsid w:val="00AE04CA"/>
    <w:rsid w:val="00AE1047"/>
    <w:rsid w:val="00AE1503"/>
    <w:rsid w:val="00AE1D43"/>
    <w:rsid w:val="00AE2957"/>
    <w:rsid w:val="00AE39C1"/>
    <w:rsid w:val="00AE3D55"/>
    <w:rsid w:val="00AE4DF0"/>
    <w:rsid w:val="00AE5016"/>
    <w:rsid w:val="00AE51C5"/>
    <w:rsid w:val="00AE547D"/>
    <w:rsid w:val="00AE587C"/>
    <w:rsid w:val="00AE59B7"/>
    <w:rsid w:val="00AE626B"/>
    <w:rsid w:val="00AE628D"/>
    <w:rsid w:val="00AE7945"/>
    <w:rsid w:val="00AE7B06"/>
    <w:rsid w:val="00AF0135"/>
    <w:rsid w:val="00AF0172"/>
    <w:rsid w:val="00AF030D"/>
    <w:rsid w:val="00AF03C9"/>
    <w:rsid w:val="00AF0577"/>
    <w:rsid w:val="00AF203F"/>
    <w:rsid w:val="00AF3DBB"/>
    <w:rsid w:val="00AF5777"/>
    <w:rsid w:val="00AF6261"/>
    <w:rsid w:val="00AF6A47"/>
    <w:rsid w:val="00AF6B2A"/>
    <w:rsid w:val="00AF770B"/>
    <w:rsid w:val="00AF7B55"/>
    <w:rsid w:val="00B0057C"/>
    <w:rsid w:val="00B01B23"/>
    <w:rsid w:val="00B026BF"/>
    <w:rsid w:val="00B02869"/>
    <w:rsid w:val="00B02DAD"/>
    <w:rsid w:val="00B03095"/>
    <w:rsid w:val="00B035A5"/>
    <w:rsid w:val="00B03663"/>
    <w:rsid w:val="00B03735"/>
    <w:rsid w:val="00B048E8"/>
    <w:rsid w:val="00B04D98"/>
    <w:rsid w:val="00B04DC1"/>
    <w:rsid w:val="00B04E36"/>
    <w:rsid w:val="00B05D7B"/>
    <w:rsid w:val="00B062F1"/>
    <w:rsid w:val="00B06936"/>
    <w:rsid w:val="00B06D2F"/>
    <w:rsid w:val="00B073A8"/>
    <w:rsid w:val="00B0748C"/>
    <w:rsid w:val="00B1100B"/>
    <w:rsid w:val="00B1124F"/>
    <w:rsid w:val="00B118F2"/>
    <w:rsid w:val="00B118F3"/>
    <w:rsid w:val="00B11BB0"/>
    <w:rsid w:val="00B1245B"/>
    <w:rsid w:val="00B12490"/>
    <w:rsid w:val="00B124BF"/>
    <w:rsid w:val="00B1388A"/>
    <w:rsid w:val="00B14719"/>
    <w:rsid w:val="00B14CA3"/>
    <w:rsid w:val="00B14CE5"/>
    <w:rsid w:val="00B14DEB"/>
    <w:rsid w:val="00B15485"/>
    <w:rsid w:val="00B1570F"/>
    <w:rsid w:val="00B15B84"/>
    <w:rsid w:val="00B160D9"/>
    <w:rsid w:val="00B1695D"/>
    <w:rsid w:val="00B16CFA"/>
    <w:rsid w:val="00B171EA"/>
    <w:rsid w:val="00B20A15"/>
    <w:rsid w:val="00B210D9"/>
    <w:rsid w:val="00B21343"/>
    <w:rsid w:val="00B22FAE"/>
    <w:rsid w:val="00B240FF"/>
    <w:rsid w:val="00B24456"/>
    <w:rsid w:val="00B247D6"/>
    <w:rsid w:val="00B24A3B"/>
    <w:rsid w:val="00B24AC3"/>
    <w:rsid w:val="00B2568F"/>
    <w:rsid w:val="00B25CC9"/>
    <w:rsid w:val="00B2607C"/>
    <w:rsid w:val="00B2672A"/>
    <w:rsid w:val="00B31257"/>
    <w:rsid w:val="00B313BD"/>
    <w:rsid w:val="00B31CA2"/>
    <w:rsid w:val="00B31CC5"/>
    <w:rsid w:val="00B31EF5"/>
    <w:rsid w:val="00B3228B"/>
    <w:rsid w:val="00B3230A"/>
    <w:rsid w:val="00B3236F"/>
    <w:rsid w:val="00B326DA"/>
    <w:rsid w:val="00B34FA7"/>
    <w:rsid w:val="00B36F76"/>
    <w:rsid w:val="00B372A8"/>
    <w:rsid w:val="00B40025"/>
    <w:rsid w:val="00B400E8"/>
    <w:rsid w:val="00B40F75"/>
    <w:rsid w:val="00B41A60"/>
    <w:rsid w:val="00B429B8"/>
    <w:rsid w:val="00B435B2"/>
    <w:rsid w:val="00B44039"/>
    <w:rsid w:val="00B442C2"/>
    <w:rsid w:val="00B4479F"/>
    <w:rsid w:val="00B45432"/>
    <w:rsid w:val="00B460A1"/>
    <w:rsid w:val="00B46150"/>
    <w:rsid w:val="00B4635F"/>
    <w:rsid w:val="00B467EA"/>
    <w:rsid w:val="00B478DF"/>
    <w:rsid w:val="00B50460"/>
    <w:rsid w:val="00B507AA"/>
    <w:rsid w:val="00B5169C"/>
    <w:rsid w:val="00B51C96"/>
    <w:rsid w:val="00B523A4"/>
    <w:rsid w:val="00B52D96"/>
    <w:rsid w:val="00B53578"/>
    <w:rsid w:val="00B54846"/>
    <w:rsid w:val="00B548AF"/>
    <w:rsid w:val="00B552C6"/>
    <w:rsid w:val="00B564A5"/>
    <w:rsid w:val="00B57287"/>
    <w:rsid w:val="00B5784E"/>
    <w:rsid w:val="00B57B02"/>
    <w:rsid w:val="00B606BA"/>
    <w:rsid w:val="00B606D0"/>
    <w:rsid w:val="00B60B8B"/>
    <w:rsid w:val="00B60BFE"/>
    <w:rsid w:val="00B611B6"/>
    <w:rsid w:val="00B61743"/>
    <w:rsid w:val="00B61764"/>
    <w:rsid w:val="00B619F6"/>
    <w:rsid w:val="00B61CA1"/>
    <w:rsid w:val="00B61F0C"/>
    <w:rsid w:val="00B635AE"/>
    <w:rsid w:val="00B63B46"/>
    <w:rsid w:val="00B6442C"/>
    <w:rsid w:val="00B64655"/>
    <w:rsid w:val="00B64E5D"/>
    <w:rsid w:val="00B65F7A"/>
    <w:rsid w:val="00B665A6"/>
    <w:rsid w:val="00B671E2"/>
    <w:rsid w:val="00B676E0"/>
    <w:rsid w:val="00B703E6"/>
    <w:rsid w:val="00B70C7F"/>
    <w:rsid w:val="00B71762"/>
    <w:rsid w:val="00B71B18"/>
    <w:rsid w:val="00B71B1E"/>
    <w:rsid w:val="00B72B95"/>
    <w:rsid w:val="00B73043"/>
    <w:rsid w:val="00B73383"/>
    <w:rsid w:val="00B739CA"/>
    <w:rsid w:val="00B73A2E"/>
    <w:rsid w:val="00B740EC"/>
    <w:rsid w:val="00B74E4B"/>
    <w:rsid w:val="00B7620B"/>
    <w:rsid w:val="00B771BB"/>
    <w:rsid w:val="00B778B4"/>
    <w:rsid w:val="00B80778"/>
    <w:rsid w:val="00B80D99"/>
    <w:rsid w:val="00B80F4B"/>
    <w:rsid w:val="00B811A7"/>
    <w:rsid w:val="00B81B51"/>
    <w:rsid w:val="00B825A0"/>
    <w:rsid w:val="00B82C6D"/>
    <w:rsid w:val="00B82D36"/>
    <w:rsid w:val="00B835AF"/>
    <w:rsid w:val="00B83D8B"/>
    <w:rsid w:val="00B84589"/>
    <w:rsid w:val="00B84C8F"/>
    <w:rsid w:val="00B84CF6"/>
    <w:rsid w:val="00B85106"/>
    <w:rsid w:val="00B85169"/>
    <w:rsid w:val="00B85745"/>
    <w:rsid w:val="00B85DEB"/>
    <w:rsid w:val="00B85FD3"/>
    <w:rsid w:val="00B8662C"/>
    <w:rsid w:val="00B86B46"/>
    <w:rsid w:val="00B86BF8"/>
    <w:rsid w:val="00B8792C"/>
    <w:rsid w:val="00B900F6"/>
    <w:rsid w:val="00B911DA"/>
    <w:rsid w:val="00B91B4D"/>
    <w:rsid w:val="00B92CFD"/>
    <w:rsid w:val="00B936FC"/>
    <w:rsid w:val="00B93CB1"/>
    <w:rsid w:val="00B94E45"/>
    <w:rsid w:val="00B966C5"/>
    <w:rsid w:val="00B97906"/>
    <w:rsid w:val="00B97D28"/>
    <w:rsid w:val="00BA05AC"/>
    <w:rsid w:val="00BA05BA"/>
    <w:rsid w:val="00BA17F4"/>
    <w:rsid w:val="00BA2A4B"/>
    <w:rsid w:val="00BA3536"/>
    <w:rsid w:val="00BA4308"/>
    <w:rsid w:val="00BA49F1"/>
    <w:rsid w:val="00BA4C9E"/>
    <w:rsid w:val="00BA5D30"/>
    <w:rsid w:val="00BA5E19"/>
    <w:rsid w:val="00BA5EE5"/>
    <w:rsid w:val="00BA660E"/>
    <w:rsid w:val="00BA75BB"/>
    <w:rsid w:val="00BA7F57"/>
    <w:rsid w:val="00BB0631"/>
    <w:rsid w:val="00BB0990"/>
    <w:rsid w:val="00BB0A4F"/>
    <w:rsid w:val="00BB117E"/>
    <w:rsid w:val="00BB1771"/>
    <w:rsid w:val="00BB2629"/>
    <w:rsid w:val="00BB28D0"/>
    <w:rsid w:val="00BB3CE1"/>
    <w:rsid w:val="00BB405B"/>
    <w:rsid w:val="00BB42FC"/>
    <w:rsid w:val="00BB5167"/>
    <w:rsid w:val="00BB652A"/>
    <w:rsid w:val="00BB7206"/>
    <w:rsid w:val="00BC09EF"/>
    <w:rsid w:val="00BC0D18"/>
    <w:rsid w:val="00BC10CD"/>
    <w:rsid w:val="00BC1DEB"/>
    <w:rsid w:val="00BC1FEB"/>
    <w:rsid w:val="00BC261F"/>
    <w:rsid w:val="00BC388E"/>
    <w:rsid w:val="00BC41A0"/>
    <w:rsid w:val="00BC421B"/>
    <w:rsid w:val="00BC4676"/>
    <w:rsid w:val="00BC5009"/>
    <w:rsid w:val="00BC5975"/>
    <w:rsid w:val="00BC5A11"/>
    <w:rsid w:val="00BC5B77"/>
    <w:rsid w:val="00BC5D7E"/>
    <w:rsid w:val="00BC6030"/>
    <w:rsid w:val="00BC62C8"/>
    <w:rsid w:val="00BC66ED"/>
    <w:rsid w:val="00BC7090"/>
    <w:rsid w:val="00BC70FF"/>
    <w:rsid w:val="00BC7238"/>
    <w:rsid w:val="00BC733D"/>
    <w:rsid w:val="00BC7883"/>
    <w:rsid w:val="00BC7981"/>
    <w:rsid w:val="00BC79CD"/>
    <w:rsid w:val="00BC7B5F"/>
    <w:rsid w:val="00BD0142"/>
    <w:rsid w:val="00BD04B9"/>
    <w:rsid w:val="00BD0FF2"/>
    <w:rsid w:val="00BD174D"/>
    <w:rsid w:val="00BD1F87"/>
    <w:rsid w:val="00BD204A"/>
    <w:rsid w:val="00BD2D4B"/>
    <w:rsid w:val="00BD3C23"/>
    <w:rsid w:val="00BD4085"/>
    <w:rsid w:val="00BD4331"/>
    <w:rsid w:val="00BD43E5"/>
    <w:rsid w:val="00BD4D94"/>
    <w:rsid w:val="00BD525A"/>
    <w:rsid w:val="00BD572A"/>
    <w:rsid w:val="00BD587F"/>
    <w:rsid w:val="00BD5AEB"/>
    <w:rsid w:val="00BD7145"/>
    <w:rsid w:val="00BD72E7"/>
    <w:rsid w:val="00BD7A4E"/>
    <w:rsid w:val="00BE095D"/>
    <w:rsid w:val="00BE19E7"/>
    <w:rsid w:val="00BE2581"/>
    <w:rsid w:val="00BE2650"/>
    <w:rsid w:val="00BE59D9"/>
    <w:rsid w:val="00BE60E2"/>
    <w:rsid w:val="00BE641E"/>
    <w:rsid w:val="00BE64D1"/>
    <w:rsid w:val="00BE6952"/>
    <w:rsid w:val="00BF08A0"/>
    <w:rsid w:val="00BF0B9F"/>
    <w:rsid w:val="00BF0DEC"/>
    <w:rsid w:val="00BF11E6"/>
    <w:rsid w:val="00BF172F"/>
    <w:rsid w:val="00BF283F"/>
    <w:rsid w:val="00BF2B32"/>
    <w:rsid w:val="00BF4178"/>
    <w:rsid w:val="00BF4FAE"/>
    <w:rsid w:val="00BF523F"/>
    <w:rsid w:val="00BF5354"/>
    <w:rsid w:val="00BF653F"/>
    <w:rsid w:val="00BF77AA"/>
    <w:rsid w:val="00BF7A34"/>
    <w:rsid w:val="00BF7D1A"/>
    <w:rsid w:val="00C006A8"/>
    <w:rsid w:val="00C0087F"/>
    <w:rsid w:val="00C0151A"/>
    <w:rsid w:val="00C01D22"/>
    <w:rsid w:val="00C01E40"/>
    <w:rsid w:val="00C03234"/>
    <w:rsid w:val="00C0329A"/>
    <w:rsid w:val="00C033A7"/>
    <w:rsid w:val="00C04091"/>
    <w:rsid w:val="00C04240"/>
    <w:rsid w:val="00C0463D"/>
    <w:rsid w:val="00C05D73"/>
    <w:rsid w:val="00C05F58"/>
    <w:rsid w:val="00C06678"/>
    <w:rsid w:val="00C07B2C"/>
    <w:rsid w:val="00C07BB7"/>
    <w:rsid w:val="00C103E3"/>
    <w:rsid w:val="00C11293"/>
    <w:rsid w:val="00C1132D"/>
    <w:rsid w:val="00C11516"/>
    <w:rsid w:val="00C11553"/>
    <w:rsid w:val="00C11D30"/>
    <w:rsid w:val="00C11DBB"/>
    <w:rsid w:val="00C125C2"/>
    <w:rsid w:val="00C12759"/>
    <w:rsid w:val="00C12C52"/>
    <w:rsid w:val="00C12F75"/>
    <w:rsid w:val="00C15041"/>
    <w:rsid w:val="00C152ED"/>
    <w:rsid w:val="00C15679"/>
    <w:rsid w:val="00C15E52"/>
    <w:rsid w:val="00C16260"/>
    <w:rsid w:val="00C1717E"/>
    <w:rsid w:val="00C2091E"/>
    <w:rsid w:val="00C21D66"/>
    <w:rsid w:val="00C222B2"/>
    <w:rsid w:val="00C2256F"/>
    <w:rsid w:val="00C22A12"/>
    <w:rsid w:val="00C2302C"/>
    <w:rsid w:val="00C23379"/>
    <w:rsid w:val="00C23861"/>
    <w:rsid w:val="00C2471F"/>
    <w:rsid w:val="00C25101"/>
    <w:rsid w:val="00C2556B"/>
    <w:rsid w:val="00C26512"/>
    <w:rsid w:val="00C2680E"/>
    <w:rsid w:val="00C26F73"/>
    <w:rsid w:val="00C27206"/>
    <w:rsid w:val="00C275D1"/>
    <w:rsid w:val="00C27DC5"/>
    <w:rsid w:val="00C27F14"/>
    <w:rsid w:val="00C27F3E"/>
    <w:rsid w:val="00C3002E"/>
    <w:rsid w:val="00C30A9B"/>
    <w:rsid w:val="00C30DC2"/>
    <w:rsid w:val="00C30E97"/>
    <w:rsid w:val="00C31CF0"/>
    <w:rsid w:val="00C32FC6"/>
    <w:rsid w:val="00C34DD2"/>
    <w:rsid w:val="00C34F0B"/>
    <w:rsid w:val="00C352BB"/>
    <w:rsid w:val="00C357E6"/>
    <w:rsid w:val="00C35A4F"/>
    <w:rsid w:val="00C35B4B"/>
    <w:rsid w:val="00C35BB2"/>
    <w:rsid w:val="00C360C5"/>
    <w:rsid w:val="00C36308"/>
    <w:rsid w:val="00C370A2"/>
    <w:rsid w:val="00C37864"/>
    <w:rsid w:val="00C40FC2"/>
    <w:rsid w:val="00C4135E"/>
    <w:rsid w:val="00C41CE8"/>
    <w:rsid w:val="00C423B5"/>
    <w:rsid w:val="00C43274"/>
    <w:rsid w:val="00C43DCA"/>
    <w:rsid w:val="00C46955"/>
    <w:rsid w:val="00C472F9"/>
    <w:rsid w:val="00C47389"/>
    <w:rsid w:val="00C474CE"/>
    <w:rsid w:val="00C479E9"/>
    <w:rsid w:val="00C51139"/>
    <w:rsid w:val="00C513CD"/>
    <w:rsid w:val="00C5252F"/>
    <w:rsid w:val="00C53825"/>
    <w:rsid w:val="00C5425F"/>
    <w:rsid w:val="00C544C1"/>
    <w:rsid w:val="00C55BCA"/>
    <w:rsid w:val="00C55DEB"/>
    <w:rsid w:val="00C55EC7"/>
    <w:rsid w:val="00C55F50"/>
    <w:rsid w:val="00C60141"/>
    <w:rsid w:val="00C604E1"/>
    <w:rsid w:val="00C606EC"/>
    <w:rsid w:val="00C609C0"/>
    <w:rsid w:val="00C60BF6"/>
    <w:rsid w:val="00C6177B"/>
    <w:rsid w:val="00C639A3"/>
    <w:rsid w:val="00C63C4C"/>
    <w:rsid w:val="00C63D77"/>
    <w:rsid w:val="00C6414C"/>
    <w:rsid w:val="00C64988"/>
    <w:rsid w:val="00C65CA9"/>
    <w:rsid w:val="00C662B6"/>
    <w:rsid w:val="00C66DDE"/>
    <w:rsid w:val="00C6787C"/>
    <w:rsid w:val="00C67F0E"/>
    <w:rsid w:val="00C70077"/>
    <w:rsid w:val="00C710C8"/>
    <w:rsid w:val="00C714E0"/>
    <w:rsid w:val="00C71DFF"/>
    <w:rsid w:val="00C71E11"/>
    <w:rsid w:val="00C72434"/>
    <w:rsid w:val="00C73056"/>
    <w:rsid w:val="00C730DF"/>
    <w:rsid w:val="00C739AB"/>
    <w:rsid w:val="00C73ACB"/>
    <w:rsid w:val="00C73B57"/>
    <w:rsid w:val="00C73D0D"/>
    <w:rsid w:val="00C74F8C"/>
    <w:rsid w:val="00C75634"/>
    <w:rsid w:val="00C760E5"/>
    <w:rsid w:val="00C76F65"/>
    <w:rsid w:val="00C773B1"/>
    <w:rsid w:val="00C80A1C"/>
    <w:rsid w:val="00C80ED6"/>
    <w:rsid w:val="00C82773"/>
    <w:rsid w:val="00C827A5"/>
    <w:rsid w:val="00C82A3A"/>
    <w:rsid w:val="00C82C18"/>
    <w:rsid w:val="00C83186"/>
    <w:rsid w:val="00C83D92"/>
    <w:rsid w:val="00C84459"/>
    <w:rsid w:val="00C847B1"/>
    <w:rsid w:val="00C84A75"/>
    <w:rsid w:val="00C85094"/>
    <w:rsid w:val="00C85EA3"/>
    <w:rsid w:val="00C86660"/>
    <w:rsid w:val="00C8789E"/>
    <w:rsid w:val="00C879EE"/>
    <w:rsid w:val="00C87A82"/>
    <w:rsid w:val="00C87DC9"/>
    <w:rsid w:val="00C90319"/>
    <w:rsid w:val="00C90571"/>
    <w:rsid w:val="00C9127B"/>
    <w:rsid w:val="00C9193C"/>
    <w:rsid w:val="00C91E9A"/>
    <w:rsid w:val="00C92BFB"/>
    <w:rsid w:val="00C934CE"/>
    <w:rsid w:val="00C9360E"/>
    <w:rsid w:val="00C93836"/>
    <w:rsid w:val="00C939A8"/>
    <w:rsid w:val="00C939E8"/>
    <w:rsid w:val="00C9455D"/>
    <w:rsid w:val="00C947A1"/>
    <w:rsid w:val="00C94B0A"/>
    <w:rsid w:val="00C952E9"/>
    <w:rsid w:val="00C95970"/>
    <w:rsid w:val="00C95E20"/>
    <w:rsid w:val="00CA08FD"/>
    <w:rsid w:val="00CA0D5D"/>
    <w:rsid w:val="00CA165B"/>
    <w:rsid w:val="00CA220E"/>
    <w:rsid w:val="00CA2A36"/>
    <w:rsid w:val="00CA2F7C"/>
    <w:rsid w:val="00CA3158"/>
    <w:rsid w:val="00CA3603"/>
    <w:rsid w:val="00CA4111"/>
    <w:rsid w:val="00CA42E4"/>
    <w:rsid w:val="00CA4AE3"/>
    <w:rsid w:val="00CA6195"/>
    <w:rsid w:val="00CA63DB"/>
    <w:rsid w:val="00CA678B"/>
    <w:rsid w:val="00CA7E29"/>
    <w:rsid w:val="00CB0C7D"/>
    <w:rsid w:val="00CB0D9A"/>
    <w:rsid w:val="00CB146A"/>
    <w:rsid w:val="00CB226B"/>
    <w:rsid w:val="00CB3870"/>
    <w:rsid w:val="00CB40C9"/>
    <w:rsid w:val="00CB4656"/>
    <w:rsid w:val="00CB4D95"/>
    <w:rsid w:val="00CB7224"/>
    <w:rsid w:val="00CB7EA4"/>
    <w:rsid w:val="00CC0888"/>
    <w:rsid w:val="00CC1C7D"/>
    <w:rsid w:val="00CC2025"/>
    <w:rsid w:val="00CC27F4"/>
    <w:rsid w:val="00CC288C"/>
    <w:rsid w:val="00CC2B0B"/>
    <w:rsid w:val="00CC2EE6"/>
    <w:rsid w:val="00CC32D8"/>
    <w:rsid w:val="00CC419C"/>
    <w:rsid w:val="00CC58E3"/>
    <w:rsid w:val="00CC688B"/>
    <w:rsid w:val="00CC6A9E"/>
    <w:rsid w:val="00CC6C74"/>
    <w:rsid w:val="00CC6E8F"/>
    <w:rsid w:val="00CC76C9"/>
    <w:rsid w:val="00CD053A"/>
    <w:rsid w:val="00CD13E5"/>
    <w:rsid w:val="00CD15A9"/>
    <w:rsid w:val="00CD1A30"/>
    <w:rsid w:val="00CD20F7"/>
    <w:rsid w:val="00CD25E6"/>
    <w:rsid w:val="00CD2844"/>
    <w:rsid w:val="00CD2AD9"/>
    <w:rsid w:val="00CD2EC7"/>
    <w:rsid w:val="00CD4CFE"/>
    <w:rsid w:val="00CD5354"/>
    <w:rsid w:val="00CD64C6"/>
    <w:rsid w:val="00CD6942"/>
    <w:rsid w:val="00CD6BB7"/>
    <w:rsid w:val="00CD6C51"/>
    <w:rsid w:val="00CD7175"/>
    <w:rsid w:val="00CD737B"/>
    <w:rsid w:val="00CD7AF7"/>
    <w:rsid w:val="00CD7D2A"/>
    <w:rsid w:val="00CE0073"/>
    <w:rsid w:val="00CE0CFC"/>
    <w:rsid w:val="00CE17CB"/>
    <w:rsid w:val="00CE1FE5"/>
    <w:rsid w:val="00CE2018"/>
    <w:rsid w:val="00CE2F7D"/>
    <w:rsid w:val="00CE30EF"/>
    <w:rsid w:val="00CE36D5"/>
    <w:rsid w:val="00CE405F"/>
    <w:rsid w:val="00CE44EB"/>
    <w:rsid w:val="00CE46FC"/>
    <w:rsid w:val="00CE4888"/>
    <w:rsid w:val="00CE515A"/>
    <w:rsid w:val="00CE53BF"/>
    <w:rsid w:val="00CE5442"/>
    <w:rsid w:val="00CE5C01"/>
    <w:rsid w:val="00CE5CC2"/>
    <w:rsid w:val="00CE6144"/>
    <w:rsid w:val="00CE6710"/>
    <w:rsid w:val="00CE6827"/>
    <w:rsid w:val="00CE7A9F"/>
    <w:rsid w:val="00CF01A4"/>
    <w:rsid w:val="00CF0339"/>
    <w:rsid w:val="00CF0C83"/>
    <w:rsid w:val="00CF1996"/>
    <w:rsid w:val="00CF1B8E"/>
    <w:rsid w:val="00CF1E84"/>
    <w:rsid w:val="00CF2906"/>
    <w:rsid w:val="00CF329A"/>
    <w:rsid w:val="00CF3306"/>
    <w:rsid w:val="00CF3578"/>
    <w:rsid w:val="00CF3E5A"/>
    <w:rsid w:val="00CF4DD3"/>
    <w:rsid w:val="00CF5B17"/>
    <w:rsid w:val="00CF5B78"/>
    <w:rsid w:val="00CF6945"/>
    <w:rsid w:val="00CF6AA6"/>
    <w:rsid w:val="00CF725E"/>
    <w:rsid w:val="00CF7E7B"/>
    <w:rsid w:val="00D0003A"/>
    <w:rsid w:val="00D00138"/>
    <w:rsid w:val="00D005A0"/>
    <w:rsid w:val="00D0064D"/>
    <w:rsid w:val="00D00707"/>
    <w:rsid w:val="00D00A05"/>
    <w:rsid w:val="00D0133A"/>
    <w:rsid w:val="00D01873"/>
    <w:rsid w:val="00D02233"/>
    <w:rsid w:val="00D024FD"/>
    <w:rsid w:val="00D030AD"/>
    <w:rsid w:val="00D041D8"/>
    <w:rsid w:val="00D04205"/>
    <w:rsid w:val="00D04856"/>
    <w:rsid w:val="00D04FA7"/>
    <w:rsid w:val="00D0508E"/>
    <w:rsid w:val="00D0513B"/>
    <w:rsid w:val="00D064AC"/>
    <w:rsid w:val="00D0666B"/>
    <w:rsid w:val="00D06F40"/>
    <w:rsid w:val="00D0782B"/>
    <w:rsid w:val="00D07952"/>
    <w:rsid w:val="00D10D78"/>
    <w:rsid w:val="00D11C24"/>
    <w:rsid w:val="00D11C39"/>
    <w:rsid w:val="00D12B24"/>
    <w:rsid w:val="00D12C6B"/>
    <w:rsid w:val="00D12F95"/>
    <w:rsid w:val="00D132DF"/>
    <w:rsid w:val="00D1486D"/>
    <w:rsid w:val="00D148EA"/>
    <w:rsid w:val="00D14E70"/>
    <w:rsid w:val="00D1559E"/>
    <w:rsid w:val="00D156C8"/>
    <w:rsid w:val="00D156F9"/>
    <w:rsid w:val="00D15DCF"/>
    <w:rsid w:val="00D167AE"/>
    <w:rsid w:val="00D16A72"/>
    <w:rsid w:val="00D16FCD"/>
    <w:rsid w:val="00D204C5"/>
    <w:rsid w:val="00D20905"/>
    <w:rsid w:val="00D20967"/>
    <w:rsid w:val="00D20EB7"/>
    <w:rsid w:val="00D211D5"/>
    <w:rsid w:val="00D228B1"/>
    <w:rsid w:val="00D22B3C"/>
    <w:rsid w:val="00D24595"/>
    <w:rsid w:val="00D255AC"/>
    <w:rsid w:val="00D2584E"/>
    <w:rsid w:val="00D2612C"/>
    <w:rsid w:val="00D265BE"/>
    <w:rsid w:val="00D269BA"/>
    <w:rsid w:val="00D2743F"/>
    <w:rsid w:val="00D27D21"/>
    <w:rsid w:val="00D30DC7"/>
    <w:rsid w:val="00D30F0E"/>
    <w:rsid w:val="00D3122C"/>
    <w:rsid w:val="00D3134A"/>
    <w:rsid w:val="00D316D5"/>
    <w:rsid w:val="00D31AEB"/>
    <w:rsid w:val="00D32592"/>
    <w:rsid w:val="00D32773"/>
    <w:rsid w:val="00D335A7"/>
    <w:rsid w:val="00D33901"/>
    <w:rsid w:val="00D341DC"/>
    <w:rsid w:val="00D342AD"/>
    <w:rsid w:val="00D3458F"/>
    <w:rsid w:val="00D34883"/>
    <w:rsid w:val="00D34AEE"/>
    <w:rsid w:val="00D34B45"/>
    <w:rsid w:val="00D34E15"/>
    <w:rsid w:val="00D34FEF"/>
    <w:rsid w:val="00D35532"/>
    <w:rsid w:val="00D35983"/>
    <w:rsid w:val="00D35EA9"/>
    <w:rsid w:val="00D36850"/>
    <w:rsid w:val="00D369ED"/>
    <w:rsid w:val="00D375C2"/>
    <w:rsid w:val="00D40D70"/>
    <w:rsid w:val="00D40F6C"/>
    <w:rsid w:val="00D4154A"/>
    <w:rsid w:val="00D420CF"/>
    <w:rsid w:val="00D421D8"/>
    <w:rsid w:val="00D4226E"/>
    <w:rsid w:val="00D42281"/>
    <w:rsid w:val="00D4304F"/>
    <w:rsid w:val="00D43E7E"/>
    <w:rsid w:val="00D43F81"/>
    <w:rsid w:val="00D447DF"/>
    <w:rsid w:val="00D44C58"/>
    <w:rsid w:val="00D44E9E"/>
    <w:rsid w:val="00D44F65"/>
    <w:rsid w:val="00D45E81"/>
    <w:rsid w:val="00D46000"/>
    <w:rsid w:val="00D46538"/>
    <w:rsid w:val="00D465A6"/>
    <w:rsid w:val="00D503A2"/>
    <w:rsid w:val="00D50B5E"/>
    <w:rsid w:val="00D51220"/>
    <w:rsid w:val="00D5198E"/>
    <w:rsid w:val="00D528DE"/>
    <w:rsid w:val="00D52BDE"/>
    <w:rsid w:val="00D532DD"/>
    <w:rsid w:val="00D53E1A"/>
    <w:rsid w:val="00D53FEF"/>
    <w:rsid w:val="00D54293"/>
    <w:rsid w:val="00D5578C"/>
    <w:rsid w:val="00D5588F"/>
    <w:rsid w:val="00D55D71"/>
    <w:rsid w:val="00D56016"/>
    <w:rsid w:val="00D56383"/>
    <w:rsid w:val="00D57D08"/>
    <w:rsid w:val="00D60254"/>
    <w:rsid w:val="00D6119E"/>
    <w:rsid w:val="00D61829"/>
    <w:rsid w:val="00D61878"/>
    <w:rsid w:val="00D6204F"/>
    <w:rsid w:val="00D6355C"/>
    <w:rsid w:val="00D64A53"/>
    <w:rsid w:val="00D65A04"/>
    <w:rsid w:val="00D65D42"/>
    <w:rsid w:val="00D65E2F"/>
    <w:rsid w:val="00D668E8"/>
    <w:rsid w:val="00D66EC0"/>
    <w:rsid w:val="00D67038"/>
    <w:rsid w:val="00D67C39"/>
    <w:rsid w:val="00D67CC5"/>
    <w:rsid w:val="00D67DF2"/>
    <w:rsid w:val="00D70405"/>
    <w:rsid w:val="00D707EB"/>
    <w:rsid w:val="00D70AC0"/>
    <w:rsid w:val="00D70DE1"/>
    <w:rsid w:val="00D70E08"/>
    <w:rsid w:val="00D7156D"/>
    <w:rsid w:val="00D71726"/>
    <w:rsid w:val="00D722AD"/>
    <w:rsid w:val="00D72A0F"/>
    <w:rsid w:val="00D72C5A"/>
    <w:rsid w:val="00D73178"/>
    <w:rsid w:val="00D73BA1"/>
    <w:rsid w:val="00D74152"/>
    <w:rsid w:val="00D746F1"/>
    <w:rsid w:val="00D754B4"/>
    <w:rsid w:val="00D7555C"/>
    <w:rsid w:val="00D768F7"/>
    <w:rsid w:val="00D771A0"/>
    <w:rsid w:val="00D778AA"/>
    <w:rsid w:val="00D80767"/>
    <w:rsid w:val="00D80C56"/>
    <w:rsid w:val="00D81467"/>
    <w:rsid w:val="00D8374E"/>
    <w:rsid w:val="00D848C8"/>
    <w:rsid w:val="00D85A46"/>
    <w:rsid w:val="00D85D81"/>
    <w:rsid w:val="00D85E00"/>
    <w:rsid w:val="00D86A3C"/>
    <w:rsid w:val="00D86B6D"/>
    <w:rsid w:val="00D8702A"/>
    <w:rsid w:val="00D87595"/>
    <w:rsid w:val="00D91906"/>
    <w:rsid w:val="00D91FB8"/>
    <w:rsid w:val="00D9206F"/>
    <w:rsid w:val="00D92457"/>
    <w:rsid w:val="00D93047"/>
    <w:rsid w:val="00D936E6"/>
    <w:rsid w:val="00D93E87"/>
    <w:rsid w:val="00D957A6"/>
    <w:rsid w:val="00D95BC5"/>
    <w:rsid w:val="00D96366"/>
    <w:rsid w:val="00D96D46"/>
    <w:rsid w:val="00D97CFE"/>
    <w:rsid w:val="00DA1B42"/>
    <w:rsid w:val="00DA21A8"/>
    <w:rsid w:val="00DA26E8"/>
    <w:rsid w:val="00DA2C7B"/>
    <w:rsid w:val="00DA3915"/>
    <w:rsid w:val="00DA39F7"/>
    <w:rsid w:val="00DA5021"/>
    <w:rsid w:val="00DA5510"/>
    <w:rsid w:val="00DA557B"/>
    <w:rsid w:val="00DA5A4C"/>
    <w:rsid w:val="00DA5E27"/>
    <w:rsid w:val="00DA6070"/>
    <w:rsid w:val="00DA6F02"/>
    <w:rsid w:val="00DA739C"/>
    <w:rsid w:val="00DA769A"/>
    <w:rsid w:val="00DA775A"/>
    <w:rsid w:val="00DA7D8F"/>
    <w:rsid w:val="00DB1342"/>
    <w:rsid w:val="00DB1EF4"/>
    <w:rsid w:val="00DB1FD0"/>
    <w:rsid w:val="00DB2FB5"/>
    <w:rsid w:val="00DB3433"/>
    <w:rsid w:val="00DB47D9"/>
    <w:rsid w:val="00DB5E6F"/>
    <w:rsid w:val="00DB69E5"/>
    <w:rsid w:val="00DB6BE0"/>
    <w:rsid w:val="00DB6C23"/>
    <w:rsid w:val="00DB7F80"/>
    <w:rsid w:val="00DC12EB"/>
    <w:rsid w:val="00DC137A"/>
    <w:rsid w:val="00DC15DE"/>
    <w:rsid w:val="00DC1637"/>
    <w:rsid w:val="00DC1CB7"/>
    <w:rsid w:val="00DC1ED7"/>
    <w:rsid w:val="00DC224C"/>
    <w:rsid w:val="00DC22AE"/>
    <w:rsid w:val="00DC25CB"/>
    <w:rsid w:val="00DC28D5"/>
    <w:rsid w:val="00DC306C"/>
    <w:rsid w:val="00DC30F9"/>
    <w:rsid w:val="00DC3762"/>
    <w:rsid w:val="00DC4B89"/>
    <w:rsid w:val="00DC4DBE"/>
    <w:rsid w:val="00DC5905"/>
    <w:rsid w:val="00DC5A4E"/>
    <w:rsid w:val="00DC5FCF"/>
    <w:rsid w:val="00DC769B"/>
    <w:rsid w:val="00DC7B44"/>
    <w:rsid w:val="00DC7D56"/>
    <w:rsid w:val="00DC7E7E"/>
    <w:rsid w:val="00DC7F45"/>
    <w:rsid w:val="00DD0184"/>
    <w:rsid w:val="00DD1949"/>
    <w:rsid w:val="00DD198F"/>
    <w:rsid w:val="00DD1E54"/>
    <w:rsid w:val="00DD2423"/>
    <w:rsid w:val="00DD26FD"/>
    <w:rsid w:val="00DD355B"/>
    <w:rsid w:val="00DD3B0C"/>
    <w:rsid w:val="00DD3D05"/>
    <w:rsid w:val="00DD3DBB"/>
    <w:rsid w:val="00DD4721"/>
    <w:rsid w:val="00DD489A"/>
    <w:rsid w:val="00DD64AC"/>
    <w:rsid w:val="00DD7B42"/>
    <w:rsid w:val="00DE0C75"/>
    <w:rsid w:val="00DE1459"/>
    <w:rsid w:val="00DE15C9"/>
    <w:rsid w:val="00DE2AB0"/>
    <w:rsid w:val="00DE2DB4"/>
    <w:rsid w:val="00DE3058"/>
    <w:rsid w:val="00DE3298"/>
    <w:rsid w:val="00DE3BC0"/>
    <w:rsid w:val="00DE3DA8"/>
    <w:rsid w:val="00DE44E3"/>
    <w:rsid w:val="00DE48D4"/>
    <w:rsid w:val="00DE5028"/>
    <w:rsid w:val="00DE5181"/>
    <w:rsid w:val="00DE61A2"/>
    <w:rsid w:val="00DF0A38"/>
    <w:rsid w:val="00DF0B16"/>
    <w:rsid w:val="00DF10CF"/>
    <w:rsid w:val="00DF18C8"/>
    <w:rsid w:val="00DF1986"/>
    <w:rsid w:val="00DF2983"/>
    <w:rsid w:val="00DF2DB9"/>
    <w:rsid w:val="00DF4C10"/>
    <w:rsid w:val="00DF5F80"/>
    <w:rsid w:val="00DF6F33"/>
    <w:rsid w:val="00DF749A"/>
    <w:rsid w:val="00E00E5E"/>
    <w:rsid w:val="00E00E7F"/>
    <w:rsid w:val="00E01A54"/>
    <w:rsid w:val="00E02205"/>
    <w:rsid w:val="00E03144"/>
    <w:rsid w:val="00E03B6A"/>
    <w:rsid w:val="00E0460F"/>
    <w:rsid w:val="00E04BB4"/>
    <w:rsid w:val="00E04FC1"/>
    <w:rsid w:val="00E052E9"/>
    <w:rsid w:val="00E0555D"/>
    <w:rsid w:val="00E0562E"/>
    <w:rsid w:val="00E066C4"/>
    <w:rsid w:val="00E06F6E"/>
    <w:rsid w:val="00E07045"/>
    <w:rsid w:val="00E0711D"/>
    <w:rsid w:val="00E07460"/>
    <w:rsid w:val="00E10BCF"/>
    <w:rsid w:val="00E10E63"/>
    <w:rsid w:val="00E121DA"/>
    <w:rsid w:val="00E1255A"/>
    <w:rsid w:val="00E127B4"/>
    <w:rsid w:val="00E12BA1"/>
    <w:rsid w:val="00E12CCE"/>
    <w:rsid w:val="00E12D91"/>
    <w:rsid w:val="00E136B0"/>
    <w:rsid w:val="00E13BB1"/>
    <w:rsid w:val="00E14542"/>
    <w:rsid w:val="00E147E5"/>
    <w:rsid w:val="00E1480F"/>
    <w:rsid w:val="00E15350"/>
    <w:rsid w:val="00E15B03"/>
    <w:rsid w:val="00E174CD"/>
    <w:rsid w:val="00E17A93"/>
    <w:rsid w:val="00E17F6A"/>
    <w:rsid w:val="00E20922"/>
    <w:rsid w:val="00E2104E"/>
    <w:rsid w:val="00E210E7"/>
    <w:rsid w:val="00E211F0"/>
    <w:rsid w:val="00E21A6E"/>
    <w:rsid w:val="00E21D50"/>
    <w:rsid w:val="00E2208B"/>
    <w:rsid w:val="00E22ECD"/>
    <w:rsid w:val="00E22EFB"/>
    <w:rsid w:val="00E23428"/>
    <w:rsid w:val="00E234F0"/>
    <w:rsid w:val="00E23810"/>
    <w:rsid w:val="00E24246"/>
    <w:rsid w:val="00E24437"/>
    <w:rsid w:val="00E24CBC"/>
    <w:rsid w:val="00E24DAF"/>
    <w:rsid w:val="00E2540D"/>
    <w:rsid w:val="00E25AA2"/>
    <w:rsid w:val="00E25B90"/>
    <w:rsid w:val="00E25C49"/>
    <w:rsid w:val="00E26E6F"/>
    <w:rsid w:val="00E27E24"/>
    <w:rsid w:val="00E3098F"/>
    <w:rsid w:val="00E30EE8"/>
    <w:rsid w:val="00E31435"/>
    <w:rsid w:val="00E31523"/>
    <w:rsid w:val="00E31EB2"/>
    <w:rsid w:val="00E32134"/>
    <w:rsid w:val="00E32639"/>
    <w:rsid w:val="00E32B49"/>
    <w:rsid w:val="00E335C0"/>
    <w:rsid w:val="00E33F8C"/>
    <w:rsid w:val="00E343D5"/>
    <w:rsid w:val="00E34ECD"/>
    <w:rsid w:val="00E3519E"/>
    <w:rsid w:val="00E351AC"/>
    <w:rsid w:val="00E35E2F"/>
    <w:rsid w:val="00E36D82"/>
    <w:rsid w:val="00E37691"/>
    <w:rsid w:val="00E40339"/>
    <w:rsid w:val="00E4057D"/>
    <w:rsid w:val="00E409F4"/>
    <w:rsid w:val="00E4115C"/>
    <w:rsid w:val="00E416F9"/>
    <w:rsid w:val="00E417F8"/>
    <w:rsid w:val="00E418E1"/>
    <w:rsid w:val="00E41DA6"/>
    <w:rsid w:val="00E42310"/>
    <w:rsid w:val="00E42F51"/>
    <w:rsid w:val="00E43F4A"/>
    <w:rsid w:val="00E445F4"/>
    <w:rsid w:val="00E44915"/>
    <w:rsid w:val="00E44BFC"/>
    <w:rsid w:val="00E45A92"/>
    <w:rsid w:val="00E47095"/>
    <w:rsid w:val="00E50E93"/>
    <w:rsid w:val="00E50F23"/>
    <w:rsid w:val="00E5145F"/>
    <w:rsid w:val="00E51C01"/>
    <w:rsid w:val="00E526E9"/>
    <w:rsid w:val="00E5292E"/>
    <w:rsid w:val="00E53CBC"/>
    <w:rsid w:val="00E5413F"/>
    <w:rsid w:val="00E548E2"/>
    <w:rsid w:val="00E55191"/>
    <w:rsid w:val="00E557D5"/>
    <w:rsid w:val="00E5615C"/>
    <w:rsid w:val="00E5707D"/>
    <w:rsid w:val="00E574B9"/>
    <w:rsid w:val="00E57A23"/>
    <w:rsid w:val="00E6050F"/>
    <w:rsid w:val="00E6093D"/>
    <w:rsid w:val="00E60B2D"/>
    <w:rsid w:val="00E60E83"/>
    <w:rsid w:val="00E61333"/>
    <w:rsid w:val="00E616FB"/>
    <w:rsid w:val="00E61EF6"/>
    <w:rsid w:val="00E6240A"/>
    <w:rsid w:val="00E62EC2"/>
    <w:rsid w:val="00E63206"/>
    <w:rsid w:val="00E63436"/>
    <w:rsid w:val="00E634AF"/>
    <w:rsid w:val="00E63BF4"/>
    <w:rsid w:val="00E64B06"/>
    <w:rsid w:val="00E64CFC"/>
    <w:rsid w:val="00E65248"/>
    <w:rsid w:val="00E65F69"/>
    <w:rsid w:val="00E660AF"/>
    <w:rsid w:val="00E66131"/>
    <w:rsid w:val="00E66767"/>
    <w:rsid w:val="00E673B5"/>
    <w:rsid w:val="00E673EA"/>
    <w:rsid w:val="00E67955"/>
    <w:rsid w:val="00E70688"/>
    <w:rsid w:val="00E706BF"/>
    <w:rsid w:val="00E7184E"/>
    <w:rsid w:val="00E72306"/>
    <w:rsid w:val="00E7293A"/>
    <w:rsid w:val="00E729D2"/>
    <w:rsid w:val="00E749A5"/>
    <w:rsid w:val="00E750C8"/>
    <w:rsid w:val="00E752B3"/>
    <w:rsid w:val="00E7559F"/>
    <w:rsid w:val="00E76517"/>
    <w:rsid w:val="00E76F4B"/>
    <w:rsid w:val="00E7705C"/>
    <w:rsid w:val="00E77599"/>
    <w:rsid w:val="00E77749"/>
    <w:rsid w:val="00E77AC8"/>
    <w:rsid w:val="00E80473"/>
    <w:rsid w:val="00E806A6"/>
    <w:rsid w:val="00E80E23"/>
    <w:rsid w:val="00E80FEA"/>
    <w:rsid w:val="00E81852"/>
    <w:rsid w:val="00E8297F"/>
    <w:rsid w:val="00E832DB"/>
    <w:rsid w:val="00E83EA0"/>
    <w:rsid w:val="00E84216"/>
    <w:rsid w:val="00E842F9"/>
    <w:rsid w:val="00E852BB"/>
    <w:rsid w:val="00E85759"/>
    <w:rsid w:val="00E85850"/>
    <w:rsid w:val="00E85DD4"/>
    <w:rsid w:val="00E8629C"/>
    <w:rsid w:val="00E863A1"/>
    <w:rsid w:val="00E8659F"/>
    <w:rsid w:val="00E876A2"/>
    <w:rsid w:val="00E8788C"/>
    <w:rsid w:val="00E87B8F"/>
    <w:rsid w:val="00E9073C"/>
    <w:rsid w:val="00E91419"/>
    <w:rsid w:val="00E91863"/>
    <w:rsid w:val="00E91AD0"/>
    <w:rsid w:val="00E91D93"/>
    <w:rsid w:val="00E92AC1"/>
    <w:rsid w:val="00E92E91"/>
    <w:rsid w:val="00E9408A"/>
    <w:rsid w:val="00E94273"/>
    <w:rsid w:val="00E943B1"/>
    <w:rsid w:val="00E959BB"/>
    <w:rsid w:val="00E95D7F"/>
    <w:rsid w:val="00E965E3"/>
    <w:rsid w:val="00E973F1"/>
    <w:rsid w:val="00E97C44"/>
    <w:rsid w:val="00EA0CEC"/>
    <w:rsid w:val="00EA101A"/>
    <w:rsid w:val="00EA111C"/>
    <w:rsid w:val="00EA13DA"/>
    <w:rsid w:val="00EA154B"/>
    <w:rsid w:val="00EA189C"/>
    <w:rsid w:val="00EA1B30"/>
    <w:rsid w:val="00EA1B56"/>
    <w:rsid w:val="00EA22A5"/>
    <w:rsid w:val="00EA29F0"/>
    <w:rsid w:val="00EA2F4E"/>
    <w:rsid w:val="00EA3306"/>
    <w:rsid w:val="00EA34E6"/>
    <w:rsid w:val="00EA376B"/>
    <w:rsid w:val="00EA3D55"/>
    <w:rsid w:val="00EA43AD"/>
    <w:rsid w:val="00EA5354"/>
    <w:rsid w:val="00EA5599"/>
    <w:rsid w:val="00EA5651"/>
    <w:rsid w:val="00EA65F8"/>
    <w:rsid w:val="00EA6862"/>
    <w:rsid w:val="00EA7062"/>
    <w:rsid w:val="00EA74AE"/>
    <w:rsid w:val="00EB06BE"/>
    <w:rsid w:val="00EB0CA4"/>
    <w:rsid w:val="00EB12EA"/>
    <w:rsid w:val="00EB16E6"/>
    <w:rsid w:val="00EB1DE0"/>
    <w:rsid w:val="00EB1E3D"/>
    <w:rsid w:val="00EB265E"/>
    <w:rsid w:val="00EB2A91"/>
    <w:rsid w:val="00EB31EA"/>
    <w:rsid w:val="00EB35E6"/>
    <w:rsid w:val="00EB41CB"/>
    <w:rsid w:val="00EB526E"/>
    <w:rsid w:val="00EB5466"/>
    <w:rsid w:val="00EB630F"/>
    <w:rsid w:val="00EB63E6"/>
    <w:rsid w:val="00EB6AD4"/>
    <w:rsid w:val="00EB7076"/>
    <w:rsid w:val="00EB7A0C"/>
    <w:rsid w:val="00EB7FD8"/>
    <w:rsid w:val="00EC0B83"/>
    <w:rsid w:val="00EC112D"/>
    <w:rsid w:val="00EC1902"/>
    <w:rsid w:val="00EC2BEB"/>
    <w:rsid w:val="00EC2D65"/>
    <w:rsid w:val="00EC38C7"/>
    <w:rsid w:val="00EC3AE5"/>
    <w:rsid w:val="00EC491C"/>
    <w:rsid w:val="00EC5478"/>
    <w:rsid w:val="00EC5531"/>
    <w:rsid w:val="00EC6245"/>
    <w:rsid w:val="00EC6474"/>
    <w:rsid w:val="00EC6C9B"/>
    <w:rsid w:val="00EC7653"/>
    <w:rsid w:val="00ED06A9"/>
    <w:rsid w:val="00ED0AE2"/>
    <w:rsid w:val="00ED10DE"/>
    <w:rsid w:val="00ED197A"/>
    <w:rsid w:val="00ED2AC8"/>
    <w:rsid w:val="00ED4616"/>
    <w:rsid w:val="00ED559B"/>
    <w:rsid w:val="00ED6824"/>
    <w:rsid w:val="00EE0118"/>
    <w:rsid w:val="00EE040C"/>
    <w:rsid w:val="00EE05D5"/>
    <w:rsid w:val="00EE0E4D"/>
    <w:rsid w:val="00EE0FCF"/>
    <w:rsid w:val="00EE16B3"/>
    <w:rsid w:val="00EE17F1"/>
    <w:rsid w:val="00EE1E15"/>
    <w:rsid w:val="00EE2DAF"/>
    <w:rsid w:val="00EE2FA4"/>
    <w:rsid w:val="00EE354A"/>
    <w:rsid w:val="00EE44E5"/>
    <w:rsid w:val="00EE487E"/>
    <w:rsid w:val="00EE56FC"/>
    <w:rsid w:val="00EE5781"/>
    <w:rsid w:val="00EF0D6F"/>
    <w:rsid w:val="00EF0DD1"/>
    <w:rsid w:val="00EF13C7"/>
    <w:rsid w:val="00EF1803"/>
    <w:rsid w:val="00EF26DC"/>
    <w:rsid w:val="00EF29D8"/>
    <w:rsid w:val="00EF2F1A"/>
    <w:rsid w:val="00EF31C0"/>
    <w:rsid w:val="00EF3293"/>
    <w:rsid w:val="00EF412B"/>
    <w:rsid w:val="00EF414D"/>
    <w:rsid w:val="00EF5636"/>
    <w:rsid w:val="00EF5757"/>
    <w:rsid w:val="00EF629C"/>
    <w:rsid w:val="00EF6377"/>
    <w:rsid w:val="00EF66BB"/>
    <w:rsid w:val="00EF6CBA"/>
    <w:rsid w:val="00EF71AF"/>
    <w:rsid w:val="00EF7596"/>
    <w:rsid w:val="00EF7775"/>
    <w:rsid w:val="00EF7ABE"/>
    <w:rsid w:val="00EF7D67"/>
    <w:rsid w:val="00F00218"/>
    <w:rsid w:val="00F00A22"/>
    <w:rsid w:val="00F00B9B"/>
    <w:rsid w:val="00F00C79"/>
    <w:rsid w:val="00F00EA3"/>
    <w:rsid w:val="00F010D3"/>
    <w:rsid w:val="00F01F48"/>
    <w:rsid w:val="00F02068"/>
    <w:rsid w:val="00F0249F"/>
    <w:rsid w:val="00F025B2"/>
    <w:rsid w:val="00F02F4C"/>
    <w:rsid w:val="00F03187"/>
    <w:rsid w:val="00F036D6"/>
    <w:rsid w:val="00F0399E"/>
    <w:rsid w:val="00F03E8C"/>
    <w:rsid w:val="00F04FAB"/>
    <w:rsid w:val="00F05082"/>
    <w:rsid w:val="00F053C5"/>
    <w:rsid w:val="00F05DC4"/>
    <w:rsid w:val="00F05ED1"/>
    <w:rsid w:val="00F06466"/>
    <w:rsid w:val="00F0687A"/>
    <w:rsid w:val="00F0703B"/>
    <w:rsid w:val="00F07043"/>
    <w:rsid w:val="00F0751B"/>
    <w:rsid w:val="00F076B2"/>
    <w:rsid w:val="00F079F9"/>
    <w:rsid w:val="00F07F05"/>
    <w:rsid w:val="00F1104C"/>
    <w:rsid w:val="00F118A0"/>
    <w:rsid w:val="00F12F7D"/>
    <w:rsid w:val="00F13980"/>
    <w:rsid w:val="00F13C6E"/>
    <w:rsid w:val="00F14D8B"/>
    <w:rsid w:val="00F15662"/>
    <w:rsid w:val="00F15A15"/>
    <w:rsid w:val="00F15F15"/>
    <w:rsid w:val="00F165F1"/>
    <w:rsid w:val="00F169A4"/>
    <w:rsid w:val="00F16BE6"/>
    <w:rsid w:val="00F17076"/>
    <w:rsid w:val="00F17237"/>
    <w:rsid w:val="00F17A98"/>
    <w:rsid w:val="00F20ED0"/>
    <w:rsid w:val="00F21C09"/>
    <w:rsid w:val="00F24038"/>
    <w:rsid w:val="00F256A5"/>
    <w:rsid w:val="00F2798C"/>
    <w:rsid w:val="00F27C88"/>
    <w:rsid w:val="00F27D95"/>
    <w:rsid w:val="00F306AE"/>
    <w:rsid w:val="00F308C0"/>
    <w:rsid w:val="00F30A6F"/>
    <w:rsid w:val="00F31094"/>
    <w:rsid w:val="00F312AB"/>
    <w:rsid w:val="00F31896"/>
    <w:rsid w:val="00F31C8A"/>
    <w:rsid w:val="00F31C92"/>
    <w:rsid w:val="00F31D56"/>
    <w:rsid w:val="00F31E24"/>
    <w:rsid w:val="00F324B6"/>
    <w:rsid w:val="00F3264E"/>
    <w:rsid w:val="00F32A51"/>
    <w:rsid w:val="00F32B66"/>
    <w:rsid w:val="00F332BE"/>
    <w:rsid w:val="00F34BE0"/>
    <w:rsid w:val="00F37671"/>
    <w:rsid w:val="00F37CBE"/>
    <w:rsid w:val="00F37D88"/>
    <w:rsid w:val="00F41610"/>
    <w:rsid w:val="00F41912"/>
    <w:rsid w:val="00F41E7D"/>
    <w:rsid w:val="00F425AF"/>
    <w:rsid w:val="00F42AE7"/>
    <w:rsid w:val="00F42ECF"/>
    <w:rsid w:val="00F430EA"/>
    <w:rsid w:val="00F43C00"/>
    <w:rsid w:val="00F444F0"/>
    <w:rsid w:val="00F44A40"/>
    <w:rsid w:val="00F44E12"/>
    <w:rsid w:val="00F450C2"/>
    <w:rsid w:val="00F453C5"/>
    <w:rsid w:val="00F458F7"/>
    <w:rsid w:val="00F4594E"/>
    <w:rsid w:val="00F45E30"/>
    <w:rsid w:val="00F460E0"/>
    <w:rsid w:val="00F46146"/>
    <w:rsid w:val="00F462DB"/>
    <w:rsid w:val="00F4665B"/>
    <w:rsid w:val="00F46D15"/>
    <w:rsid w:val="00F471EE"/>
    <w:rsid w:val="00F473E2"/>
    <w:rsid w:val="00F47B33"/>
    <w:rsid w:val="00F47E2C"/>
    <w:rsid w:val="00F47F14"/>
    <w:rsid w:val="00F47FF5"/>
    <w:rsid w:val="00F50263"/>
    <w:rsid w:val="00F5048E"/>
    <w:rsid w:val="00F51580"/>
    <w:rsid w:val="00F5159B"/>
    <w:rsid w:val="00F52FD0"/>
    <w:rsid w:val="00F536B0"/>
    <w:rsid w:val="00F53CA4"/>
    <w:rsid w:val="00F53FCA"/>
    <w:rsid w:val="00F542C8"/>
    <w:rsid w:val="00F543B7"/>
    <w:rsid w:val="00F547CB"/>
    <w:rsid w:val="00F558EE"/>
    <w:rsid w:val="00F56050"/>
    <w:rsid w:val="00F5648B"/>
    <w:rsid w:val="00F5726F"/>
    <w:rsid w:val="00F573E7"/>
    <w:rsid w:val="00F5778C"/>
    <w:rsid w:val="00F577F0"/>
    <w:rsid w:val="00F57AA4"/>
    <w:rsid w:val="00F57E1A"/>
    <w:rsid w:val="00F600FD"/>
    <w:rsid w:val="00F6080F"/>
    <w:rsid w:val="00F6165D"/>
    <w:rsid w:val="00F61C81"/>
    <w:rsid w:val="00F620E9"/>
    <w:rsid w:val="00F62856"/>
    <w:rsid w:val="00F635B2"/>
    <w:rsid w:val="00F63824"/>
    <w:rsid w:val="00F639DC"/>
    <w:rsid w:val="00F6422F"/>
    <w:rsid w:val="00F64B6C"/>
    <w:rsid w:val="00F65122"/>
    <w:rsid w:val="00F6546B"/>
    <w:rsid w:val="00F65882"/>
    <w:rsid w:val="00F65ACC"/>
    <w:rsid w:val="00F65FEA"/>
    <w:rsid w:val="00F662D3"/>
    <w:rsid w:val="00F66D2C"/>
    <w:rsid w:val="00F671A9"/>
    <w:rsid w:val="00F6788C"/>
    <w:rsid w:val="00F67D8C"/>
    <w:rsid w:val="00F67FB3"/>
    <w:rsid w:val="00F70624"/>
    <w:rsid w:val="00F70E50"/>
    <w:rsid w:val="00F714AB"/>
    <w:rsid w:val="00F720F9"/>
    <w:rsid w:val="00F72772"/>
    <w:rsid w:val="00F72BFC"/>
    <w:rsid w:val="00F733CB"/>
    <w:rsid w:val="00F73562"/>
    <w:rsid w:val="00F73EE0"/>
    <w:rsid w:val="00F7450C"/>
    <w:rsid w:val="00F746EA"/>
    <w:rsid w:val="00F74A08"/>
    <w:rsid w:val="00F74A21"/>
    <w:rsid w:val="00F75DE9"/>
    <w:rsid w:val="00F772B9"/>
    <w:rsid w:val="00F77614"/>
    <w:rsid w:val="00F80129"/>
    <w:rsid w:val="00F802A6"/>
    <w:rsid w:val="00F8064E"/>
    <w:rsid w:val="00F80D4B"/>
    <w:rsid w:val="00F8124C"/>
    <w:rsid w:val="00F815B7"/>
    <w:rsid w:val="00F81675"/>
    <w:rsid w:val="00F818C3"/>
    <w:rsid w:val="00F8198A"/>
    <w:rsid w:val="00F82DA4"/>
    <w:rsid w:val="00F8366F"/>
    <w:rsid w:val="00F836A4"/>
    <w:rsid w:val="00F83A36"/>
    <w:rsid w:val="00F84947"/>
    <w:rsid w:val="00F85315"/>
    <w:rsid w:val="00F8541B"/>
    <w:rsid w:val="00F8579A"/>
    <w:rsid w:val="00F85D5B"/>
    <w:rsid w:val="00F8617B"/>
    <w:rsid w:val="00F861B7"/>
    <w:rsid w:val="00F86616"/>
    <w:rsid w:val="00F8750A"/>
    <w:rsid w:val="00F877B8"/>
    <w:rsid w:val="00F90106"/>
    <w:rsid w:val="00F9044D"/>
    <w:rsid w:val="00F90A83"/>
    <w:rsid w:val="00F91645"/>
    <w:rsid w:val="00F92154"/>
    <w:rsid w:val="00F92ACE"/>
    <w:rsid w:val="00F932EB"/>
    <w:rsid w:val="00F935C4"/>
    <w:rsid w:val="00F93F50"/>
    <w:rsid w:val="00F9464C"/>
    <w:rsid w:val="00F946F4"/>
    <w:rsid w:val="00F94ED5"/>
    <w:rsid w:val="00F953D3"/>
    <w:rsid w:val="00F95524"/>
    <w:rsid w:val="00F95CE2"/>
    <w:rsid w:val="00F961CE"/>
    <w:rsid w:val="00F96822"/>
    <w:rsid w:val="00F9736D"/>
    <w:rsid w:val="00F97847"/>
    <w:rsid w:val="00FA0BB7"/>
    <w:rsid w:val="00FA127C"/>
    <w:rsid w:val="00FA15B3"/>
    <w:rsid w:val="00FA190A"/>
    <w:rsid w:val="00FA19A9"/>
    <w:rsid w:val="00FA32F6"/>
    <w:rsid w:val="00FA3536"/>
    <w:rsid w:val="00FA451A"/>
    <w:rsid w:val="00FA48C9"/>
    <w:rsid w:val="00FA4975"/>
    <w:rsid w:val="00FA68EA"/>
    <w:rsid w:val="00FA773B"/>
    <w:rsid w:val="00FA7B03"/>
    <w:rsid w:val="00FB0103"/>
    <w:rsid w:val="00FB016D"/>
    <w:rsid w:val="00FB0FC7"/>
    <w:rsid w:val="00FB1B04"/>
    <w:rsid w:val="00FB1D9F"/>
    <w:rsid w:val="00FB4029"/>
    <w:rsid w:val="00FB4069"/>
    <w:rsid w:val="00FB4447"/>
    <w:rsid w:val="00FB45AE"/>
    <w:rsid w:val="00FB4671"/>
    <w:rsid w:val="00FB4FC1"/>
    <w:rsid w:val="00FB5356"/>
    <w:rsid w:val="00FB6841"/>
    <w:rsid w:val="00FB69A4"/>
    <w:rsid w:val="00FB6E25"/>
    <w:rsid w:val="00FB7180"/>
    <w:rsid w:val="00FC1110"/>
    <w:rsid w:val="00FC12B7"/>
    <w:rsid w:val="00FC1502"/>
    <w:rsid w:val="00FC29DF"/>
    <w:rsid w:val="00FC2CB9"/>
    <w:rsid w:val="00FC2CD3"/>
    <w:rsid w:val="00FC3AE9"/>
    <w:rsid w:val="00FC437A"/>
    <w:rsid w:val="00FC4E73"/>
    <w:rsid w:val="00FC5C8D"/>
    <w:rsid w:val="00FC5D3C"/>
    <w:rsid w:val="00FC6505"/>
    <w:rsid w:val="00FC75D6"/>
    <w:rsid w:val="00FD0A40"/>
    <w:rsid w:val="00FD1028"/>
    <w:rsid w:val="00FD164C"/>
    <w:rsid w:val="00FD2309"/>
    <w:rsid w:val="00FD2AEA"/>
    <w:rsid w:val="00FD2D08"/>
    <w:rsid w:val="00FD2FA9"/>
    <w:rsid w:val="00FD4627"/>
    <w:rsid w:val="00FD493D"/>
    <w:rsid w:val="00FD4A56"/>
    <w:rsid w:val="00FD4ABD"/>
    <w:rsid w:val="00FD5685"/>
    <w:rsid w:val="00FD573C"/>
    <w:rsid w:val="00FD57D2"/>
    <w:rsid w:val="00FD5898"/>
    <w:rsid w:val="00FD5DC1"/>
    <w:rsid w:val="00FD7289"/>
    <w:rsid w:val="00FD77DD"/>
    <w:rsid w:val="00FE067E"/>
    <w:rsid w:val="00FE06D6"/>
    <w:rsid w:val="00FE09B0"/>
    <w:rsid w:val="00FE1804"/>
    <w:rsid w:val="00FE1836"/>
    <w:rsid w:val="00FE200C"/>
    <w:rsid w:val="00FE2B2C"/>
    <w:rsid w:val="00FE2CC6"/>
    <w:rsid w:val="00FE2F2D"/>
    <w:rsid w:val="00FE400A"/>
    <w:rsid w:val="00FE488D"/>
    <w:rsid w:val="00FE50B5"/>
    <w:rsid w:val="00FE531E"/>
    <w:rsid w:val="00FE6710"/>
    <w:rsid w:val="00FE6E66"/>
    <w:rsid w:val="00FE7286"/>
    <w:rsid w:val="00FE7410"/>
    <w:rsid w:val="00FE745F"/>
    <w:rsid w:val="00FE7A0E"/>
    <w:rsid w:val="00FE7BCB"/>
    <w:rsid w:val="00FF072E"/>
    <w:rsid w:val="00FF1165"/>
    <w:rsid w:val="00FF1803"/>
    <w:rsid w:val="00FF215C"/>
    <w:rsid w:val="00FF27DD"/>
    <w:rsid w:val="00FF2A30"/>
    <w:rsid w:val="00FF300B"/>
    <w:rsid w:val="00FF301C"/>
    <w:rsid w:val="00FF30D9"/>
    <w:rsid w:val="00FF3746"/>
    <w:rsid w:val="00FF5122"/>
    <w:rsid w:val="00FF5311"/>
    <w:rsid w:val="00FF6840"/>
    <w:rsid w:val="00FF73F6"/>
    <w:rsid w:val="107100BE"/>
    <w:rsid w:val="2B8049C6"/>
    <w:rsid w:val="4EE6406D"/>
    <w:rsid w:val="60216A1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仿宋" w:hAnsi="仿宋" w:eastAsia="仿宋" w:cstheme="minorBidi"/>
      <w:kern w:val="2"/>
      <w:sz w:val="28"/>
      <w:szCs w:val="22"/>
      <w:lang w:val="en-US" w:eastAsia="zh-CN" w:bidi="ar-SA"/>
    </w:rPr>
  </w:style>
  <w:style w:type="paragraph" w:styleId="2">
    <w:name w:val="heading 1"/>
    <w:basedOn w:val="1"/>
    <w:next w:val="1"/>
    <w:link w:val="32"/>
    <w:qFormat/>
    <w:uiPriority w:val="9"/>
    <w:pPr>
      <w:keepNext/>
      <w:keepLines/>
      <w:spacing w:after="120"/>
      <w:ind w:firstLine="0" w:firstLineChars="0"/>
      <w:outlineLvl w:val="0"/>
    </w:pPr>
    <w:rPr>
      <w:b/>
      <w:bCs/>
      <w:kern w:val="44"/>
      <w:sz w:val="36"/>
      <w:szCs w:val="44"/>
    </w:rPr>
  </w:style>
  <w:style w:type="paragraph" w:styleId="3">
    <w:name w:val="heading 2"/>
    <w:basedOn w:val="1"/>
    <w:next w:val="1"/>
    <w:link w:val="33"/>
    <w:unhideWhenUsed/>
    <w:qFormat/>
    <w:uiPriority w:val="9"/>
    <w:pPr>
      <w:keepNext/>
      <w:keepLines/>
      <w:spacing w:beforeLines="50"/>
      <w:ind w:firstLine="0" w:firstLineChars="0"/>
      <w:outlineLvl w:val="1"/>
    </w:pPr>
    <w:rPr>
      <w:rFonts w:eastAsia="黑体" w:asciiTheme="majorHAnsi" w:hAnsiTheme="majorHAnsi" w:cstheme="majorBidi"/>
      <w:bCs/>
      <w:szCs w:val="32"/>
    </w:rPr>
  </w:style>
  <w:style w:type="paragraph" w:styleId="4">
    <w:name w:val="heading 3"/>
    <w:basedOn w:val="1"/>
    <w:next w:val="1"/>
    <w:link w:val="34"/>
    <w:unhideWhenUsed/>
    <w:qFormat/>
    <w:uiPriority w:val="9"/>
    <w:pPr>
      <w:keepNext/>
      <w:keepLines/>
      <w:numPr>
        <w:ilvl w:val="0"/>
        <w:numId w:val="1"/>
      </w:numPr>
      <w:ind w:firstLine="0" w:firstLineChars="0"/>
      <w:outlineLvl w:val="2"/>
    </w:pPr>
    <w:rPr>
      <w:b/>
      <w:bCs/>
      <w:szCs w:val="32"/>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unhideWhenUsed/>
    <w:qFormat/>
    <w:uiPriority w:val="39"/>
    <w:pPr>
      <w:ind w:left="1800"/>
      <w:jc w:val="left"/>
    </w:pPr>
    <w:rPr>
      <w:sz w:val="18"/>
      <w:szCs w:val="18"/>
    </w:rPr>
  </w:style>
  <w:style w:type="paragraph" w:styleId="6">
    <w:name w:val="caption"/>
    <w:basedOn w:val="1"/>
    <w:next w:val="1"/>
    <w:unhideWhenUsed/>
    <w:qFormat/>
    <w:uiPriority w:val="35"/>
    <w:rPr>
      <w:rFonts w:eastAsia="黑体" w:asciiTheme="majorHAnsi" w:hAnsiTheme="majorHAnsi" w:cstheme="majorBidi"/>
      <w:sz w:val="20"/>
      <w:szCs w:val="20"/>
    </w:rPr>
  </w:style>
  <w:style w:type="paragraph" w:styleId="7">
    <w:name w:val="toc 5"/>
    <w:basedOn w:val="1"/>
    <w:next w:val="1"/>
    <w:unhideWhenUsed/>
    <w:qFormat/>
    <w:uiPriority w:val="39"/>
    <w:pPr>
      <w:ind w:left="1200"/>
      <w:jc w:val="left"/>
    </w:pPr>
    <w:rPr>
      <w:sz w:val="18"/>
      <w:szCs w:val="18"/>
    </w:rPr>
  </w:style>
  <w:style w:type="paragraph" w:styleId="8">
    <w:name w:val="toc 3"/>
    <w:basedOn w:val="1"/>
    <w:next w:val="1"/>
    <w:unhideWhenUsed/>
    <w:qFormat/>
    <w:uiPriority w:val="39"/>
    <w:pPr>
      <w:ind w:left="600"/>
      <w:jc w:val="left"/>
    </w:pPr>
    <w:rPr>
      <w:i/>
      <w:iCs/>
      <w:sz w:val="20"/>
      <w:szCs w:val="20"/>
    </w:rPr>
  </w:style>
  <w:style w:type="paragraph" w:styleId="9">
    <w:name w:val="toc 8"/>
    <w:basedOn w:val="1"/>
    <w:next w:val="1"/>
    <w:unhideWhenUsed/>
    <w:qFormat/>
    <w:uiPriority w:val="39"/>
    <w:pPr>
      <w:ind w:left="2100"/>
      <w:jc w:val="left"/>
    </w:pPr>
    <w:rPr>
      <w:sz w:val="18"/>
      <w:szCs w:val="18"/>
    </w:rPr>
  </w:style>
  <w:style w:type="paragraph" w:styleId="10">
    <w:name w:val="Date"/>
    <w:basedOn w:val="1"/>
    <w:next w:val="1"/>
    <w:link w:val="44"/>
    <w:semiHidden/>
    <w:unhideWhenUsed/>
    <w:uiPriority w:val="99"/>
    <w:pPr>
      <w:ind w:left="100" w:leftChars="2500"/>
    </w:pPr>
  </w:style>
  <w:style w:type="paragraph" w:styleId="11">
    <w:name w:val="endnote text"/>
    <w:basedOn w:val="1"/>
    <w:link w:val="38"/>
    <w:semiHidden/>
    <w:unhideWhenUsed/>
    <w:qFormat/>
    <w:uiPriority w:val="99"/>
    <w:pPr>
      <w:snapToGrid w:val="0"/>
      <w:jc w:val="left"/>
    </w:pPr>
  </w:style>
  <w:style w:type="paragraph" w:styleId="12">
    <w:name w:val="Balloon Text"/>
    <w:basedOn w:val="1"/>
    <w:link w:val="45"/>
    <w:semiHidden/>
    <w:unhideWhenUsed/>
    <w:qFormat/>
    <w:uiPriority w:val="99"/>
    <w:pPr>
      <w:spacing w:line="240" w:lineRule="auto"/>
    </w:pPr>
    <w:rPr>
      <w:sz w:val="18"/>
      <w:szCs w:val="18"/>
    </w:rPr>
  </w:style>
  <w:style w:type="paragraph" w:styleId="13">
    <w:name w:val="footer"/>
    <w:basedOn w:val="1"/>
    <w:link w:val="36"/>
    <w:unhideWhenUsed/>
    <w:qFormat/>
    <w:uiPriority w:val="99"/>
    <w:pPr>
      <w:tabs>
        <w:tab w:val="center" w:pos="4153"/>
        <w:tab w:val="right" w:pos="8306"/>
      </w:tabs>
      <w:snapToGrid w:val="0"/>
      <w:jc w:val="left"/>
    </w:pPr>
    <w:rPr>
      <w:sz w:val="18"/>
      <w:szCs w:val="18"/>
    </w:rPr>
  </w:style>
  <w:style w:type="paragraph" w:styleId="14">
    <w:name w:val="header"/>
    <w:basedOn w:val="1"/>
    <w:link w:val="35"/>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pPr>
      <w:tabs>
        <w:tab w:val="right" w:leader="dot" w:pos="8296"/>
      </w:tabs>
      <w:ind w:firstLine="562"/>
      <w:jc w:val="left"/>
    </w:pPr>
    <w:rPr>
      <w:b/>
      <w:bCs/>
      <w:caps/>
      <w:sz w:val="30"/>
      <w:szCs w:val="30"/>
    </w:rPr>
  </w:style>
  <w:style w:type="paragraph" w:styleId="16">
    <w:name w:val="toc 4"/>
    <w:basedOn w:val="1"/>
    <w:next w:val="1"/>
    <w:unhideWhenUsed/>
    <w:qFormat/>
    <w:uiPriority w:val="39"/>
    <w:pPr>
      <w:ind w:left="900"/>
      <w:jc w:val="left"/>
    </w:pPr>
    <w:rPr>
      <w:sz w:val="18"/>
      <w:szCs w:val="18"/>
    </w:rPr>
  </w:style>
  <w:style w:type="paragraph" w:styleId="17">
    <w:name w:val="footnote text"/>
    <w:basedOn w:val="1"/>
    <w:link w:val="37"/>
    <w:semiHidden/>
    <w:unhideWhenUsed/>
    <w:qFormat/>
    <w:uiPriority w:val="99"/>
    <w:pPr>
      <w:snapToGrid w:val="0"/>
      <w:jc w:val="left"/>
    </w:pPr>
    <w:rPr>
      <w:sz w:val="18"/>
      <w:szCs w:val="18"/>
    </w:rPr>
  </w:style>
  <w:style w:type="paragraph" w:styleId="18">
    <w:name w:val="toc 6"/>
    <w:basedOn w:val="1"/>
    <w:next w:val="1"/>
    <w:unhideWhenUsed/>
    <w:qFormat/>
    <w:uiPriority w:val="39"/>
    <w:pPr>
      <w:ind w:left="1500"/>
      <w:jc w:val="left"/>
    </w:pPr>
    <w:rPr>
      <w:sz w:val="18"/>
      <w:szCs w:val="18"/>
    </w:rPr>
  </w:style>
  <w:style w:type="paragraph" w:styleId="19">
    <w:name w:val="toc 2"/>
    <w:basedOn w:val="1"/>
    <w:next w:val="1"/>
    <w:qFormat/>
    <w:uiPriority w:val="39"/>
    <w:pPr>
      <w:ind w:left="300"/>
      <w:jc w:val="left"/>
    </w:pPr>
    <w:rPr>
      <w:smallCaps/>
      <w:sz w:val="20"/>
      <w:szCs w:val="20"/>
    </w:rPr>
  </w:style>
  <w:style w:type="paragraph" w:styleId="20">
    <w:name w:val="toc 9"/>
    <w:basedOn w:val="1"/>
    <w:next w:val="1"/>
    <w:unhideWhenUsed/>
    <w:qFormat/>
    <w:uiPriority w:val="39"/>
    <w:pPr>
      <w:ind w:left="2400"/>
      <w:jc w:val="left"/>
    </w:pPr>
    <w:rPr>
      <w:sz w:val="18"/>
      <w:szCs w:val="18"/>
    </w:rPr>
  </w:style>
  <w:style w:type="paragraph" w:styleId="21">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2">
    <w:name w:val="Title"/>
    <w:basedOn w:val="1"/>
    <w:next w:val="1"/>
    <w:link w:val="39"/>
    <w:qFormat/>
    <w:uiPriority w:val="10"/>
    <w:pPr>
      <w:spacing w:before="240" w:after="60"/>
      <w:jc w:val="center"/>
      <w:outlineLvl w:val="0"/>
    </w:pPr>
    <w:rPr>
      <w:rFonts w:asciiTheme="majorHAnsi" w:hAnsiTheme="majorHAnsi" w:eastAsiaTheme="majorEastAsia" w:cstheme="majorBidi"/>
      <w:b/>
      <w:bCs/>
      <w:sz w:val="32"/>
      <w:szCs w:val="32"/>
    </w:r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bCs/>
    </w:rPr>
  </w:style>
  <w:style w:type="character" w:styleId="27">
    <w:name w:val="endnote reference"/>
    <w:basedOn w:val="25"/>
    <w:semiHidden/>
    <w:unhideWhenUsed/>
    <w:qFormat/>
    <w:uiPriority w:val="99"/>
    <w:rPr>
      <w:vertAlign w:val="superscript"/>
    </w:rPr>
  </w:style>
  <w:style w:type="character" w:styleId="28">
    <w:name w:val="Hyperlink"/>
    <w:basedOn w:val="25"/>
    <w:unhideWhenUsed/>
    <w:qFormat/>
    <w:uiPriority w:val="99"/>
    <w:rPr>
      <w:color w:val="0563C1" w:themeColor="hyperlink"/>
      <w:u w:val="single"/>
    </w:rPr>
  </w:style>
  <w:style w:type="character" w:styleId="29">
    <w:name w:val="footnote reference"/>
    <w:basedOn w:val="25"/>
    <w:semiHidden/>
    <w:unhideWhenUsed/>
    <w:qFormat/>
    <w:uiPriority w:val="99"/>
    <w:rPr>
      <w:vertAlign w:val="superscript"/>
    </w:rPr>
  </w:style>
  <w:style w:type="paragraph" w:customStyle="1" w:styleId="30">
    <w:name w:val="默认段落字体 Para Char Char Char Char"/>
    <w:basedOn w:val="1"/>
    <w:qFormat/>
    <w:uiPriority w:val="0"/>
    <w:rPr>
      <w:rFonts w:ascii="宋体" w:hAnsi="宋体" w:eastAsia="微软雅黑" w:cs="宋体"/>
      <w:sz w:val="24"/>
      <w:szCs w:val="24"/>
    </w:rPr>
  </w:style>
  <w:style w:type="paragraph" w:styleId="31">
    <w:name w:val="List Paragraph"/>
    <w:basedOn w:val="1"/>
    <w:qFormat/>
    <w:uiPriority w:val="34"/>
    <w:pPr>
      <w:ind w:firstLine="420"/>
    </w:pPr>
    <w:rPr>
      <w:rFonts w:ascii="等线" w:hAnsi="等线" w:eastAsia="等线" w:cs="Times New Roman"/>
    </w:rPr>
  </w:style>
  <w:style w:type="character" w:customStyle="1" w:styleId="32">
    <w:name w:val="标题 1 字符"/>
    <w:basedOn w:val="25"/>
    <w:link w:val="2"/>
    <w:qFormat/>
    <w:uiPriority w:val="9"/>
    <w:rPr>
      <w:rFonts w:eastAsia="仿宋"/>
      <w:b/>
      <w:bCs/>
      <w:kern w:val="44"/>
      <w:sz w:val="36"/>
      <w:szCs w:val="44"/>
    </w:rPr>
  </w:style>
  <w:style w:type="character" w:customStyle="1" w:styleId="33">
    <w:name w:val="标题 2 字符"/>
    <w:basedOn w:val="25"/>
    <w:link w:val="3"/>
    <w:qFormat/>
    <w:uiPriority w:val="9"/>
    <w:rPr>
      <w:rFonts w:eastAsia="黑体" w:asciiTheme="majorHAnsi" w:hAnsiTheme="majorHAnsi" w:cstheme="majorBidi"/>
      <w:bCs/>
      <w:kern w:val="2"/>
      <w:sz w:val="28"/>
      <w:szCs w:val="32"/>
    </w:rPr>
  </w:style>
  <w:style w:type="character" w:customStyle="1" w:styleId="34">
    <w:name w:val="标题 3 字符"/>
    <w:basedOn w:val="25"/>
    <w:link w:val="4"/>
    <w:qFormat/>
    <w:uiPriority w:val="9"/>
    <w:rPr>
      <w:rFonts w:eastAsia="仿宋"/>
      <w:b/>
      <w:bCs/>
      <w:sz w:val="28"/>
      <w:szCs w:val="32"/>
    </w:rPr>
  </w:style>
  <w:style w:type="character" w:customStyle="1" w:styleId="35">
    <w:name w:val="页眉 字符"/>
    <w:basedOn w:val="25"/>
    <w:link w:val="14"/>
    <w:qFormat/>
    <w:uiPriority w:val="99"/>
    <w:rPr>
      <w:sz w:val="18"/>
      <w:szCs w:val="18"/>
    </w:rPr>
  </w:style>
  <w:style w:type="character" w:customStyle="1" w:styleId="36">
    <w:name w:val="页脚 字符"/>
    <w:basedOn w:val="25"/>
    <w:link w:val="13"/>
    <w:qFormat/>
    <w:uiPriority w:val="99"/>
    <w:rPr>
      <w:sz w:val="18"/>
      <w:szCs w:val="18"/>
    </w:rPr>
  </w:style>
  <w:style w:type="character" w:customStyle="1" w:styleId="37">
    <w:name w:val="脚注文本 字符"/>
    <w:basedOn w:val="25"/>
    <w:link w:val="17"/>
    <w:semiHidden/>
    <w:qFormat/>
    <w:uiPriority w:val="99"/>
    <w:rPr>
      <w:sz w:val="18"/>
      <w:szCs w:val="18"/>
    </w:rPr>
  </w:style>
  <w:style w:type="character" w:customStyle="1" w:styleId="38">
    <w:name w:val="尾注文本 字符"/>
    <w:basedOn w:val="25"/>
    <w:link w:val="11"/>
    <w:semiHidden/>
    <w:qFormat/>
    <w:uiPriority w:val="99"/>
  </w:style>
  <w:style w:type="character" w:customStyle="1" w:styleId="39">
    <w:name w:val="标题 字符"/>
    <w:basedOn w:val="25"/>
    <w:link w:val="22"/>
    <w:qFormat/>
    <w:uiPriority w:val="10"/>
    <w:rPr>
      <w:rFonts w:asciiTheme="majorHAnsi" w:hAnsiTheme="majorHAnsi" w:eastAsiaTheme="majorEastAsia" w:cstheme="majorBidi"/>
      <w:b/>
      <w:bCs/>
      <w:sz w:val="32"/>
      <w:szCs w:val="32"/>
    </w:rPr>
  </w:style>
  <w:style w:type="table" w:customStyle="1" w:styleId="40">
    <w:name w:val="网格型1"/>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1">
    <w:name w:val="Char Char Char Char"/>
    <w:basedOn w:val="1"/>
    <w:qFormat/>
    <w:uiPriority w:val="0"/>
    <w:pPr>
      <w:spacing w:line="240" w:lineRule="auto"/>
      <w:ind w:firstLine="0" w:firstLineChars="0"/>
    </w:pPr>
    <w:rPr>
      <w:rFonts w:ascii="宋体" w:hAnsi="Times New Roman" w:eastAsia="宋体" w:cs="Times New Roman"/>
      <w:sz w:val="32"/>
      <w:szCs w:val="32"/>
    </w:rPr>
  </w:style>
  <w:style w:type="table" w:customStyle="1" w:styleId="42">
    <w:name w:val="无格式表格 21"/>
    <w:basedOn w:val="23"/>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paragraph" w:customStyle="1" w:styleId="43">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character" w:customStyle="1" w:styleId="44">
    <w:name w:val="日期 字符"/>
    <w:basedOn w:val="25"/>
    <w:link w:val="10"/>
    <w:semiHidden/>
    <w:qFormat/>
    <w:uiPriority w:val="99"/>
    <w:rPr>
      <w:rFonts w:eastAsia="仿宋"/>
      <w:sz w:val="30"/>
    </w:rPr>
  </w:style>
  <w:style w:type="character" w:customStyle="1" w:styleId="45">
    <w:name w:val="批注框文本 字符"/>
    <w:basedOn w:val="25"/>
    <w:link w:val="12"/>
    <w:semiHidden/>
    <w:qFormat/>
    <w:uiPriority w:val="99"/>
    <w:rPr>
      <w:rFonts w:eastAsia="仿宋"/>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7.jpe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ED0AC7-FD3E-4D89-AFE4-F9AF1ED6A09B}">
  <ds:schemaRefs/>
</ds:datastoreItem>
</file>

<file path=docProps/app.xml><?xml version="1.0" encoding="utf-8"?>
<Properties xmlns="http://schemas.openxmlformats.org/officeDocument/2006/extended-properties" xmlns:vt="http://schemas.openxmlformats.org/officeDocument/2006/docPropsVTypes">
  <Template>Normal</Template>
  <Pages>116</Pages>
  <Words>11186</Words>
  <Characters>63762</Characters>
  <Lines>531</Lines>
  <Paragraphs>149</Paragraphs>
  <TotalTime>24</TotalTime>
  <ScaleCrop>false</ScaleCrop>
  <LinksUpToDate>false</LinksUpToDate>
  <CharactersWithSpaces>74799</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2021-08-02T11:16:00Z</dcterms:created>
  <dc:creator>lee ivey</dc:creator>
  <cp:lastModifiedBy>玲</cp:lastModifiedBy>
  <cp:lastPrinted>2021-08-02T11:24:00Z</cp:lastPrinted>
  <dcterms:modified xsi:type="dcterms:W3CDTF">2021-09-03T03:13:23Z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6CB76673E47141F5A775EE3A0A34B505</vt:lpwstr>
  </property>
</Properties>
</file>