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一、阜平县吴王口乡人民政府本级收支预算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一、阜平县吴王口乡人民政府本级收支预算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565.53</w:t>
            </w:r>
          </w:p>
        </w:tc>
        <w:tc>
          <w:tcPr>
            <w:tcW w:w="4535" w:type="dxa"/>
            <w:vAlign w:val="center"/>
          </w:tcPr>
          <w:p>
            <w:pPr>
              <w:pStyle w:val="13"/>
            </w:pPr>
            <w:r>
              <w:t>一、一般公共服务支出</w:t>
            </w:r>
          </w:p>
        </w:tc>
        <w:tc>
          <w:tcPr>
            <w:tcW w:w="2126" w:type="dxa"/>
            <w:vAlign w:val="center"/>
          </w:tcPr>
          <w:p>
            <w:pPr>
              <w:pStyle w:val="12"/>
            </w:pPr>
            <w:r>
              <w:t>431.49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67.30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32.11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565.53</w:t>
            </w:r>
          </w:p>
        </w:tc>
        <w:tc>
          <w:tcPr>
            <w:tcW w:w="4535" w:type="dxa"/>
            <w:vAlign w:val="center"/>
          </w:tcPr>
          <w:p>
            <w:pPr>
              <w:pStyle w:val="15"/>
            </w:pPr>
            <w:r>
              <w:t>本年支出合计</w:t>
            </w:r>
          </w:p>
        </w:tc>
        <w:tc>
          <w:tcPr>
            <w:tcW w:w="2126" w:type="dxa"/>
            <w:vAlign w:val="center"/>
          </w:tcPr>
          <w:p>
            <w:pPr>
              <w:pStyle w:val="16"/>
            </w:pPr>
            <w:r>
              <w:t>565.53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565.53</w:t>
            </w:r>
          </w:p>
        </w:tc>
        <w:tc>
          <w:tcPr>
            <w:tcW w:w="4535" w:type="dxa"/>
            <w:vAlign w:val="center"/>
          </w:tcPr>
          <w:p>
            <w:pPr>
              <w:pStyle w:val="15"/>
            </w:pPr>
            <w:r>
              <w:t>支出总计</w:t>
            </w:r>
          </w:p>
        </w:tc>
        <w:tc>
          <w:tcPr>
            <w:tcW w:w="2126" w:type="dxa"/>
            <w:vAlign w:val="center"/>
          </w:tcPr>
          <w:p>
            <w:pPr>
              <w:pStyle w:val="16"/>
            </w:pPr>
            <w:r>
              <w:t>565.53</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565.53</w:t>
            </w:r>
          </w:p>
        </w:tc>
        <w:tc>
          <w:tcPr>
            <w:tcW w:w="1134" w:type="dxa"/>
            <w:vAlign w:val="center"/>
          </w:tcPr>
          <w:p>
            <w:pPr>
              <w:pStyle w:val="16"/>
            </w:pPr>
            <w:r>
              <w:t>565.53</w:t>
            </w:r>
          </w:p>
        </w:tc>
        <w:tc>
          <w:tcPr>
            <w:tcW w:w="1134" w:type="dxa"/>
            <w:vAlign w:val="center"/>
          </w:tcPr>
          <w:p>
            <w:pPr>
              <w:pStyle w:val="16"/>
            </w:pPr>
            <w:r>
              <w:t>565.53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280.55</w:t>
            </w:r>
          </w:p>
        </w:tc>
        <w:tc>
          <w:tcPr>
            <w:tcW w:w="1134" w:type="dxa"/>
            <w:vAlign w:val="center"/>
          </w:tcPr>
          <w:p>
            <w:pPr>
              <w:pStyle w:val="12"/>
            </w:pPr>
            <w:r>
              <w:t>280.55</w:t>
            </w:r>
          </w:p>
        </w:tc>
        <w:tc>
          <w:tcPr>
            <w:tcW w:w="1134" w:type="dxa"/>
            <w:vAlign w:val="center"/>
          </w:tcPr>
          <w:p>
            <w:pPr>
              <w:pStyle w:val="12"/>
            </w:pPr>
            <w:r>
              <w:t>280.55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18.60</w:t>
            </w:r>
          </w:p>
        </w:tc>
        <w:tc>
          <w:tcPr>
            <w:tcW w:w="1134" w:type="dxa"/>
            <w:vAlign w:val="center"/>
          </w:tcPr>
          <w:p>
            <w:pPr>
              <w:pStyle w:val="12"/>
            </w:pPr>
            <w:r>
              <w:t>18.60</w:t>
            </w:r>
          </w:p>
        </w:tc>
        <w:tc>
          <w:tcPr>
            <w:tcW w:w="1134" w:type="dxa"/>
            <w:vAlign w:val="center"/>
          </w:tcPr>
          <w:p>
            <w:pPr>
              <w:pStyle w:val="12"/>
            </w:pPr>
            <w:r>
              <w:t>18.60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132.35</w:t>
            </w:r>
          </w:p>
        </w:tc>
        <w:tc>
          <w:tcPr>
            <w:tcW w:w="1134" w:type="dxa"/>
            <w:vAlign w:val="center"/>
          </w:tcPr>
          <w:p>
            <w:pPr>
              <w:pStyle w:val="12"/>
            </w:pPr>
            <w:r>
              <w:t>132.35</w:t>
            </w:r>
          </w:p>
        </w:tc>
        <w:tc>
          <w:tcPr>
            <w:tcW w:w="1134" w:type="dxa"/>
            <w:vAlign w:val="center"/>
          </w:tcPr>
          <w:p>
            <w:pPr>
              <w:pStyle w:val="12"/>
            </w:pPr>
            <w:r>
              <w:t>132.35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17.19</w:t>
            </w:r>
          </w:p>
        </w:tc>
        <w:tc>
          <w:tcPr>
            <w:tcW w:w="1134" w:type="dxa"/>
            <w:vAlign w:val="center"/>
          </w:tcPr>
          <w:p>
            <w:pPr>
              <w:pStyle w:val="12"/>
            </w:pPr>
            <w:r>
              <w:t>17.19</w:t>
            </w:r>
          </w:p>
        </w:tc>
        <w:tc>
          <w:tcPr>
            <w:tcW w:w="1134" w:type="dxa"/>
            <w:vAlign w:val="center"/>
          </w:tcPr>
          <w:p>
            <w:pPr>
              <w:pStyle w:val="12"/>
            </w:pPr>
            <w:r>
              <w:t>17.19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9.05</w:t>
            </w:r>
          </w:p>
        </w:tc>
        <w:tc>
          <w:tcPr>
            <w:tcW w:w="1134" w:type="dxa"/>
            <w:vAlign w:val="center"/>
          </w:tcPr>
          <w:p>
            <w:pPr>
              <w:pStyle w:val="12"/>
            </w:pPr>
            <w:r>
              <w:t>9.05</w:t>
            </w:r>
          </w:p>
        </w:tc>
        <w:tc>
          <w:tcPr>
            <w:tcW w:w="1134" w:type="dxa"/>
            <w:vAlign w:val="center"/>
          </w:tcPr>
          <w:p>
            <w:pPr>
              <w:pStyle w:val="12"/>
            </w:pPr>
            <w:r>
              <w:t>9.05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41.05</w:t>
            </w:r>
          </w:p>
        </w:tc>
        <w:tc>
          <w:tcPr>
            <w:tcW w:w="1134" w:type="dxa"/>
            <w:vAlign w:val="center"/>
          </w:tcPr>
          <w:p>
            <w:pPr>
              <w:pStyle w:val="12"/>
            </w:pPr>
            <w:r>
              <w:t>41.05</w:t>
            </w:r>
          </w:p>
        </w:tc>
        <w:tc>
          <w:tcPr>
            <w:tcW w:w="1134" w:type="dxa"/>
            <w:vAlign w:val="center"/>
          </w:tcPr>
          <w:p>
            <w:pPr>
              <w:pStyle w:val="12"/>
            </w:pPr>
            <w:r>
              <w:t>41.05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13.60</w:t>
            </w:r>
          </w:p>
        </w:tc>
        <w:tc>
          <w:tcPr>
            <w:tcW w:w="1134" w:type="dxa"/>
            <w:vAlign w:val="center"/>
          </w:tcPr>
          <w:p>
            <w:pPr>
              <w:pStyle w:val="12"/>
            </w:pPr>
            <w:r>
              <w:t>13.60</w:t>
            </w:r>
          </w:p>
        </w:tc>
        <w:tc>
          <w:tcPr>
            <w:tcW w:w="1134" w:type="dxa"/>
            <w:vAlign w:val="center"/>
          </w:tcPr>
          <w:p>
            <w:pPr>
              <w:pStyle w:val="12"/>
            </w:pPr>
            <w:r>
              <w:t>13.60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10.46</w:t>
            </w:r>
          </w:p>
        </w:tc>
        <w:tc>
          <w:tcPr>
            <w:tcW w:w="1134" w:type="dxa"/>
            <w:vAlign w:val="center"/>
          </w:tcPr>
          <w:p>
            <w:pPr>
              <w:pStyle w:val="12"/>
            </w:pPr>
            <w:r>
              <w:t>10.46</w:t>
            </w:r>
          </w:p>
        </w:tc>
        <w:tc>
          <w:tcPr>
            <w:tcW w:w="1134" w:type="dxa"/>
            <w:vAlign w:val="center"/>
          </w:tcPr>
          <w:p>
            <w:pPr>
              <w:pStyle w:val="12"/>
            </w:pPr>
            <w:r>
              <w:t>10.46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8.04</w:t>
            </w:r>
          </w:p>
        </w:tc>
        <w:tc>
          <w:tcPr>
            <w:tcW w:w="1134" w:type="dxa"/>
            <w:vAlign w:val="center"/>
          </w:tcPr>
          <w:p>
            <w:pPr>
              <w:pStyle w:val="12"/>
            </w:pPr>
            <w:r>
              <w:t>8.04</w:t>
            </w:r>
          </w:p>
        </w:tc>
        <w:tc>
          <w:tcPr>
            <w:tcW w:w="1134" w:type="dxa"/>
            <w:vAlign w:val="center"/>
          </w:tcPr>
          <w:p>
            <w:pPr>
              <w:pStyle w:val="12"/>
            </w:pPr>
            <w:r>
              <w:t>8.04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565.53</w:t>
            </w:r>
          </w:p>
        </w:tc>
        <w:tc>
          <w:tcPr>
            <w:tcW w:w="1361" w:type="dxa"/>
            <w:vAlign w:val="center"/>
          </w:tcPr>
          <w:p>
            <w:pPr>
              <w:pStyle w:val="16"/>
            </w:pPr>
            <w:r>
              <w:t>546.93</w:t>
            </w:r>
          </w:p>
        </w:tc>
        <w:tc>
          <w:tcPr>
            <w:tcW w:w="1361" w:type="dxa"/>
            <w:vAlign w:val="center"/>
          </w:tcPr>
          <w:p>
            <w:pPr>
              <w:pStyle w:val="16"/>
            </w:pPr>
            <w:r>
              <w:t>18.60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431.49</w:t>
            </w:r>
          </w:p>
        </w:tc>
        <w:tc>
          <w:tcPr>
            <w:tcW w:w="1361" w:type="dxa"/>
            <w:vAlign w:val="center"/>
          </w:tcPr>
          <w:p>
            <w:pPr>
              <w:pStyle w:val="12"/>
            </w:pPr>
            <w:r>
              <w:t>412.89</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431.49</w:t>
            </w:r>
          </w:p>
        </w:tc>
        <w:tc>
          <w:tcPr>
            <w:tcW w:w="1361" w:type="dxa"/>
            <w:vAlign w:val="center"/>
          </w:tcPr>
          <w:p>
            <w:pPr>
              <w:pStyle w:val="12"/>
            </w:pPr>
            <w:r>
              <w:t>412.89</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280.55</w:t>
            </w:r>
          </w:p>
        </w:tc>
        <w:tc>
          <w:tcPr>
            <w:tcW w:w="1361" w:type="dxa"/>
            <w:vAlign w:val="center"/>
          </w:tcPr>
          <w:p>
            <w:pPr>
              <w:pStyle w:val="12"/>
            </w:pPr>
            <w:r>
              <w:t>280.55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132.35</w:t>
            </w:r>
          </w:p>
        </w:tc>
        <w:tc>
          <w:tcPr>
            <w:tcW w:w="1361" w:type="dxa"/>
            <w:vAlign w:val="center"/>
          </w:tcPr>
          <w:p>
            <w:pPr>
              <w:pStyle w:val="12"/>
            </w:pPr>
            <w:r>
              <w:t>132.35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67.30</w:t>
            </w:r>
          </w:p>
        </w:tc>
        <w:tc>
          <w:tcPr>
            <w:tcW w:w="1361" w:type="dxa"/>
            <w:vAlign w:val="center"/>
          </w:tcPr>
          <w:p>
            <w:pPr>
              <w:pStyle w:val="12"/>
            </w:pPr>
            <w:r>
              <w:t>67.30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67.30</w:t>
            </w:r>
          </w:p>
        </w:tc>
        <w:tc>
          <w:tcPr>
            <w:tcW w:w="1361" w:type="dxa"/>
            <w:vAlign w:val="center"/>
          </w:tcPr>
          <w:p>
            <w:pPr>
              <w:pStyle w:val="12"/>
            </w:pPr>
            <w:r>
              <w:t>67.30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17.19</w:t>
            </w:r>
          </w:p>
        </w:tc>
        <w:tc>
          <w:tcPr>
            <w:tcW w:w="1361" w:type="dxa"/>
            <w:vAlign w:val="center"/>
          </w:tcPr>
          <w:p>
            <w:pPr>
              <w:pStyle w:val="12"/>
            </w:pPr>
            <w:r>
              <w:t>17.19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9.05</w:t>
            </w:r>
          </w:p>
        </w:tc>
        <w:tc>
          <w:tcPr>
            <w:tcW w:w="1361" w:type="dxa"/>
            <w:vAlign w:val="center"/>
          </w:tcPr>
          <w:p>
            <w:pPr>
              <w:pStyle w:val="12"/>
            </w:pPr>
            <w:r>
              <w:t>9.05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41.05</w:t>
            </w:r>
          </w:p>
        </w:tc>
        <w:tc>
          <w:tcPr>
            <w:tcW w:w="1361" w:type="dxa"/>
            <w:vAlign w:val="center"/>
          </w:tcPr>
          <w:p>
            <w:pPr>
              <w:pStyle w:val="12"/>
            </w:pPr>
            <w:r>
              <w:t>41.05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32.11</w:t>
            </w:r>
          </w:p>
        </w:tc>
        <w:tc>
          <w:tcPr>
            <w:tcW w:w="1361" w:type="dxa"/>
            <w:vAlign w:val="center"/>
          </w:tcPr>
          <w:p>
            <w:pPr>
              <w:pStyle w:val="12"/>
            </w:pPr>
            <w:r>
              <w:t>32.11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32.11</w:t>
            </w:r>
          </w:p>
        </w:tc>
        <w:tc>
          <w:tcPr>
            <w:tcW w:w="1361" w:type="dxa"/>
            <w:vAlign w:val="center"/>
          </w:tcPr>
          <w:p>
            <w:pPr>
              <w:pStyle w:val="12"/>
            </w:pPr>
            <w:r>
              <w:t>32.11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13.60</w:t>
            </w:r>
          </w:p>
        </w:tc>
        <w:tc>
          <w:tcPr>
            <w:tcW w:w="1361" w:type="dxa"/>
            <w:vAlign w:val="center"/>
          </w:tcPr>
          <w:p>
            <w:pPr>
              <w:pStyle w:val="12"/>
            </w:pPr>
            <w:r>
              <w:t>13.60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10.46</w:t>
            </w:r>
          </w:p>
        </w:tc>
        <w:tc>
          <w:tcPr>
            <w:tcW w:w="1361" w:type="dxa"/>
            <w:vAlign w:val="center"/>
          </w:tcPr>
          <w:p>
            <w:pPr>
              <w:pStyle w:val="12"/>
            </w:pPr>
            <w:r>
              <w:t>10.46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8.04</w:t>
            </w:r>
          </w:p>
        </w:tc>
        <w:tc>
          <w:tcPr>
            <w:tcW w:w="1361" w:type="dxa"/>
            <w:vAlign w:val="center"/>
          </w:tcPr>
          <w:p>
            <w:pPr>
              <w:pStyle w:val="12"/>
            </w:pPr>
            <w:r>
              <w:t>8.04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565.53</w:t>
            </w:r>
          </w:p>
        </w:tc>
        <w:tc>
          <w:tcPr>
            <w:tcW w:w="3402" w:type="dxa"/>
            <w:vAlign w:val="center"/>
          </w:tcPr>
          <w:p>
            <w:pPr>
              <w:pStyle w:val="13"/>
            </w:pPr>
            <w:r>
              <w:t>一、一般公共服务支出</w:t>
            </w:r>
          </w:p>
        </w:tc>
        <w:tc>
          <w:tcPr>
            <w:tcW w:w="1474" w:type="dxa"/>
            <w:vAlign w:val="center"/>
          </w:tcPr>
          <w:p>
            <w:pPr>
              <w:pStyle w:val="12"/>
            </w:pPr>
            <w:r>
              <w:t>431.49</w:t>
            </w:r>
          </w:p>
        </w:tc>
        <w:tc>
          <w:tcPr>
            <w:tcW w:w="1474" w:type="dxa"/>
            <w:vAlign w:val="center"/>
          </w:tcPr>
          <w:p>
            <w:pPr>
              <w:pStyle w:val="12"/>
            </w:pPr>
            <w:r>
              <w:t>431.49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67.30</w:t>
            </w:r>
          </w:p>
        </w:tc>
        <w:tc>
          <w:tcPr>
            <w:tcW w:w="1474" w:type="dxa"/>
            <w:vAlign w:val="center"/>
          </w:tcPr>
          <w:p>
            <w:pPr>
              <w:pStyle w:val="12"/>
            </w:pPr>
            <w:r>
              <w:t>67.30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32.11</w:t>
            </w:r>
          </w:p>
        </w:tc>
        <w:tc>
          <w:tcPr>
            <w:tcW w:w="1474" w:type="dxa"/>
            <w:vAlign w:val="center"/>
          </w:tcPr>
          <w:p>
            <w:pPr>
              <w:pStyle w:val="12"/>
            </w:pPr>
            <w:r>
              <w:t>32.11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34.63</w:t>
            </w:r>
          </w:p>
        </w:tc>
        <w:tc>
          <w:tcPr>
            <w:tcW w:w="1474" w:type="dxa"/>
            <w:vAlign w:val="center"/>
          </w:tcPr>
          <w:p>
            <w:pPr>
              <w:pStyle w:val="12"/>
            </w:pPr>
            <w:r>
              <w:t>34.63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565.53</w:t>
            </w:r>
          </w:p>
        </w:tc>
        <w:tc>
          <w:tcPr>
            <w:tcW w:w="3402" w:type="dxa"/>
            <w:vAlign w:val="center"/>
          </w:tcPr>
          <w:p>
            <w:pPr>
              <w:pStyle w:val="15"/>
            </w:pPr>
            <w:r>
              <w:t>本年支出合计</w:t>
            </w:r>
          </w:p>
        </w:tc>
        <w:tc>
          <w:tcPr>
            <w:tcW w:w="1474" w:type="dxa"/>
            <w:vAlign w:val="center"/>
          </w:tcPr>
          <w:p>
            <w:pPr>
              <w:pStyle w:val="16"/>
            </w:pPr>
            <w:r>
              <w:t>565.53</w:t>
            </w:r>
          </w:p>
        </w:tc>
        <w:tc>
          <w:tcPr>
            <w:tcW w:w="1474" w:type="dxa"/>
            <w:vAlign w:val="center"/>
          </w:tcPr>
          <w:p>
            <w:pPr>
              <w:pStyle w:val="16"/>
            </w:pPr>
            <w:r>
              <w:t>565.53</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565.53</w:t>
            </w:r>
          </w:p>
        </w:tc>
        <w:tc>
          <w:tcPr>
            <w:tcW w:w="3402" w:type="dxa"/>
            <w:vAlign w:val="center"/>
          </w:tcPr>
          <w:p>
            <w:pPr>
              <w:pStyle w:val="15"/>
            </w:pPr>
            <w:r>
              <w:t>支出总计</w:t>
            </w:r>
          </w:p>
        </w:tc>
        <w:tc>
          <w:tcPr>
            <w:tcW w:w="1474" w:type="dxa"/>
            <w:vAlign w:val="center"/>
          </w:tcPr>
          <w:p>
            <w:pPr>
              <w:pStyle w:val="16"/>
            </w:pPr>
            <w:r>
              <w:t>565.53</w:t>
            </w:r>
          </w:p>
        </w:tc>
        <w:tc>
          <w:tcPr>
            <w:tcW w:w="1474" w:type="dxa"/>
            <w:vAlign w:val="center"/>
          </w:tcPr>
          <w:p>
            <w:pPr>
              <w:pStyle w:val="16"/>
            </w:pPr>
            <w:r>
              <w:t>565.53</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565.53</w:t>
            </w:r>
          </w:p>
        </w:tc>
        <w:tc>
          <w:tcPr>
            <w:tcW w:w="2551" w:type="dxa"/>
            <w:vAlign w:val="center"/>
          </w:tcPr>
          <w:p>
            <w:pPr>
              <w:pStyle w:val="16"/>
            </w:pPr>
            <w:r>
              <w:t>546.93</w:t>
            </w:r>
          </w:p>
        </w:tc>
        <w:tc>
          <w:tcPr>
            <w:tcW w:w="2551" w:type="dxa"/>
            <w:vAlign w:val="center"/>
          </w:tcPr>
          <w:p>
            <w:pPr>
              <w:pStyle w:val="16"/>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431.49</w:t>
            </w:r>
          </w:p>
        </w:tc>
        <w:tc>
          <w:tcPr>
            <w:tcW w:w="2551" w:type="dxa"/>
            <w:vAlign w:val="center"/>
          </w:tcPr>
          <w:p>
            <w:pPr>
              <w:pStyle w:val="12"/>
            </w:pPr>
            <w:r>
              <w:t>412.89</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431.49</w:t>
            </w:r>
          </w:p>
        </w:tc>
        <w:tc>
          <w:tcPr>
            <w:tcW w:w="2551" w:type="dxa"/>
            <w:vAlign w:val="center"/>
          </w:tcPr>
          <w:p>
            <w:pPr>
              <w:pStyle w:val="12"/>
            </w:pPr>
            <w:r>
              <w:t>412.89</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280.55</w:t>
            </w:r>
          </w:p>
        </w:tc>
        <w:tc>
          <w:tcPr>
            <w:tcW w:w="2551" w:type="dxa"/>
            <w:vAlign w:val="center"/>
          </w:tcPr>
          <w:p>
            <w:pPr>
              <w:pStyle w:val="12"/>
            </w:pPr>
            <w:r>
              <w:t>280.55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18.60</w:t>
            </w:r>
          </w:p>
        </w:tc>
        <w:tc>
          <w:tcPr>
            <w:tcW w:w="2551" w:type="dxa"/>
            <w:vAlign w:val="center"/>
          </w:tcPr>
          <w:p>
            <w:pPr>
              <w:pStyle w:val="12"/>
            </w:pP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132.35</w:t>
            </w:r>
          </w:p>
        </w:tc>
        <w:tc>
          <w:tcPr>
            <w:tcW w:w="2551" w:type="dxa"/>
            <w:vAlign w:val="center"/>
          </w:tcPr>
          <w:p>
            <w:pPr>
              <w:pStyle w:val="12"/>
            </w:pPr>
            <w:r>
              <w:t>132.35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67.30</w:t>
            </w:r>
          </w:p>
        </w:tc>
        <w:tc>
          <w:tcPr>
            <w:tcW w:w="2551" w:type="dxa"/>
            <w:vAlign w:val="center"/>
          </w:tcPr>
          <w:p>
            <w:pPr>
              <w:pStyle w:val="12"/>
            </w:pPr>
            <w:r>
              <w:t>67.30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67.30</w:t>
            </w:r>
          </w:p>
        </w:tc>
        <w:tc>
          <w:tcPr>
            <w:tcW w:w="2551" w:type="dxa"/>
            <w:vAlign w:val="center"/>
          </w:tcPr>
          <w:p>
            <w:pPr>
              <w:pStyle w:val="12"/>
            </w:pPr>
            <w:r>
              <w:t>67.30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17.19</w:t>
            </w:r>
          </w:p>
        </w:tc>
        <w:tc>
          <w:tcPr>
            <w:tcW w:w="2551" w:type="dxa"/>
            <w:vAlign w:val="center"/>
          </w:tcPr>
          <w:p>
            <w:pPr>
              <w:pStyle w:val="12"/>
            </w:pPr>
            <w:r>
              <w:t>17.19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9.05</w:t>
            </w:r>
          </w:p>
        </w:tc>
        <w:tc>
          <w:tcPr>
            <w:tcW w:w="2551" w:type="dxa"/>
            <w:vAlign w:val="center"/>
          </w:tcPr>
          <w:p>
            <w:pPr>
              <w:pStyle w:val="12"/>
            </w:pPr>
            <w:r>
              <w:t>9.05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41.05</w:t>
            </w:r>
          </w:p>
        </w:tc>
        <w:tc>
          <w:tcPr>
            <w:tcW w:w="2551" w:type="dxa"/>
            <w:vAlign w:val="center"/>
          </w:tcPr>
          <w:p>
            <w:pPr>
              <w:pStyle w:val="12"/>
            </w:pPr>
            <w:r>
              <w:t>41.05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32.11</w:t>
            </w:r>
          </w:p>
        </w:tc>
        <w:tc>
          <w:tcPr>
            <w:tcW w:w="2551" w:type="dxa"/>
            <w:vAlign w:val="center"/>
          </w:tcPr>
          <w:p>
            <w:pPr>
              <w:pStyle w:val="12"/>
            </w:pPr>
            <w:r>
              <w:t>32.11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32.11</w:t>
            </w:r>
          </w:p>
        </w:tc>
        <w:tc>
          <w:tcPr>
            <w:tcW w:w="2551" w:type="dxa"/>
            <w:vAlign w:val="center"/>
          </w:tcPr>
          <w:p>
            <w:pPr>
              <w:pStyle w:val="12"/>
            </w:pPr>
            <w:r>
              <w:t>32.11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13.60</w:t>
            </w:r>
          </w:p>
        </w:tc>
        <w:tc>
          <w:tcPr>
            <w:tcW w:w="2551" w:type="dxa"/>
            <w:vAlign w:val="center"/>
          </w:tcPr>
          <w:p>
            <w:pPr>
              <w:pStyle w:val="12"/>
            </w:pPr>
            <w:r>
              <w:t>13.60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10.46</w:t>
            </w:r>
          </w:p>
        </w:tc>
        <w:tc>
          <w:tcPr>
            <w:tcW w:w="2551" w:type="dxa"/>
            <w:vAlign w:val="center"/>
          </w:tcPr>
          <w:p>
            <w:pPr>
              <w:pStyle w:val="12"/>
            </w:pPr>
            <w:r>
              <w:t>10.46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8.04</w:t>
            </w:r>
          </w:p>
        </w:tc>
        <w:tc>
          <w:tcPr>
            <w:tcW w:w="2551" w:type="dxa"/>
            <w:vAlign w:val="center"/>
          </w:tcPr>
          <w:p>
            <w:pPr>
              <w:pStyle w:val="12"/>
            </w:pPr>
            <w:r>
              <w:t>8.04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546.93</w:t>
            </w:r>
          </w:p>
        </w:tc>
        <w:tc>
          <w:tcPr>
            <w:tcW w:w="2551" w:type="dxa"/>
            <w:vAlign w:val="center"/>
          </w:tcPr>
          <w:p>
            <w:pPr>
              <w:pStyle w:val="16"/>
            </w:pPr>
            <w:r>
              <w:t>463.35</w:t>
            </w:r>
          </w:p>
        </w:tc>
        <w:tc>
          <w:tcPr>
            <w:tcW w:w="2551" w:type="dxa"/>
            <w:vAlign w:val="center"/>
          </w:tcPr>
          <w:p>
            <w:pPr>
              <w:pStyle w:val="16"/>
            </w:pPr>
            <w:r>
              <w:t>83.58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433.11</w:t>
            </w:r>
          </w:p>
        </w:tc>
        <w:tc>
          <w:tcPr>
            <w:tcW w:w="2551" w:type="dxa"/>
            <w:vAlign w:val="center"/>
          </w:tcPr>
          <w:p>
            <w:pPr>
              <w:pStyle w:val="12"/>
            </w:pPr>
            <w:r>
              <w:t>433.11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157.64</w:t>
            </w:r>
          </w:p>
        </w:tc>
        <w:tc>
          <w:tcPr>
            <w:tcW w:w="2551" w:type="dxa"/>
            <w:vAlign w:val="center"/>
          </w:tcPr>
          <w:p>
            <w:pPr>
              <w:pStyle w:val="12"/>
            </w:pPr>
            <w:r>
              <w:t>157.64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91.81</w:t>
            </w:r>
          </w:p>
        </w:tc>
        <w:tc>
          <w:tcPr>
            <w:tcW w:w="2551" w:type="dxa"/>
            <w:vAlign w:val="center"/>
          </w:tcPr>
          <w:p>
            <w:pPr>
              <w:pStyle w:val="12"/>
            </w:pPr>
            <w:r>
              <w:t>91.81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30.77</w:t>
            </w:r>
          </w:p>
        </w:tc>
        <w:tc>
          <w:tcPr>
            <w:tcW w:w="2551" w:type="dxa"/>
            <w:vAlign w:val="center"/>
          </w:tcPr>
          <w:p>
            <w:pPr>
              <w:pStyle w:val="12"/>
            </w:pPr>
            <w:r>
              <w:t>30.77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43.04</w:t>
            </w:r>
          </w:p>
        </w:tc>
        <w:tc>
          <w:tcPr>
            <w:tcW w:w="2551" w:type="dxa"/>
            <w:vAlign w:val="center"/>
          </w:tcPr>
          <w:p>
            <w:pPr>
              <w:pStyle w:val="12"/>
            </w:pPr>
            <w:r>
              <w:t>43.04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41.05</w:t>
            </w:r>
          </w:p>
        </w:tc>
        <w:tc>
          <w:tcPr>
            <w:tcW w:w="2551" w:type="dxa"/>
            <w:vAlign w:val="center"/>
          </w:tcPr>
          <w:p>
            <w:pPr>
              <w:pStyle w:val="12"/>
            </w:pPr>
            <w:r>
              <w:t>41.05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24.06</w:t>
            </w:r>
          </w:p>
        </w:tc>
        <w:tc>
          <w:tcPr>
            <w:tcW w:w="2551" w:type="dxa"/>
            <w:vAlign w:val="center"/>
          </w:tcPr>
          <w:p>
            <w:pPr>
              <w:pStyle w:val="12"/>
            </w:pPr>
            <w:r>
              <w:t>24.06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8.04</w:t>
            </w:r>
          </w:p>
        </w:tc>
        <w:tc>
          <w:tcPr>
            <w:tcW w:w="2551" w:type="dxa"/>
            <w:vAlign w:val="center"/>
          </w:tcPr>
          <w:p>
            <w:pPr>
              <w:pStyle w:val="12"/>
            </w:pPr>
            <w:r>
              <w:t>8.04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2.06</w:t>
            </w:r>
          </w:p>
        </w:tc>
        <w:tc>
          <w:tcPr>
            <w:tcW w:w="2551" w:type="dxa"/>
            <w:vAlign w:val="center"/>
          </w:tcPr>
          <w:p>
            <w:pPr>
              <w:pStyle w:val="12"/>
            </w:pPr>
            <w:r>
              <w:t>2.06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82.58</w:t>
            </w:r>
          </w:p>
        </w:tc>
        <w:tc>
          <w:tcPr>
            <w:tcW w:w="2551" w:type="dxa"/>
            <w:vAlign w:val="center"/>
          </w:tcPr>
          <w:p>
            <w:pPr>
              <w:pStyle w:val="12"/>
            </w:pPr>
          </w:p>
        </w:tc>
        <w:tc>
          <w:tcPr>
            <w:tcW w:w="2551" w:type="dxa"/>
            <w:vAlign w:val="center"/>
          </w:tcPr>
          <w:p>
            <w:pPr>
              <w:pStyle w:val="12"/>
            </w:pPr>
            <w:r>
              <w:t>82.58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10.05</w:t>
            </w:r>
          </w:p>
        </w:tc>
        <w:tc>
          <w:tcPr>
            <w:tcW w:w="2551" w:type="dxa"/>
            <w:vAlign w:val="center"/>
          </w:tcPr>
          <w:p>
            <w:pPr>
              <w:pStyle w:val="12"/>
            </w:pPr>
          </w:p>
        </w:tc>
        <w:tc>
          <w:tcPr>
            <w:tcW w:w="2551" w:type="dxa"/>
            <w:vAlign w:val="center"/>
          </w:tcPr>
          <w:p>
            <w:pPr>
              <w:pStyle w:val="12"/>
            </w:pPr>
            <w:r>
              <w:t>10.05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9.68</w:t>
            </w:r>
          </w:p>
        </w:tc>
        <w:tc>
          <w:tcPr>
            <w:tcW w:w="2551" w:type="dxa"/>
            <w:vAlign w:val="center"/>
          </w:tcPr>
          <w:p>
            <w:pPr>
              <w:pStyle w:val="12"/>
            </w:pPr>
          </w:p>
        </w:tc>
        <w:tc>
          <w:tcPr>
            <w:tcW w:w="2551" w:type="dxa"/>
            <w:vAlign w:val="center"/>
          </w:tcPr>
          <w:p>
            <w:pPr>
              <w:pStyle w:val="12"/>
            </w:pPr>
            <w:r>
              <w:t>9.68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0.75</w:t>
            </w:r>
          </w:p>
        </w:tc>
        <w:tc>
          <w:tcPr>
            <w:tcW w:w="2551" w:type="dxa"/>
            <w:vAlign w:val="center"/>
          </w:tcPr>
          <w:p>
            <w:pPr>
              <w:pStyle w:val="12"/>
            </w:pPr>
          </w:p>
        </w:tc>
        <w:tc>
          <w:tcPr>
            <w:tcW w:w="2551" w:type="dxa"/>
            <w:vAlign w:val="center"/>
          </w:tcPr>
          <w:p>
            <w:pPr>
              <w:pStyle w:val="12"/>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8.00</w:t>
            </w:r>
          </w:p>
        </w:tc>
        <w:tc>
          <w:tcPr>
            <w:tcW w:w="2551" w:type="dxa"/>
            <w:vAlign w:val="center"/>
          </w:tcPr>
          <w:p>
            <w:pPr>
              <w:pStyle w:val="12"/>
            </w:pPr>
          </w:p>
        </w:tc>
        <w:tc>
          <w:tcPr>
            <w:tcW w:w="2551" w:type="dxa"/>
            <w:vAlign w:val="center"/>
          </w:tcPr>
          <w:p>
            <w:pPr>
              <w:pStyle w:val="12"/>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14.10</w:t>
            </w:r>
          </w:p>
        </w:tc>
        <w:tc>
          <w:tcPr>
            <w:tcW w:w="2551" w:type="dxa"/>
            <w:vAlign w:val="center"/>
          </w:tcPr>
          <w:p>
            <w:pPr>
              <w:pStyle w:val="12"/>
            </w:pPr>
          </w:p>
        </w:tc>
        <w:tc>
          <w:tcPr>
            <w:tcW w:w="2551" w:type="dxa"/>
            <w:vAlign w:val="center"/>
          </w:tcPr>
          <w:p>
            <w:pPr>
              <w:pStyle w:val="12"/>
            </w:pPr>
            <w:r>
              <w:t>14.10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30.24</w:t>
            </w:r>
          </w:p>
        </w:tc>
        <w:tc>
          <w:tcPr>
            <w:tcW w:w="2551" w:type="dxa"/>
            <w:vAlign w:val="center"/>
          </w:tcPr>
          <w:p>
            <w:pPr>
              <w:pStyle w:val="12"/>
            </w:pPr>
            <w:r>
              <w:t>30.24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26.24</w:t>
            </w:r>
          </w:p>
        </w:tc>
        <w:tc>
          <w:tcPr>
            <w:tcW w:w="2551" w:type="dxa"/>
            <w:vAlign w:val="center"/>
          </w:tcPr>
          <w:p>
            <w:pPr>
              <w:pStyle w:val="12"/>
            </w:pPr>
            <w:r>
              <w:t>26.24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2.40</w:t>
            </w:r>
          </w:p>
        </w:tc>
        <w:tc>
          <w:tcPr>
            <w:tcW w:w="2551" w:type="dxa"/>
            <w:vAlign w:val="center"/>
          </w:tcPr>
          <w:p>
            <w:pPr>
              <w:pStyle w:val="12"/>
            </w:pPr>
            <w:r>
              <w:t>2.40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w:t>
      </w:r>
    </w:p>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四、会议费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12</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五、培训费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阜平县吴王口乡人民政府本级2025年单位预算信息公开情况说明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按照《中华人民共和国预算法》、《地方预决算公开操作规程》和《关于进一步推进预算公开工作的实施意见》规定，现将阜平县吴王口乡人民政府本级2025年单位预算公开如下：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3"/>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bookmarkStart w:id="1" w:name="_GoBack"/>
      <w:bookmarkEnd w:id="1"/>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8"/>
        <w:rPr>
          <w:rFonts w:eastAsia="方正仿宋_GBK"/>
          <w:color w:val="000000"/>
          <w:sz w:val="28"/>
        </w:rPr>
      </w:pPr>
      <w:r>
        <w:rPr>
          <w:rFonts w:eastAsia="方正仿宋_GBK"/>
          <w:color w:val="000000"/>
          <w:sz w:val="28"/>
        </w:rPr>
        <w:t>（十二）承办上级党委、人大、政府交办的其他事项。</w:t>
      </w:r>
    </w:p>
    <w:p>
      <w:pPr>
        <w:pStyle w:val="18"/>
        <w:rPr>
          <w:rFonts w:eastAsia="方正仿宋_GBK"/>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3"/>
            </w:pPr>
            <w:r>
              <w:t>阜平县吴王口乡人民政府本级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19"/>
      </w:pPr>
      <w:r>
        <w:rPr>
          <w:rFonts w:eastAsia="方正仿宋_GBK" w:cstheme="minorBidi"/>
          <w:color w:val="000000"/>
          <w:sz w:val="28"/>
        </w:rPr>
        <w:t>1、</w:t>
      </w:r>
      <w:r>
        <w:t>收入说明</w:t>
      </w:r>
    </w:p>
    <w:p>
      <w:pPr>
        <w:spacing w:line="500" w:lineRule="exact"/>
        <w:ind w:firstLine="560" w:firstLineChars="200"/>
        <w:rPr>
          <w:rFonts w:eastAsia="方正仿宋_GBK" w:cstheme="minorBidi"/>
          <w:color w:val="000000"/>
          <w:sz w:val="28"/>
          <w:szCs w:val="28"/>
        </w:rPr>
      </w:pPr>
      <w:r>
        <w:rPr>
          <w:sz w:val="28"/>
          <w:szCs w:val="28"/>
        </w:rPr>
        <w:t>反映本单位当年全部收入。202</w:t>
      </w:r>
      <w:r>
        <w:rPr>
          <w:rFonts w:hint="eastAsia" w:eastAsia="宋体"/>
          <w:sz w:val="28"/>
          <w:szCs w:val="28"/>
          <w:lang w:val="en-US" w:eastAsia="zh-CN"/>
        </w:rPr>
        <w:t>5</w:t>
      </w:r>
      <w:r>
        <w:rPr>
          <w:sz w:val="28"/>
          <w:szCs w:val="28"/>
        </w:rPr>
        <w:t>年预算收入</w:t>
      </w:r>
      <w:r>
        <w:rPr>
          <w:rFonts w:hint="eastAsia"/>
          <w:sz w:val="28"/>
          <w:szCs w:val="28"/>
          <w:lang w:val="en-US" w:eastAsia="zh-CN"/>
        </w:rPr>
        <w:t>565.53</w:t>
      </w:r>
      <w:r>
        <w:rPr>
          <w:sz w:val="28"/>
          <w:szCs w:val="28"/>
        </w:rPr>
        <w:t>万元，其中：一般公共预算收入</w:t>
      </w:r>
      <w:r>
        <w:rPr>
          <w:rFonts w:hint="eastAsia"/>
          <w:sz w:val="28"/>
          <w:szCs w:val="28"/>
          <w:lang w:val="en-US" w:eastAsia="zh-CN"/>
        </w:rPr>
        <w:t>565.53</w:t>
      </w:r>
      <w:r>
        <w:rPr>
          <w:sz w:val="28"/>
          <w:szCs w:val="28"/>
        </w:rPr>
        <w:t>万元，基金预算收入</w:t>
      </w:r>
      <w:r>
        <w:rPr>
          <w:rFonts w:hint="eastAsia" w:eastAsiaTheme="minorEastAsia"/>
          <w:sz w:val="28"/>
          <w:szCs w:val="28"/>
          <w:lang w:val="en-US" w:eastAsia="zh-CN"/>
        </w:rPr>
        <w:t>0</w:t>
      </w:r>
      <w:r>
        <w:rPr>
          <w:sz w:val="28"/>
          <w:szCs w:val="28"/>
        </w:rPr>
        <w:t>万元，国有资本经营预算收入0万元，财政专户核拨收入0万元，单位资金收入0万元，上年结转结余0万元</w:t>
      </w:r>
      <w:r>
        <w:rPr>
          <w:rFonts w:hint="eastAsia" w:eastAsia="宋体"/>
          <w:sz w:val="28"/>
          <w:szCs w:val="28"/>
          <w:lang w:eastAsia="zh-CN"/>
        </w:rPr>
        <w:t>。</w:t>
      </w:r>
    </w:p>
    <w:p>
      <w:pPr>
        <w:pStyle w:val="19"/>
      </w:pPr>
      <w:r>
        <w:rPr>
          <w:rFonts w:eastAsia="方正仿宋_GBK" w:cstheme="minorBidi"/>
          <w:color w:val="000000"/>
          <w:sz w:val="28"/>
        </w:rPr>
        <w:t>2、</w:t>
      </w:r>
      <w:r>
        <w:t>支出说明</w:t>
      </w:r>
    </w:p>
    <w:p>
      <w:pPr>
        <w:spacing w:line="500" w:lineRule="exact"/>
        <w:ind w:firstLine="560" w:firstLineChars="200"/>
        <w:rPr>
          <w:rFonts w:eastAsia="方正仿宋_GBK" w:cstheme="minorBidi"/>
          <w:color w:val="000000"/>
          <w:sz w:val="28"/>
          <w:lang w:val="uk-UA"/>
        </w:rPr>
      </w:pPr>
      <w:r>
        <w:rPr>
          <w:sz w:val="28"/>
          <w:szCs w:val="28"/>
        </w:rPr>
        <w:t>收支预算总表支出栏、基本支出表、项目支出表按经济分类和支出功能分类科目编制，反映</w:t>
      </w:r>
      <w:r>
        <w:rPr>
          <w:rFonts w:hint="eastAsia"/>
          <w:sz w:val="28"/>
          <w:szCs w:val="28"/>
          <w:lang w:eastAsia="zh-CN"/>
        </w:rPr>
        <w:t>阜平县吴王口乡人民政府</w:t>
      </w:r>
      <w:r>
        <w:rPr>
          <w:sz w:val="28"/>
          <w:szCs w:val="28"/>
        </w:rPr>
        <w:t>年度单位预算中支出预算的总体情况。202</w:t>
      </w:r>
      <w:r>
        <w:rPr>
          <w:rFonts w:hint="eastAsia"/>
          <w:sz w:val="28"/>
          <w:szCs w:val="28"/>
          <w:lang w:val="en-US" w:eastAsia="zh-CN"/>
        </w:rPr>
        <w:t>5</w:t>
      </w:r>
      <w:r>
        <w:rPr>
          <w:sz w:val="28"/>
          <w:szCs w:val="28"/>
        </w:rPr>
        <w:t>年支出预算</w:t>
      </w:r>
      <w:r>
        <w:rPr>
          <w:rFonts w:hint="eastAsia"/>
          <w:sz w:val="28"/>
          <w:szCs w:val="28"/>
          <w:lang w:val="en-US" w:eastAsia="zh-CN"/>
        </w:rPr>
        <w:t>565.53</w:t>
      </w:r>
      <w:r>
        <w:rPr>
          <w:sz w:val="28"/>
          <w:szCs w:val="28"/>
        </w:rPr>
        <w:t>万元，其中基本支出</w:t>
      </w:r>
      <w:r>
        <w:rPr>
          <w:rFonts w:hint="eastAsia"/>
          <w:sz w:val="28"/>
          <w:szCs w:val="28"/>
          <w:lang w:val="en-US" w:eastAsia="zh-CN"/>
        </w:rPr>
        <w:t>546.93</w:t>
      </w:r>
      <w:r>
        <w:rPr>
          <w:sz w:val="28"/>
          <w:szCs w:val="28"/>
        </w:rPr>
        <w:t>万元，包括人员经费</w:t>
      </w:r>
      <w:r>
        <w:rPr>
          <w:rFonts w:hint="eastAsia"/>
          <w:sz w:val="28"/>
          <w:szCs w:val="28"/>
          <w:lang w:val="en-US" w:eastAsia="zh-CN"/>
        </w:rPr>
        <w:t>463.35</w:t>
      </w:r>
      <w:r>
        <w:rPr>
          <w:sz w:val="28"/>
          <w:szCs w:val="28"/>
        </w:rPr>
        <w:t>万元和日常公用经费</w:t>
      </w:r>
      <w:r>
        <w:rPr>
          <w:rFonts w:hint="eastAsia" w:eastAsiaTheme="minorEastAsia"/>
          <w:sz w:val="28"/>
          <w:szCs w:val="28"/>
          <w:lang w:eastAsia="zh-CN"/>
        </w:rPr>
        <w:t>8</w:t>
      </w:r>
      <w:r>
        <w:rPr>
          <w:rFonts w:hint="eastAsia" w:eastAsiaTheme="minorEastAsia"/>
          <w:sz w:val="28"/>
          <w:szCs w:val="28"/>
          <w:lang w:val="en-US" w:eastAsia="zh-CN"/>
        </w:rPr>
        <w:t>3.58</w:t>
      </w:r>
      <w:r>
        <w:rPr>
          <w:sz w:val="28"/>
          <w:szCs w:val="28"/>
        </w:rPr>
        <w:t>万元；项目支出</w:t>
      </w:r>
      <w:r>
        <w:rPr>
          <w:rFonts w:hint="eastAsia" w:eastAsiaTheme="minorEastAsia"/>
          <w:sz w:val="28"/>
          <w:szCs w:val="28"/>
          <w:lang w:val="en-US" w:eastAsia="zh-CN"/>
        </w:rPr>
        <w:t>18.60</w:t>
      </w:r>
      <w:r>
        <w:rPr>
          <w:sz w:val="28"/>
          <w:szCs w:val="28"/>
        </w:rPr>
        <w:t>万元主要为</w:t>
      </w:r>
      <w:r>
        <w:rPr>
          <w:rFonts w:hint="eastAsia"/>
          <w:sz w:val="28"/>
          <w:szCs w:val="28"/>
          <w:lang w:eastAsia="zh-CN"/>
        </w:rPr>
        <w:t>劳务派遣工资、</w:t>
      </w:r>
      <w:r>
        <w:rPr>
          <w:rFonts w:hint="eastAsia" w:ascii="Times New Roman" w:hAnsi="Times New Roman" w:eastAsia="Times New Roman" w:cstheme="minorBidi"/>
          <w:sz w:val="28"/>
          <w:szCs w:val="28"/>
          <w:lang w:eastAsia="zh-CN"/>
        </w:rPr>
        <w:t>行政执法制式服装和标志的费用、“快递进村”工作补贴</w:t>
      </w:r>
      <w:r>
        <w:rPr>
          <w:rFonts w:hint="eastAsia"/>
          <w:sz w:val="28"/>
          <w:szCs w:val="28"/>
          <w:lang w:eastAsia="zh-CN"/>
        </w:rPr>
        <w:t>等项目支出。</w:t>
      </w:r>
    </w:p>
    <w:p>
      <w:pPr>
        <w:pStyle w:val="19"/>
      </w:pPr>
      <w:r>
        <w:rPr>
          <w:rFonts w:eastAsia="方正仿宋_GBK" w:cstheme="minorBidi"/>
          <w:color w:val="000000"/>
          <w:sz w:val="28"/>
        </w:rPr>
        <w:t>3、</w:t>
      </w:r>
      <w:r>
        <w:t>比上年增减情况</w:t>
      </w:r>
    </w:p>
    <w:p>
      <w:pPr>
        <w:spacing w:line="500" w:lineRule="exact"/>
        <w:ind w:firstLine="560" w:firstLineChars="200"/>
        <w:rPr>
          <w:rFonts w:eastAsia="方正仿宋_GBK" w:cstheme="minorBidi"/>
          <w:color w:val="000000"/>
          <w:sz w:val="28"/>
          <w:szCs w:val="28"/>
        </w:rPr>
      </w:pPr>
      <w:r>
        <w:rPr>
          <w:sz w:val="28"/>
          <w:szCs w:val="28"/>
        </w:rPr>
        <w:t>202</w:t>
      </w:r>
      <w:r>
        <w:rPr>
          <w:rFonts w:hint="eastAsia"/>
          <w:sz w:val="28"/>
          <w:szCs w:val="28"/>
          <w:lang w:val="en-US" w:eastAsia="zh-CN"/>
        </w:rPr>
        <w:t>5</w:t>
      </w:r>
      <w:r>
        <w:rPr>
          <w:sz w:val="28"/>
          <w:szCs w:val="28"/>
        </w:rPr>
        <w:t>年预算收支安排</w:t>
      </w:r>
      <w:r>
        <w:rPr>
          <w:rFonts w:hint="eastAsia" w:eastAsiaTheme="minorEastAsia"/>
          <w:sz w:val="28"/>
          <w:szCs w:val="28"/>
          <w:lang w:val="en-US" w:eastAsia="zh-CN"/>
        </w:rPr>
        <w:t>565.53</w:t>
      </w:r>
      <w:r>
        <w:rPr>
          <w:sz w:val="28"/>
          <w:szCs w:val="28"/>
        </w:rPr>
        <w:t>万元，较202</w:t>
      </w:r>
      <w:r>
        <w:rPr>
          <w:rFonts w:hint="eastAsia"/>
          <w:sz w:val="28"/>
          <w:szCs w:val="28"/>
          <w:lang w:val="en-US" w:eastAsia="zh-CN"/>
        </w:rPr>
        <w:t>4</w:t>
      </w:r>
      <w:r>
        <w:rPr>
          <w:sz w:val="28"/>
          <w:szCs w:val="28"/>
        </w:rPr>
        <w:t>年预算</w:t>
      </w:r>
      <w:r>
        <w:rPr>
          <w:rFonts w:hint="eastAsia"/>
          <w:sz w:val="28"/>
          <w:szCs w:val="28"/>
          <w:lang w:eastAsia="zh-CN"/>
        </w:rPr>
        <w:t>增加</w:t>
      </w:r>
      <w:r>
        <w:rPr>
          <w:sz w:val="28"/>
          <w:szCs w:val="28"/>
        </w:rPr>
        <w:t>了</w:t>
      </w:r>
      <w:r>
        <w:rPr>
          <w:rFonts w:hint="eastAsia" w:eastAsiaTheme="minorEastAsia"/>
          <w:sz w:val="28"/>
          <w:szCs w:val="28"/>
          <w:lang w:val="en-US" w:eastAsia="zh-CN"/>
        </w:rPr>
        <w:t>7.47</w:t>
      </w:r>
      <w:r>
        <w:rPr>
          <w:sz w:val="28"/>
          <w:szCs w:val="28"/>
        </w:rPr>
        <w:t>万元，其中：基本支出</w:t>
      </w:r>
      <w:r>
        <w:rPr>
          <w:rFonts w:hint="eastAsia"/>
          <w:sz w:val="28"/>
          <w:szCs w:val="28"/>
          <w:lang w:eastAsia="zh-CN"/>
        </w:rPr>
        <w:t>增加</w:t>
      </w:r>
      <w:r>
        <w:rPr>
          <w:rFonts w:hint="eastAsia" w:eastAsiaTheme="minorEastAsia"/>
          <w:sz w:val="28"/>
          <w:szCs w:val="28"/>
          <w:lang w:val="en-US" w:eastAsia="zh-CN"/>
        </w:rPr>
        <w:t>8.39</w:t>
      </w:r>
      <w:r>
        <w:rPr>
          <w:sz w:val="28"/>
          <w:szCs w:val="28"/>
        </w:rPr>
        <w:t>万元，主要是</w:t>
      </w:r>
      <w:r>
        <w:rPr>
          <w:rFonts w:hint="eastAsia"/>
          <w:sz w:val="28"/>
          <w:szCs w:val="28"/>
          <w:lang w:eastAsia="zh-CN"/>
        </w:rPr>
        <w:t>增加了</w:t>
      </w:r>
      <w:r>
        <w:rPr>
          <w:sz w:val="28"/>
          <w:szCs w:val="28"/>
        </w:rPr>
        <w:t>人员经费支出；项目支出</w:t>
      </w:r>
      <w:r>
        <w:rPr>
          <w:rFonts w:hint="eastAsia"/>
          <w:sz w:val="28"/>
          <w:szCs w:val="28"/>
          <w:lang w:eastAsia="zh-CN"/>
        </w:rPr>
        <w:t>减少了</w:t>
      </w:r>
      <w:r>
        <w:rPr>
          <w:rFonts w:hint="eastAsia" w:eastAsiaTheme="minorEastAsia"/>
          <w:sz w:val="28"/>
          <w:szCs w:val="28"/>
          <w:lang w:val="en-US" w:eastAsia="zh-CN"/>
        </w:rPr>
        <w:t>1.28</w:t>
      </w:r>
      <w:r>
        <w:rPr>
          <w:rFonts w:hint="eastAsia"/>
          <w:sz w:val="28"/>
          <w:szCs w:val="28"/>
          <w:lang w:eastAsia="zh-CN"/>
        </w:rPr>
        <w:t>万元，主要是减少了</w:t>
      </w:r>
      <w:r>
        <w:rPr>
          <w:rFonts w:hint="eastAsia" w:eastAsiaTheme="minorEastAsia"/>
          <w:sz w:val="28"/>
          <w:szCs w:val="28"/>
          <w:lang w:eastAsia="zh-CN"/>
        </w:rPr>
        <w:t>美丽乡村工程款</w:t>
      </w:r>
      <w:r>
        <w:rPr>
          <w:rFonts w:hint="eastAsia"/>
          <w:sz w:val="28"/>
          <w:szCs w:val="28"/>
          <w:lang w:eastAsia="zh-CN"/>
        </w:rPr>
        <w:t>项目。</w:t>
      </w:r>
    </w:p>
    <w:p>
      <w:pPr>
        <w:numPr>
          <w:ilvl w:val="0"/>
          <w:numId w:val="1"/>
        </w:numPr>
        <w:spacing w:before="10" w:after="10" w:line="240" w:lineRule="auto"/>
        <w:ind w:firstLine="640"/>
        <w:jc w:val="left"/>
        <w:outlineLvl w:val="5"/>
        <w:rPr>
          <w:rFonts w:ascii="黑体" w:hAnsi="黑体" w:eastAsia="黑体" w:cs="黑体"/>
          <w:b w:val="0"/>
          <w:bCs w:val="0"/>
          <w:color w:val="000000"/>
          <w:sz w:val="32"/>
        </w:rPr>
      </w:pPr>
      <w:r>
        <w:rPr>
          <w:rFonts w:ascii="黑体" w:hAnsi="黑体" w:eastAsia="黑体" w:cs="黑体"/>
          <w:b w:val="0"/>
          <w:bCs w:val="0"/>
          <w:color w:val="000000"/>
          <w:sz w:val="32"/>
        </w:rPr>
        <w:t>机关运行经费安排情况</w:t>
      </w:r>
    </w:p>
    <w:p>
      <w:pPr>
        <w:numPr>
          <w:ilvl w:val="0"/>
          <w:numId w:val="0"/>
        </w:numPr>
        <w:spacing w:before="10" w:after="10" w:line="240" w:lineRule="auto"/>
        <w:ind w:firstLine="560" w:firstLineChars="200"/>
        <w:jc w:val="left"/>
        <w:outlineLvl w:val="5"/>
        <w:rPr>
          <w:rFonts w:hint="eastAsia" w:ascii="黑体" w:hAnsi="黑体" w:eastAsia="宋体" w:cs="黑体"/>
          <w:b w:val="0"/>
          <w:bCs w:val="0"/>
          <w:color w:val="000000"/>
          <w:sz w:val="28"/>
          <w:szCs w:val="28"/>
          <w:lang w:val="en-US" w:eastAsia="zh-CN"/>
        </w:rPr>
      </w:pPr>
      <w:r>
        <w:rPr>
          <w:rFonts w:hint="eastAsia" w:eastAsia="宋体"/>
          <w:sz w:val="28"/>
          <w:szCs w:val="28"/>
          <w:lang w:val="en-US" w:eastAsia="zh-CN"/>
        </w:rPr>
        <w:t>2</w:t>
      </w:r>
      <w:r>
        <w:rPr>
          <w:sz w:val="28"/>
          <w:szCs w:val="28"/>
        </w:rPr>
        <w:t>02</w:t>
      </w:r>
      <w:r>
        <w:rPr>
          <w:rFonts w:hint="eastAsia"/>
          <w:sz w:val="28"/>
          <w:szCs w:val="28"/>
          <w:lang w:val="en-US" w:eastAsia="zh-CN"/>
        </w:rPr>
        <w:t>5</w:t>
      </w:r>
      <w:r>
        <w:rPr>
          <w:sz w:val="28"/>
          <w:szCs w:val="28"/>
        </w:rPr>
        <w:t>年，我单位运行经费共计安排</w:t>
      </w:r>
      <w:r>
        <w:rPr>
          <w:rFonts w:hint="eastAsia" w:eastAsiaTheme="minorEastAsia"/>
          <w:sz w:val="28"/>
          <w:szCs w:val="28"/>
          <w:lang w:val="en-US" w:eastAsia="zh-CN"/>
        </w:rPr>
        <w:t>83.58</w:t>
      </w:r>
      <w:r>
        <w:rPr>
          <w:sz w:val="28"/>
          <w:szCs w:val="28"/>
        </w:rPr>
        <w:t>万元，主要用于日常维修、办公费用等日常运行支出</w:t>
      </w:r>
      <w:r>
        <w:rPr>
          <w:rFonts w:hint="eastAsia" w:eastAsia="宋体"/>
          <w:sz w:val="28"/>
          <w:szCs w:val="28"/>
          <w:lang w:eastAsia="zh-CN"/>
        </w:rPr>
        <w:t>。</w:t>
      </w:r>
    </w:p>
    <w:p>
      <w:pPr>
        <w:pStyle w:val="20"/>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rPr>
          <w:rFonts w:hint="default" w:ascii="Times New Roman" w:hAnsi="Times New Roman" w:eastAsia="Times New Roman" w:cstheme="minorBidi"/>
          <w:sz w:val="28"/>
          <w:szCs w:val="28"/>
          <w:lang w:val="en-US" w:eastAsia="zh-CN" w:bidi="ar-SA"/>
        </w:rPr>
      </w:pPr>
      <w:r>
        <w:rPr>
          <w:rFonts w:hint="eastAsia" w:eastAsia="Times New Roman" w:cstheme="minorBidi"/>
          <w:sz w:val="28"/>
          <w:szCs w:val="28"/>
          <w:lang w:val="en-US" w:eastAsia="zh-CN" w:bidi="ar-SA"/>
        </w:rPr>
        <w:t>2</w:t>
      </w:r>
      <w:r>
        <w:rPr>
          <w:rFonts w:hint="eastAsia" w:ascii="Times New Roman" w:hAnsi="Times New Roman" w:eastAsia="Times New Roman" w:cstheme="minorBidi"/>
          <w:sz w:val="28"/>
          <w:szCs w:val="28"/>
          <w:lang w:val="en-US" w:eastAsia="zh-CN" w:bidi="ar-SA"/>
        </w:rPr>
        <w:t>02</w:t>
      </w:r>
      <w:r>
        <w:rPr>
          <w:rFonts w:hint="eastAsia" w:eastAsia="Times New Roman" w:cstheme="minorBidi"/>
          <w:sz w:val="28"/>
          <w:szCs w:val="28"/>
          <w:lang w:val="en-US" w:eastAsia="zh-CN" w:bidi="ar-SA"/>
        </w:rPr>
        <w:t>5</w:t>
      </w:r>
      <w:r>
        <w:rPr>
          <w:rFonts w:hint="eastAsia" w:ascii="Times New Roman" w:hAnsi="Times New Roman" w:eastAsia="Times New Roman" w:cstheme="minorBidi"/>
          <w:sz w:val="28"/>
          <w:szCs w:val="28"/>
          <w:lang w:val="en-US" w:eastAsia="zh-CN" w:bidi="ar-SA"/>
        </w:rPr>
        <w:t>年，我单位财政拨款“三公”经费预算安排</w:t>
      </w:r>
      <w:r>
        <w:rPr>
          <w:rFonts w:hint="eastAsia" w:eastAsia="Times New Roman" w:cstheme="minorBidi"/>
          <w:sz w:val="28"/>
          <w:szCs w:val="28"/>
          <w:lang w:val="en-US" w:eastAsia="zh-CN" w:bidi="ar-SA"/>
        </w:rPr>
        <w:t>8.78</w:t>
      </w:r>
      <w:r>
        <w:rPr>
          <w:rFonts w:hint="eastAsia" w:ascii="Times New Roman" w:hAnsi="Times New Roman" w:eastAsia="Times New Roman" w:cstheme="minorBidi"/>
          <w:sz w:val="28"/>
          <w:szCs w:val="28"/>
          <w:lang w:val="en-US" w:eastAsia="zh-CN" w:bidi="ar-SA"/>
        </w:rPr>
        <w:t>万元，其中因公出国（境）费0万元；公务用车购置及运维费</w:t>
      </w:r>
      <w:r>
        <w:rPr>
          <w:rFonts w:hint="eastAsia" w:eastAsia="Times New Roman" w:cstheme="minorBidi"/>
          <w:sz w:val="28"/>
          <w:szCs w:val="28"/>
          <w:lang w:val="en-US" w:eastAsia="zh-CN" w:bidi="ar-SA"/>
        </w:rPr>
        <w:t>8.00</w:t>
      </w:r>
      <w:r>
        <w:rPr>
          <w:rFonts w:hint="eastAsia" w:ascii="Times New Roman" w:hAnsi="Times New Roman" w:eastAsia="Times New Roman" w:cstheme="minorBidi"/>
          <w:sz w:val="28"/>
          <w:szCs w:val="28"/>
          <w:lang w:val="en-US" w:eastAsia="zh-CN" w:bidi="ar-SA"/>
        </w:rPr>
        <w:t>万元（其中：公务用车购置费为0万元，公务用车运维费</w:t>
      </w:r>
      <w:r>
        <w:rPr>
          <w:rFonts w:hint="eastAsia" w:eastAsia="Times New Roman" w:cstheme="minorBidi"/>
          <w:sz w:val="28"/>
          <w:szCs w:val="28"/>
          <w:lang w:val="en-US" w:eastAsia="zh-CN" w:bidi="ar-SA"/>
        </w:rPr>
        <w:t>8.00</w:t>
      </w:r>
      <w:r>
        <w:rPr>
          <w:rFonts w:hint="eastAsia" w:ascii="Times New Roman" w:hAnsi="Times New Roman" w:eastAsia="Times New Roman" w:cstheme="minorBidi"/>
          <w:sz w:val="28"/>
          <w:szCs w:val="28"/>
          <w:lang w:val="en-US" w:eastAsia="zh-CN" w:bidi="ar-SA"/>
        </w:rPr>
        <w:t>万元)；公务接待费</w:t>
      </w:r>
      <w:r>
        <w:rPr>
          <w:rFonts w:hint="eastAsia" w:eastAsia="Times New Roman" w:cstheme="minorBidi"/>
          <w:sz w:val="28"/>
          <w:szCs w:val="28"/>
          <w:lang w:val="en-US" w:eastAsia="zh-CN" w:bidi="ar-SA"/>
        </w:rPr>
        <w:t>0.75</w:t>
      </w:r>
      <w:r>
        <w:rPr>
          <w:rFonts w:hint="eastAsia" w:ascii="Times New Roman" w:hAnsi="Times New Roman" w:eastAsia="Times New Roman" w:cstheme="minorBidi"/>
          <w:sz w:val="28"/>
          <w:szCs w:val="28"/>
          <w:lang w:val="en-US" w:eastAsia="zh-CN" w:bidi="ar-SA"/>
        </w:rPr>
        <w:t>万元</w:t>
      </w:r>
      <w:r>
        <w:rPr>
          <w:rFonts w:hint="eastAsia" w:eastAsia="Times New Roman" w:cstheme="minorBidi"/>
          <w:sz w:val="28"/>
          <w:szCs w:val="28"/>
          <w:lang w:val="en-US" w:eastAsia="zh-CN" w:bidi="ar-SA"/>
        </w:rPr>
        <w:t>；会议费0万元；培训费0万元</w:t>
      </w:r>
      <w:r>
        <w:rPr>
          <w:rFonts w:hint="eastAsia" w:ascii="Times New Roman" w:hAnsi="Times New Roman" w:eastAsia="Times New Roman" w:cstheme="minorBidi"/>
          <w:sz w:val="28"/>
          <w:szCs w:val="28"/>
          <w:lang w:val="en-US" w:eastAsia="zh-CN" w:bidi="ar-SA"/>
        </w:rPr>
        <w:t>。</w:t>
      </w:r>
      <w:r>
        <w:rPr>
          <w:rFonts w:hint="eastAsia" w:eastAsia="Times New Roman" w:cstheme="minorBidi"/>
          <w:sz w:val="28"/>
          <w:szCs w:val="28"/>
          <w:lang w:val="en-US" w:eastAsia="zh-CN" w:bidi="ar-SA"/>
        </w:rPr>
        <w:t>较</w:t>
      </w:r>
      <w:r>
        <w:rPr>
          <w:rFonts w:hint="eastAsia" w:ascii="Times New Roman" w:hAnsi="Times New Roman" w:eastAsia="Times New Roman" w:cstheme="minorBidi"/>
          <w:sz w:val="28"/>
          <w:szCs w:val="28"/>
          <w:lang w:val="en-US" w:eastAsia="zh-CN" w:bidi="ar-SA"/>
        </w:rPr>
        <w:t>202</w:t>
      </w:r>
      <w:r>
        <w:rPr>
          <w:rFonts w:hint="eastAsia" w:eastAsia="Times New Roman" w:cstheme="minorBidi"/>
          <w:sz w:val="28"/>
          <w:szCs w:val="28"/>
          <w:lang w:val="en-US" w:eastAsia="zh-CN" w:bidi="ar-SA"/>
        </w:rPr>
        <w:t>4</w:t>
      </w:r>
      <w:r>
        <w:rPr>
          <w:rFonts w:hint="eastAsia" w:ascii="Times New Roman" w:hAnsi="Times New Roman" w:eastAsia="Times New Roman" w:cstheme="minorBidi"/>
          <w:sz w:val="28"/>
          <w:szCs w:val="28"/>
          <w:lang w:val="en-US" w:eastAsia="zh-CN" w:bidi="ar-SA"/>
        </w:rPr>
        <w:t>年</w:t>
      </w:r>
      <w:r>
        <w:rPr>
          <w:rFonts w:hint="eastAsia" w:eastAsia="Times New Roman" w:cstheme="minorBidi"/>
          <w:sz w:val="28"/>
          <w:szCs w:val="28"/>
          <w:lang w:val="en-US" w:eastAsia="zh-CN" w:bidi="ar-SA"/>
        </w:rPr>
        <w:t>预算</w:t>
      </w:r>
      <w:r>
        <w:rPr>
          <w:rFonts w:hint="eastAsia" w:ascii="Times New Roman" w:hAnsi="Times New Roman" w:eastAsia="Times New Roman" w:cstheme="minorBidi"/>
          <w:sz w:val="28"/>
          <w:szCs w:val="28"/>
          <w:lang w:val="en-US" w:eastAsia="zh-CN" w:bidi="ar-SA"/>
        </w:rPr>
        <w:t>财政拨款“三公”经费增加2.9万元，其中：公务用车购置及运维费增加2.15元，因为公务用车运行维护费标准增加了；公务接待费增加0.75万元，因为本年度本单位增加了公务接待预算。</w:t>
      </w:r>
    </w:p>
    <w:p>
      <w:pPr>
        <w:spacing w:before="10" w:after="10" w:line="240" w:lineRule="auto"/>
        <w:ind w:firstLine="640"/>
        <w:jc w:val="left"/>
        <w:outlineLvl w:val="5"/>
        <w:rPr>
          <w:rFonts w:hint="eastAsia" w:eastAsia="黑体"/>
          <w:lang w:eastAsia="zh-CN"/>
        </w:rPr>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w:t>
      </w: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13062425P00733810113L</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8.88</w:t>
            </w:r>
          </w:p>
        </w:tc>
        <w:tc>
          <w:tcPr>
            <w:tcW w:w="2835" w:type="dxa"/>
            <w:vAlign w:val="center"/>
          </w:tcPr>
          <w:p>
            <w:pPr>
              <w:pStyle w:val="11"/>
            </w:pPr>
            <w:r>
              <w:t>其中：财政    资金</w:t>
            </w:r>
          </w:p>
        </w:tc>
        <w:tc>
          <w:tcPr>
            <w:tcW w:w="2551" w:type="dxa"/>
            <w:vAlign w:val="center"/>
          </w:tcPr>
          <w:p>
            <w:pPr>
              <w:pStyle w:val="13"/>
            </w:pPr>
            <w:r>
              <w:t>8.88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保障劳务派遣人员工资发放，保障工作正常运转。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1.通过人员经费发放，保障工作人员生活质量，保障工作运转。</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工资发放按时完成</w:t>
            </w:r>
          </w:p>
        </w:tc>
        <w:tc>
          <w:tcPr>
            <w:tcW w:w="2268" w:type="dxa"/>
            <w:vAlign w:val="center"/>
          </w:tcPr>
          <w:p>
            <w:pPr>
              <w:pStyle w:val="13"/>
            </w:pPr>
            <w:r>
              <w:t>≥95%</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不超预算总成本</w:t>
            </w:r>
          </w:p>
        </w:tc>
        <w:tc>
          <w:tcPr>
            <w:tcW w:w="2268" w:type="dxa"/>
            <w:vAlign w:val="center"/>
          </w:tcPr>
          <w:p>
            <w:pPr>
              <w:pStyle w:val="13"/>
            </w:pPr>
            <w:r>
              <w:t>≥95%</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工资发放及时性</w:t>
            </w:r>
          </w:p>
        </w:tc>
        <w:tc>
          <w:tcPr>
            <w:tcW w:w="2268" w:type="dxa"/>
            <w:vAlign w:val="center"/>
          </w:tcPr>
          <w:p>
            <w:pPr>
              <w:pStyle w:val="13"/>
            </w:pPr>
            <w:r>
              <w:t>≥95%</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工资发放到位率</w:t>
            </w:r>
          </w:p>
        </w:tc>
        <w:tc>
          <w:tcPr>
            <w:tcW w:w="2268" w:type="dxa"/>
            <w:vAlign w:val="center"/>
          </w:tcPr>
          <w:p>
            <w:pPr>
              <w:pStyle w:val="13"/>
            </w:pPr>
            <w:r>
              <w:t>≥100%</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综合事务是否保质完成</w:t>
            </w:r>
          </w:p>
        </w:tc>
        <w:tc>
          <w:tcPr>
            <w:tcW w:w="2268" w:type="dxa"/>
            <w:vAlign w:val="center"/>
          </w:tcPr>
          <w:p>
            <w:pPr>
              <w:pStyle w:val="13"/>
            </w:pPr>
            <w:r>
              <w:t>≥90%</w:t>
            </w:r>
          </w:p>
        </w:tc>
        <w:tc>
          <w:tcPr>
            <w:tcW w:w="1276" w:type="dxa"/>
            <w:vAlign w:val="center"/>
          </w:tcPr>
          <w:p>
            <w:pPr>
              <w:pStyle w:val="13"/>
            </w:pPr>
            <w:r>
              <w:t>单位运行情况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雇佣劳务派遣人员工作,工作效率提升程度</w:t>
            </w:r>
          </w:p>
        </w:tc>
        <w:tc>
          <w:tcPr>
            <w:tcW w:w="2268" w:type="dxa"/>
            <w:vAlign w:val="center"/>
          </w:tcPr>
          <w:p>
            <w:pPr>
              <w:pStyle w:val="13"/>
            </w:pPr>
            <w:r>
              <w:t>≥50%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提升单位卫生环境</w:t>
            </w:r>
          </w:p>
        </w:tc>
        <w:tc>
          <w:tcPr>
            <w:tcW w:w="5386" w:type="dxa"/>
            <w:vAlign w:val="center"/>
          </w:tcPr>
          <w:p>
            <w:pPr>
              <w:pStyle w:val="13"/>
            </w:pPr>
            <w:r>
              <w:t>提升单位整体形象</w:t>
            </w:r>
          </w:p>
        </w:tc>
        <w:tc>
          <w:tcPr>
            <w:tcW w:w="2268" w:type="dxa"/>
            <w:vAlign w:val="center"/>
          </w:tcPr>
          <w:p>
            <w:pPr>
              <w:pStyle w:val="13"/>
            </w:pPr>
            <w:r>
              <w:t>≥60%</w:t>
            </w:r>
          </w:p>
        </w:tc>
        <w:tc>
          <w:tcPr>
            <w:tcW w:w="1276" w:type="dxa"/>
            <w:vAlign w:val="center"/>
          </w:tcPr>
          <w:p>
            <w:pPr>
              <w:pStyle w:val="13"/>
            </w:pPr>
            <w:r>
              <w:t>单位人员形象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后勤保障能力显著提升</w:t>
            </w:r>
          </w:p>
        </w:tc>
        <w:tc>
          <w:tcPr>
            <w:tcW w:w="2268" w:type="dxa"/>
            <w:vAlign w:val="center"/>
          </w:tcPr>
          <w:p>
            <w:pPr>
              <w:pStyle w:val="13"/>
            </w:pPr>
            <w:r>
              <w:t>≥90%</w:t>
            </w:r>
          </w:p>
        </w:tc>
        <w:tc>
          <w:tcPr>
            <w:tcW w:w="1276" w:type="dxa"/>
            <w:vAlign w:val="center"/>
          </w:tcPr>
          <w:p>
            <w:pPr>
              <w:pStyle w:val="13"/>
            </w:pPr>
            <w:r>
              <w:t>单位运行情况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劳务派遣人员实际反映</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2、“快递进村”工作补贴绩效目标表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13062425P00729510004M</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1.方便群众生活，提高群众满意度。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确保代办员补贴发放</w:t>
            </w:r>
          </w:p>
        </w:tc>
        <w:tc>
          <w:tcPr>
            <w:tcW w:w="5386" w:type="dxa"/>
            <w:vAlign w:val="center"/>
          </w:tcPr>
          <w:p>
            <w:pPr>
              <w:pStyle w:val="13"/>
            </w:pPr>
            <w:r>
              <w:t>确保代办员补贴发放</w:t>
            </w:r>
          </w:p>
        </w:tc>
        <w:tc>
          <w:tcPr>
            <w:tcW w:w="2268" w:type="dxa"/>
            <w:vAlign w:val="center"/>
          </w:tcPr>
          <w:p>
            <w:pPr>
              <w:pStyle w:val="13"/>
            </w:pPr>
            <w:r>
              <w:t>≥90确保代办员补贴发放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确保快递包裹无破损</w:t>
            </w:r>
          </w:p>
        </w:tc>
        <w:tc>
          <w:tcPr>
            <w:tcW w:w="5386" w:type="dxa"/>
            <w:vAlign w:val="center"/>
          </w:tcPr>
          <w:p>
            <w:pPr>
              <w:pStyle w:val="13"/>
            </w:pPr>
            <w:r>
              <w:t>确保快递包裹无破损</w:t>
            </w:r>
          </w:p>
        </w:tc>
        <w:tc>
          <w:tcPr>
            <w:tcW w:w="2268" w:type="dxa"/>
            <w:vAlign w:val="center"/>
          </w:tcPr>
          <w:p>
            <w:pPr>
              <w:pStyle w:val="13"/>
            </w:pPr>
            <w:r>
              <w:t>≥90确保快递包裹无破损</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及时发放补贴</w:t>
            </w:r>
          </w:p>
        </w:tc>
        <w:tc>
          <w:tcPr>
            <w:tcW w:w="5386" w:type="dxa"/>
            <w:vAlign w:val="center"/>
          </w:tcPr>
          <w:p>
            <w:pPr>
              <w:pStyle w:val="13"/>
            </w:pPr>
            <w:r>
              <w:t>及时发放补贴</w:t>
            </w:r>
          </w:p>
        </w:tc>
        <w:tc>
          <w:tcPr>
            <w:tcW w:w="2268" w:type="dxa"/>
            <w:vAlign w:val="center"/>
          </w:tcPr>
          <w:p>
            <w:pPr>
              <w:pStyle w:val="13"/>
            </w:pPr>
            <w:r>
              <w:t>≥90及时发放补贴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代办员补贴</w:t>
            </w:r>
          </w:p>
        </w:tc>
        <w:tc>
          <w:tcPr>
            <w:tcW w:w="5386" w:type="dxa"/>
            <w:vAlign w:val="center"/>
          </w:tcPr>
          <w:p>
            <w:pPr>
              <w:pStyle w:val="13"/>
            </w:pPr>
            <w:r>
              <w:t>代办员补贴</w:t>
            </w:r>
          </w:p>
        </w:tc>
        <w:tc>
          <w:tcPr>
            <w:tcW w:w="2268" w:type="dxa"/>
            <w:vAlign w:val="center"/>
          </w:tcPr>
          <w:p>
            <w:pPr>
              <w:pStyle w:val="13"/>
            </w:pPr>
            <w:r>
              <w:t>≥98代办员补贴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提高代办员收入</w:t>
            </w:r>
          </w:p>
        </w:tc>
        <w:tc>
          <w:tcPr>
            <w:tcW w:w="5386" w:type="dxa"/>
            <w:vAlign w:val="center"/>
          </w:tcPr>
          <w:p>
            <w:pPr>
              <w:pStyle w:val="13"/>
            </w:pPr>
            <w:r>
              <w:t>提高代办员收入</w:t>
            </w:r>
          </w:p>
        </w:tc>
        <w:tc>
          <w:tcPr>
            <w:tcW w:w="2268" w:type="dxa"/>
            <w:vAlign w:val="center"/>
          </w:tcPr>
          <w:p>
            <w:pPr>
              <w:pStyle w:val="13"/>
            </w:pPr>
            <w:r>
              <w:t>≥90提高代办员收入</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减少快递垃圾</w:t>
            </w:r>
          </w:p>
        </w:tc>
        <w:tc>
          <w:tcPr>
            <w:tcW w:w="5386" w:type="dxa"/>
            <w:vAlign w:val="center"/>
          </w:tcPr>
          <w:p>
            <w:pPr>
              <w:pStyle w:val="13"/>
            </w:pPr>
            <w:r>
              <w:t>减少快递垃圾</w:t>
            </w:r>
          </w:p>
        </w:tc>
        <w:tc>
          <w:tcPr>
            <w:tcW w:w="2268" w:type="dxa"/>
            <w:vAlign w:val="center"/>
          </w:tcPr>
          <w:p>
            <w:pPr>
              <w:pStyle w:val="13"/>
            </w:pPr>
            <w:r>
              <w:t>≥85减少快递垃圾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关于申请拨付快递进村工资津贴的请示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3、行政执法制式服装和标志的费用绩效目标表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13062425P00518910009A</w:t>
            </w:r>
          </w:p>
        </w:tc>
        <w:tc>
          <w:tcPr>
            <w:tcW w:w="2835" w:type="dxa"/>
            <w:vAlign w:val="center"/>
          </w:tcPr>
          <w:p>
            <w:pPr>
              <w:pStyle w:val="11"/>
            </w:pPr>
            <w:r>
              <w:t>项目名称</w:t>
            </w:r>
          </w:p>
        </w:tc>
        <w:tc>
          <w:tcPr>
            <w:tcW w:w="6095" w:type="dxa"/>
            <w:gridSpan w:val="3"/>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2.55</w:t>
            </w:r>
          </w:p>
        </w:tc>
        <w:tc>
          <w:tcPr>
            <w:tcW w:w="2835" w:type="dxa"/>
            <w:vAlign w:val="center"/>
          </w:tcPr>
          <w:p>
            <w:pPr>
              <w:pStyle w:val="11"/>
            </w:pPr>
            <w:r>
              <w:t>其中：财政    资金</w:t>
            </w:r>
          </w:p>
        </w:tc>
        <w:tc>
          <w:tcPr>
            <w:tcW w:w="2551" w:type="dxa"/>
            <w:vAlign w:val="center"/>
          </w:tcPr>
          <w:p>
            <w:pPr>
              <w:pStyle w:val="13"/>
            </w:pPr>
            <w:r>
              <w:t>2.55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严格区分一线执法人员与行政办公、人事财务等内勤人员，确保着装人员符合规定要求</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严格区分一线执法人员与行政办公、人事财务等内勤人员，确保着装人员符合规定要求</w:t>
            </w:r>
          </w:p>
        </w:tc>
        <w:tc>
          <w:tcPr>
            <w:tcW w:w="5386" w:type="dxa"/>
            <w:vAlign w:val="center"/>
          </w:tcPr>
          <w:p>
            <w:pPr>
              <w:pStyle w:val="13"/>
            </w:pPr>
            <w:r>
              <w:t>严格区分一线执法人员与行政办公、人事财务等内勤人员，确保着装人员符合规定要求</w:t>
            </w:r>
          </w:p>
        </w:tc>
        <w:tc>
          <w:tcPr>
            <w:tcW w:w="2268" w:type="dxa"/>
            <w:vAlign w:val="center"/>
          </w:tcPr>
          <w:p>
            <w:pPr>
              <w:pStyle w:val="13"/>
            </w:pPr>
            <w:r>
              <w:t>≥90严格区分一线执法人员与行政办公、人事财务等内勤人员，确保着装人员符合规定要求</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提高认识度</w:t>
            </w:r>
          </w:p>
        </w:tc>
        <w:tc>
          <w:tcPr>
            <w:tcW w:w="5386" w:type="dxa"/>
            <w:vAlign w:val="center"/>
          </w:tcPr>
          <w:p>
            <w:pPr>
              <w:pStyle w:val="13"/>
            </w:pPr>
            <w:r>
              <w:t>提高认识度</w:t>
            </w:r>
          </w:p>
        </w:tc>
        <w:tc>
          <w:tcPr>
            <w:tcW w:w="2268" w:type="dxa"/>
            <w:vAlign w:val="center"/>
          </w:tcPr>
          <w:p>
            <w:pPr>
              <w:pStyle w:val="13"/>
            </w:pPr>
            <w:r>
              <w:t>≥90提高认识度</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4、综合行政执法队配备“执法通”APP绩效目标表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13062425P005189100021</w:t>
            </w:r>
          </w:p>
        </w:tc>
        <w:tc>
          <w:tcPr>
            <w:tcW w:w="2835" w:type="dxa"/>
            <w:vAlign w:val="center"/>
          </w:tcPr>
          <w:p>
            <w:pPr>
              <w:pStyle w:val="11"/>
            </w:pPr>
            <w:r>
              <w:t>项目名称</w:t>
            </w:r>
          </w:p>
        </w:tc>
        <w:tc>
          <w:tcPr>
            <w:tcW w:w="6095" w:type="dxa"/>
            <w:gridSpan w:val="3"/>
            <w:vAlign w:val="center"/>
          </w:tcPr>
          <w:p>
            <w:pPr>
              <w:pStyle w:val="13"/>
            </w:pPr>
            <w:r>
              <w:t>综合行政执法队配备“执法通”APP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通过“执法通“APP对主体种类、处罚种类、罚款数额进行选定，可自动进入处罚简易程序或者普通程序，能够避免程序缺失或错误。</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1.通过“执法通“APP对主体种类、处罚种类、罚款数额进行选定，可自动进入处罚简易程序或者普通程序，能够避免程序缺失或错误。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可自动进入处罚简易程序或者普通程序，能够避免程序缺失或错误</w:t>
            </w:r>
          </w:p>
        </w:tc>
        <w:tc>
          <w:tcPr>
            <w:tcW w:w="5386" w:type="dxa"/>
            <w:vAlign w:val="center"/>
          </w:tcPr>
          <w:p>
            <w:pPr>
              <w:pStyle w:val="13"/>
            </w:pPr>
            <w:r>
              <w:t>可自动进入处罚简易程序或者普通程序，能够避免程序缺失或错误</w:t>
            </w:r>
          </w:p>
        </w:tc>
        <w:tc>
          <w:tcPr>
            <w:tcW w:w="2268" w:type="dxa"/>
            <w:vAlign w:val="center"/>
          </w:tcPr>
          <w:p>
            <w:pPr>
              <w:pStyle w:val="13"/>
            </w:pPr>
            <w:r>
              <w:t>≥90可自动进入处罚简易程序或者普通程序，能够避免程序缺失或错误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能够避免程序缺失或错误</w:t>
            </w:r>
          </w:p>
        </w:tc>
        <w:tc>
          <w:tcPr>
            <w:tcW w:w="5386" w:type="dxa"/>
            <w:vAlign w:val="center"/>
          </w:tcPr>
          <w:p>
            <w:pPr>
              <w:pStyle w:val="13"/>
            </w:pPr>
            <w:r>
              <w:t>能够避免程序缺失或错误</w:t>
            </w:r>
          </w:p>
        </w:tc>
        <w:tc>
          <w:tcPr>
            <w:tcW w:w="2268" w:type="dxa"/>
            <w:vAlign w:val="center"/>
          </w:tcPr>
          <w:p>
            <w:pPr>
              <w:pStyle w:val="13"/>
            </w:pPr>
            <w:r>
              <w:t>≥90能够避免程序缺失或错误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关于建议乡镇综合行政执法队配备”执法通“APP的请示</w:t>
            </w:r>
          </w:p>
        </w:tc>
      </w:tr>
    </w:tbl>
    <w:p>
      <w:pPr>
        <w:sectPr>
          <w:pgSz w:w="16840" w:h="11900" w:orient="landscape"/>
          <w:pgMar w:top="1361" w:right="1020" w:bottom="1134" w:left="1020" w:header="720" w:footer="720" w:gutter="0"/>
          <w:cols w:space="720" w:num="1"/>
        </w:sectPr>
      </w:pPr>
    </w:p>
    <w:p>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pPr>
        <w:numPr>
          <w:ilvl w:val="0"/>
          <w:numId w:val="0"/>
        </w:numPr>
        <w:spacing w:before="10" w:after="10" w:line="240" w:lineRule="auto"/>
        <w:ind w:firstLine="560" w:firstLineChars="200"/>
        <w:jc w:val="left"/>
        <w:outlineLvl w:val="5"/>
        <w:rPr>
          <w:rFonts w:hint="default" w:ascii="方正书宋_GBK" w:hAnsi="方正书宋_GBK" w:eastAsia="方正书宋_GBK" w:cs="方正书宋_GBK"/>
          <w:sz w:val="28"/>
          <w:szCs w:val="28"/>
          <w:lang w:val="en-US"/>
        </w:rPr>
      </w:pPr>
      <w:r>
        <w:rPr>
          <w:rFonts w:hint="eastAsia" w:ascii="Times New Roman" w:hAnsi="Times New Roman" w:eastAsia="方正仿宋_GBK" w:cs="Times New Roman"/>
          <w:b w:val="0"/>
          <w:bCs w:val="0"/>
          <w:color w:val="000000"/>
          <w:sz w:val="28"/>
          <w:szCs w:val="24"/>
          <w:lang w:bidi="ar-SA"/>
        </w:rPr>
        <w:t>202</w:t>
      </w:r>
      <w:r>
        <w:rPr>
          <w:rFonts w:hint="eastAsia" w:ascii="Times New Roman" w:hAnsi="Times New Roman" w:eastAsia="方正仿宋_GBK" w:cs="Times New Roman"/>
          <w:b w:val="0"/>
          <w:bCs w:val="0"/>
          <w:color w:val="000000"/>
          <w:sz w:val="28"/>
          <w:szCs w:val="24"/>
          <w:lang w:val="en-US" w:eastAsia="zh-CN" w:bidi="ar-SA"/>
        </w:rPr>
        <w:t>4</w:t>
      </w:r>
      <w:r>
        <w:rPr>
          <w:rFonts w:hint="eastAsia" w:ascii="Times New Roman" w:hAnsi="Times New Roman" w:eastAsia="方正仿宋_GBK" w:cs="Times New Roman"/>
          <w:b w:val="0"/>
          <w:bCs w:val="0"/>
          <w:color w:val="000000"/>
          <w:sz w:val="28"/>
          <w:szCs w:val="24"/>
          <w:lang w:bidi="ar-SA"/>
        </w:rPr>
        <w:t>年，</w:t>
      </w:r>
      <w:r>
        <w:rPr>
          <w:rFonts w:hint="eastAsia" w:ascii="Times New Roman" w:hAnsi="Times New Roman" w:eastAsia="方正仿宋_GBK" w:cs="Times New Roman"/>
          <w:b w:val="0"/>
          <w:bCs w:val="0"/>
          <w:color w:val="000000"/>
          <w:sz w:val="28"/>
          <w:szCs w:val="24"/>
          <w:lang w:eastAsia="zh-CN" w:bidi="ar-SA"/>
        </w:rPr>
        <w:t>我单位安</w:t>
      </w:r>
      <w:r>
        <w:rPr>
          <w:rFonts w:hint="eastAsia" w:ascii="Times New Roman" w:hAnsi="Times New Roman" w:eastAsia="方正仿宋_GBK" w:cs="Times New Roman"/>
          <w:b w:val="0"/>
          <w:bCs w:val="0"/>
          <w:color w:val="000000"/>
          <w:sz w:val="28"/>
          <w:szCs w:val="24"/>
          <w:lang w:bidi="ar-SA"/>
        </w:rPr>
        <w:t>排政府采购预算0万元</w:t>
      </w:r>
      <w:r>
        <w:rPr>
          <w:rFonts w:hint="eastAsia" w:ascii="Times New Roman" w:hAnsi="Times New Roman" w:eastAsia="方正仿宋_GBK" w:cs="Times New Roman"/>
          <w:b w:val="0"/>
          <w:bCs w:val="0"/>
          <w:color w:val="000000"/>
          <w:sz w:val="28"/>
          <w:szCs w:val="24"/>
          <w:lang w:eastAsia="zh-CN" w:bidi="ar-SA"/>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7712"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firstLineChars="20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阜平县吴王口乡人民政府本级上年末固定资产金额为</w:t>
      </w:r>
      <w:r>
        <w:rPr>
          <w:rFonts w:hint="eastAsia" w:eastAsia="方正仿宋_GBK" w:cs="Times New Roman"/>
          <w:b w:val="0"/>
          <w:color w:val="000000"/>
          <w:sz w:val="28"/>
          <w:lang w:val="en-US" w:eastAsia="zh-CN"/>
        </w:rPr>
        <w:t>115.0582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lang w:eastAsia="zh-CN"/>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rPr>
            </w:pPr>
            <w:r>
              <w:rPr>
                <w:rFonts w:hint="eastAsia"/>
                <w:lang w:val="en-US" w:eastAsia="zh-CN"/>
              </w:rPr>
              <w:t>115.0582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1房屋（平方米）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　　其中：办公用房（平方米）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2、车辆（台、辆）</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13.826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3、单价在20万元以上的设备</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4、其他固定资产</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rPr>
            </w:pPr>
            <w:r>
              <w:rPr>
                <w:rFonts w:hint="eastAsia"/>
                <w:lang w:val="en-US" w:eastAsia="zh-CN"/>
              </w:rPr>
              <w:t>58.0552</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9B2EEF"/>
    <w:multiLevelType w:val="singleLevel"/>
    <w:tmpl w:val="969B2EEF"/>
    <w:lvl w:ilvl="0" w:tentative="0">
      <w:start w:val="3"/>
      <w:numFmt w:val="chineseCounting"/>
      <w:suff w:val="nothing"/>
      <w:lvlText w:val="%1、"/>
      <w:lvlJc w:val="left"/>
      <w:rPr>
        <w:rFonts w:hint="eastAsia"/>
      </w:rPr>
    </w:lvl>
  </w:abstractNum>
  <w:abstractNum w:abstractNumId="1">
    <w:nsid w:val="6A0CABD6"/>
    <w:multiLevelType w:val="singleLevel"/>
    <w:tmpl w:val="6A0CABD6"/>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504419"/>
    <w:rsid w:val="04BD14C3"/>
    <w:rsid w:val="17284735"/>
    <w:rsid w:val="1B31330B"/>
    <w:rsid w:val="285C501C"/>
    <w:rsid w:val="2BFE0311"/>
    <w:rsid w:val="317A4225"/>
    <w:rsid w:val="33E35A00"/>
    <w:rsid w:val="396A57B5"/>
    <w:rsid w:val="3F5E6431"/>
    <w:rsid w:val="3FDB6D16"/>
    <w:rsid w:val="409D1EB1"/>
    <w:rsid w:val="50E023DF"/>
    <w:rsid w:val="56AC05BA"/>
    <w:rsid w:val="5A700DA8"/>
    <w:rsid w:val="6533518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1527</Words>
  <Characters>2268</Characters>
  <TotalTime>0</TotalTime>
  <ScaleCrop>false</ScaleCrop>
  <LinksUpToDate>false</LinksUpToDate>
  <CharactersWithSpaces>2297</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Administrator.SKY-20230718XJP</dc:creator>
  <cp:lastModifiedBy>琥珀</cp:lastModifiedBy>
  <dcterms:modified xsi:type="dcterms:W3CDTF">2025-04-27T03:44:51Z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eyJoZGlkIjoiOWZmNWZmMjZmZjFlMTRiODVjNDA1YWMyZDc4ZjY3NzciLCJ1c2VySWQiOiIyNzc1NzU1MTcifQ==</vt:lpwstr>
  </property>
  <property fmtid="{D5CDD505-2E9C-101B-9397-08002B2CF9AE}" pid="3" name="KSOProductBuildVer">
    <vt:lpwstr>2052-11.8.2.8361</vt:lpwstr>
  </property>
  <property fmtid="{D5CDD505-2E9C-101B-9397-08002B2CF9AE}" pid="4" name="ICV">
    <vt:lpwstr>67B4621A552446F38C7DB12629F30A7C_12</vt:lpwstr>
  </property>
</Properties>
</file>