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5A055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9"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-3"/>
          <w:kern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-3"/>
          <w:kern w:val="0"/>
          <w:sz w:val="44"/>
          <w:szCs w:val="44"/>
          <w:lang w:val="en-US" w:eastAsia="zh-CN"/>
        </w:rPr>
        <w:t>阜平县台峪乡平房村、白石台村村庄规划</w:t>
      </w:r>
    </w:p>
    <w:p w14:paraId="374410D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9"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-3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-3"/>
          <w:kern w:val="0"/>
          <w:sz w:val="44"/>
          <w:szCs w:val="44"/>
          <w:lang w:val="en-US" w:eastAsia="zh-CN"/>
        </w:rPr>
        <w:t>批后公告</w:t>
      </w:r>
    </w:p>
    <w:bookmarkEnd w:id="0"/>
    <w:p w14:paraId="24F09C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napToGrid w:val="0"/>
          <w:sz w:val="32"/>
          <w:szCs w:val="32"/>
          <w:lang w:val="en-US" w:eastAsia="zh-CN" w:bidi="ar-SA"/>
        </w:rPr>
      </w:pPr>
    </w:p>
    <w:p w14:paraId="5A156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napToGrid w:val="0"/>
          <w:sz w:val="32"/>
          <w:szCs w:val="32"/>
          <w:lang w:val="en-US" w:eastAsia="zh-CN" w:bidi="ar-SA"/>
        </w:rPr>
        <w:t>为贯彻落实省委、省政府推进乡村振兴战略的工作部署，加快编制“多规合一”的实用性村庄规划，根据《中共中央国务院关于建立国土空间规划体系并监督实施的若干意见》、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sz w:val="32"/>
          <w:szCs w:val="32"/>
          <w:lang w:val="zh-CN" w:eastAsia="zh-CN" w:bidi="ar-SA"/>
        </w:rPr>
        <w:t>《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zh-CN" w:eastAsia="zh-CN" w:bidi="ar-SA"/>
        </w:rPr>
        <w:t>河北省村庄规划编制导则》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等有关文件要求，依据《阜平县国土空间总体规划（2021-2035年）》和《阜平县台峪乡国土空间总体规划（2021-2035年）》，结合村庄的实际情况，我乡统一组织编制完成乡域内平房村、白石台村2个行政村村庄规划，上述规划已获阜平县人民政府正式批复，现予以公告。</w:t>
      </w:r>
    </w:p>
    <w:p w14:paraId="071A1C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现以白石台村为典型代表，详细阐述规划核心内容如下：</w:t>
      </w:r>
    </w:p>
    <w:p w14:paraId="194BA56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32" w:firstLineChars="200"/>
        <w:textAlignment w:val="baseline"/>
        <w:outlineLvl w:val="0"/>
        <w:rPr>
          <w:rFonts w:ascii="黑体" w:hAnsi="黑体" w:eastAsia="黑体" w:cs="黑体"/>
          <w:spacing w:val="-2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一、规划范围和规划期限</w:t>
      </w:r>
    </w:p>
    <w:p w14:paraId="17858B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  <w:t>（一）规划范围：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本次村庄规划范围为白石台村村域全部国土空间。</w:t>
      </w:r>
    </w:p>
    <w:p w14:paraId="29F5D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  <w:t>（二）规划期限：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本次村庄规划期限为2021-2035年，近期至2030年，远期至2035年。</w:t>
      </w:r>
    </w:p>
    <w:p w14:paraId="5BC3626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32" w:firstLineChars="200"/>
        <w:textAlignment w:val="baseline"/>
        <w:outlineLvl w:val="0"/>
        <w:rPr>
          <w:rFonts w:ascii="黑体" w:hAnsi="黑体" w:eastAsia="黑体" w:cs="黑体"/>
          <w:spacing w:val="-2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二、规划目标</w:t>
      </w:r>
    </w:p>
    <w:p w14:paraId="58D95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将白石台村村庄发展定位为：发展“特色农业和生态旅游”的中心村。</w:t>
      </w:r>
    </w:p>
    <w:p w14:paraId="43340AE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32" w:firstLineChars="200"/>
        <w:textAlignment w:val="baseline"/>
        <w:outlineLvl w:val="0"/>
        <w:rPr>
          <w:rFonts w:hint="eastAsia" w:ascii="黑体" w:hAnsi="黑体" w:eastAsia="黑体" w:cs="黑体"/>
          <w:spacing w:val="-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-2"/>
          <w:sz w:val="32"/>
          <w:szCs w:val="32"/>
          <w:lang w:val="en-US" w:eastAsia="zh-CN"/>
        </w:rPr>
        <w:t>三、国土空间布局</w:t>
      </w:r>
    </w:p>
    <w:p w14:paraId="7CAEEB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  <w:t>（一）落实三条控制线</w:t>
      </w:r>
    </w:p>
    <w:p w14:paraId="5463F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筑牢国土空间底线，到2035年，落实上位规划确定的耕地保有量，落实永久基本农田保护红线；落实上位规划确定的生态保护红线、不涉及城镇开发边界。落实上位规划确定的村庄建设边界。</w:t>
      </w:r>
    </w:p>
    <w:p w14:paraId="621501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  <w:t>（二）产业布局</w:t>
      </w:r>
    </w:p>
    <w:p w14:paraId="661FB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规划以村庄主路为旅游发展轴线，整体上形成“一轴四区”的产业布局结构。</w:t>
      </w:r>
    </w:p>
    <w:p w14:paraId="22243E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“一轴”是指村庄中部东西向对外交通道路形成的村庄产业发展轴线；</w:t>
      </w:r>
    </w:p>
    <w:p w14:paraId="787DFF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“四区”是指村域内由位置及功能的不同，形成的村民生活区、生态旅游度假区、高效农业种植区和林果种植区。</w:t>
      </w:r>
    </w:p>
    <w:p w14:paraId="518010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村民生活区：主要位于村庄中部偏南，通过村庄规划建设，人居环境整治，完善基础设施以及公共服务设施配套，打造环境优美、干净整洁的生态宜居村庄。</w:t>
      </w:r>
    </w:p>
    <w:p w14:paraId="714B65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生态旅游度假区：主要位于村域西北和东南部，打造古北岳圣山旅游核，拉动客源，形成旅游氛围。打造系列度假产品、休闲产品、体验产品组团。借势神仙山旅游发展极，依靠农业旅游形成多个旅游新农村社区。生态为基，营造多彩。重点发展家庭度假、旅游观光等，打造“生态旅游度假区”。充分发挥旅游资源优势，大力发展旅游产业，构建完整的旅游产业链体系。</w:t>
      </w:r>
    </w:p>
    <w:p w14:paraId="77FF35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高效农业种植区：沿村庄主路布局果品种植及具有乡村景观效果的粮食种植产业。发展林果种植与林下经济，依托现有牛羊养殖合作社，规模化发展养殖业。强化农业基础，大力发展高效农业、生态农业，优化农业结构，加快农业产业化步伐；延伸产业链条，加强技术改造，提升传统产业，扩充产业体系，培育新兴产业。</w:t>
      </w:r>
    </w:p>
    <w:p w14:paraId="43AEE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林果种植区：通过政策引导、资金扶持、科技服务等有效措施，引导广大农户积极种植优质特色林果，培育形成特色林果种植基地。</w:t>
      </w:r>
    </w:p>
    <w:p w14:paraId="1387149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32" w:firstLineChars="200"/>
        <w:textAlignment w:val="baseline"/>
        <w:outlineLvl w:val="0"/>
        <w:rPr>
          <w:rFonts w:hint="eastAsia" w:ascii="黑体" w:hAnsi="黑体" w:eastAsia="黑体" w:cs="黑体"/>
          <w:spacing w:val="-2"/>
          <w:sz w:val="32"/>
          <w:szCs w:val="32"/>
          <w:lang w:eastAsia="zh-CN"/>
        </w:rPr>
      </w:pPr>
      <w:r>
        <w:rPr>
          <w:rFonts w:ascii="黑体" w:hAnsi="黑体" w:eastAsia="黑体" w:cs="黑体"/>
          <w:spacing w:val="-2"/>
          <w:sz w:val="32"/>
          <w:szCs w:val="32"/>
        </w:rPr>
        <w:t>四、</w:t>
      </w:r>
      <w:r>
        <w:rPr>
          <w:rFonts w:hint="eastAsia" w:ascii="黑体" w:hAnsi="黑体" w:eastAsia="黑体" w:cs="黑体"/>
          <w:spacing w:val="-2"/>
          <w:sz w:val="32"/>
          <w:szCs w:val="32"/>
          <w:lang w:val="en-US" w:eastAsia="zh-CN"/>
        </w:rPr>
        <w:t>专项统筹</w:t>
      </w:r>
    </w:p>
    <w:p w14:paraId="2DE679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  <w:t>（一）公共服务设施布局</w:t>
      </w:r>
    </w:p>
    <w:p w14:paraId="57ED9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坚持集中共享、按需配建原则，结合人口规模、集中安置社区生活圈及村民生产生活实际需求，均衡布局文化活动广场、文体健身器材、村级卫生室、养老互助点、便民服务大厅、产业展示用房等公共服务设施，逐项明确设施选址、建设规模与服务覆盖范围，保障搬迁群众均等享受公共服务。</w:t>
      </w:r>
    </w:p>
    <w:p w14:paraId="1BE6AF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  <w:t>（二）道路交通和公用设施布局</w:t>
      </w:r>
    </w:p>
    <w:p w14:paraId="781C52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道路交通：依托现有搬迁安置小区路网基底，完善村内主次街巷；统一明确道路宽度、路面断面及硬化建设标准，打通产业运输、乡村观光通行通道。</w:t>
      </w:r>
    </w:p>
    <w:p w14:paraId="3AF3DF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公用设施：统筹安置区集中供水、雨污分流管网、垃圾收运站点、供电通信、集中供暖等基础设施，细化安置小区配套管网及工程建设规范。</w:t>
      </w:r>
    </w:p>
    <w:p w14:paraId="0D763C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snapToGrid w:val="0"/>
          <w:sz w:val="32"/>
          <w:szCs w:val="32"/>
          <w:lang w:val="en-US" w:eastAsia="zh-CN" w:bidi="ar-SA"/>
        </w:rPr>
        <w:t>（三）安全防灾</w:t>
      </w:r>
    </w:p>
    <w:p w14:paraId="6AB2D4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严格执行上位规划明确的消防、抗震、防洪排涝、地质灾害防治等设防标准。重点强化搬迁安置楼房、养殖园区、食用菌大棚安全监测，完善山洪、滑坡地质灾害监测点位，在安置广场设置标准化应急避难场地，配齐消防物资、防汛器材，全面提升村庄防灾承压、应急物资保障与灾后快速恢复能力。</w:t>
      </w:r>
    </w:p>
    <w:p w14:paraId="3892819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32" w:firstLineChars="200"/>
        <w:textAlignment w:val="baseline"/>
        <w:outlineLvl w:val="0"/>
        <w:rPr>
          <w:rFonts w:hint="eastAsia" w:ascii="黑体" w:hAnsi="黑体" w:eastAsia="黑体" w:cs="黑体"/>
          <w:spacing w:val="-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-2"/>
          <w:sz w:val="32"/>
          <w:szCs w:val="32"/>
          <w:lang w:val="en-US" w:eastAsia="zh-CN"/>
        </w:rPr>
        <w:t>五、居民点建设管控</w:t>
      </w:r>
    </w:p>
    <w:p w14:paraId="01158C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本村农村宅基地建筑密度、建筑高度、建筑退让、日照间距等管控指标，参照《城市居住区规划设计标准》（GB50180-2018）、《阜平县农村宅基地管理实施细则》（试行）及阜平县城乡规划管理技术规定综合管控；村级公共服务用房、产业配套建筑等的容积率、建筑密度、限高指标，参照《河北省建设用地使用标准》(冀自然资发[2024]3号)与当地相关规划管理相关规定执行。</w:t>
      </w:r>
    </w:p>
    <w:p w14:paraId="1D7A222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32" w:firstLineChars="200"/>
        <w:textAlignment w:val="baseline"/>
        <w:outlineLvl w:val="0"/>
        <w:rPr>
          <w:rFonts w:ascii="黑体" w:hAnsi="黑体" w:eastAsia="黑体" w:cs="黑体"/>
          <w:spacing w:val="-2"/>
          <w:sz w:val="32"/>
          <w:szCs w:val="32"/>
        </w:rPr>
      </w:pPr>
      <w:r>
        <w:rPr>
          <w:rFonts w:hint="eastAsia" w:ascii="黑体" w:hAnsi="黑体" w:eastAsia="黑体" w:cs="黑体"/>
          <w:spacing w:val="-2"/>
          <w:sz w:val="32"/>
          <w:szCs w:val="32"/>
          <w:lang w:val="en-US" w:eastAsia="zh-CN"/>
        </w:rPr>
        <w:t>六、</w:t>
      </w:r>
      <w:r>
        <w:rPr>
          <w:rFonts w:ascii="黑体" w:hAnsi="黑体" w:eastAsia="黑体" w:cs="黑体"/>
          <w:spacing w:val="-2"/>
          <w:sz w:val="32"/>
          <w:szCs w:val="32"/>
        </w:rPr>
        <w:t>实施保障</w:t>
      </w:r>
    </w:p>
    <w:p w14:paraId="2325AF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 w:bidi="ar-SA"/>
        </w:rPr>
        <w:t>强化规划对全村土地开发利用的刚性约束，健全乡、村两级规划巡查监管制度，严格管控耕地、生态用地；完善中药材、畜牧、手工产业扶持激励政策，吸纳搬迁群众就近务工；完整留存村庄规划文本、图纸、数据库，常态化在安置小区公告栏公示规划内容，保障种养循环、光伏能源、手工文创、乡村休闲、安置人居提升等各项规划目标落地见效。</w:t>
      </w:r>
    </w:p>
    <w:p w14:paraId="03E8F75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32" w:firstLineChars="200"/>
        <w:textAlignment w:val="baseline"/>
        <w:outlineLvl w:val="0"/>
        <w:rPr>
          <w:rFonts w:hint="default" w:ascii="黑体" w:hAnsi="黑体" w:eastAsia="黑体" w:cs="黑体"/>
          <w:spacing w:val="-2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pacing w:val="-2"/>
          <w:sz w:val="32"/>
          <w:szCs w:val="32"/>
          <w:lang w:val="en-US" w:eastAsia="zh-CN"/>
        </w:rPr>
        <w:t>七、附图</w:t>
      </w:r>
    </w:p>
    <w:p w14:paraId="16487264">
      <w:pPr>
        <w:ind w:left="0" w:leftChars="0" w:firstLine="0" w:firstLineChars="0"/>
        <w:rPr>
          <w:rFonts w:hint="eastAsia" w:eastAsia="宋体"/>
          <w:sz w:val="32"/>
          <w:szCs w:val="32"/>
          <w:lang w:eastAsia="zh-CN"/>
        </w:rPr>
      </w:pPr>
      <w:r>
        <w:rPr>
          <w:rFonts w:hint="eastAsia" w:eastAsia="宋体"/>
          <w:sz w:val="32"/>
          <w:szCs w:val="32"/>
          <w:lang w:eastAsia="zh-CN"/>
        </w:rPr>
        <w:drawing>
          <wp:inline distT="0" distB="0" distL="114300" distR="114300">
            <wp:extent cx="5267960" cy="3721735"/>
            <wp:effectExtent l="0" t="0" r="8890" b="12065"/>
            <wp:docPr id="1" name="图片 1" descr="白石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白石台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D4BC8">
      <w:pPr>
        <w:ind w:left="0" w:leftChars="0" w:firstLine="0" w:firstLineChars="0"/>
        <w:rPr>
          <w:rFonts w:hint="eastAsia" w:eastAsia="宋体"/>
          <w:sz w:val="32"/>
          <w:szCs w:val="32"/>
          <w:lang w:eastAsia="zh-CN"/>
        </w:rPr>
      </w:pPr>
      <w:r>
        <w:rPr>
          <w:rFonts w:hint="eastAsia" w:eastAsia="宋体"/>
          <w:sz w:val="32"/>
          <w:szCs w:val="32"/>
          <w:lang w:eastAsia="zh-CN"/>
        </w:rPr>
        <w:drawing>
          <wp:inline distT="0" distB="0" distL="114300" distR="114300">
            <wp:extent cx="5234940" cy="3698240"/>
            <wp:effectExtent l="0" t="0" r="3810" b="16510"/>
            <wp:docPr id="2" name="图片 2" descr="04-村域产业布局规划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4-村域产业布局规划图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34940" cy="369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00161">
      <w:pPr>
        <w:ind w:left="0" w:leftChars="0" w:firstLine="0" w:firstLineChars="0"/>
        <w:rPr>
          <w:rFonts w:hint="eastAsia" w:eastAsia="宋体"/>
          <w:sz w:val="32"/>
          <w:szCs w:val="32"/>
          <w:lang w:eastAsia="zh-CN"/>
        </w:rPr>
      </w:pPr>
      <w:r>
        <w:rPr>
          <w:rFonts w:hint="eastAsia" w:eastAsia="宋体"/>
          <w:sz w:val="32"/>
          <w:szCs w:val="32"/>
          <w:lang w:eastAsia="zh-CN"/>
        </w:rPr>
        <w:drawing>
          <wp:inline distT="0" distB="0" distL="114300" distR="114300">
            <wp:extent cx="5234940" cy="3698240"/>
            <wp:effectExtent l="0" t="0" r="3810" b="16510"/>
            <wp:docPr id="3" name="图片 3" descr="08-居民点用地布局总平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8-居民点用地布局总平图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34940" cy="369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BB02F">
      <w:pPr>
        <w:ind w:left="0" w:leftChars="0" w:firstLine="0" w:firstLineChars="0"/>
        <w:rPr>
          <w:rFonts w:hint="eastAsia" w:eastAsia="宋体"/>
          <w:sz w:val="32"/>
          <w:szCs w:val="32"/>
          <w:lang w:eastAsia="zh-CN"/>
        </w:rPr>
      </w:pPr>
      <w:r>
        <w:rPr>
          <w:rFonts w:hint="eastAsia" w:eastAsia="宋体"/>
          <w:sz w:val="32"/>
          <w:szCs w:val="32"/>
          <w:lang w:eastAsia="zh-CN"/>
        </w:rPr>
        <w:drawing>
          <wp:inline distT="0" distB="0" distL="114300" distR="114300">
            <wp:extent cx="5234940" cy="3698240"/>
            <wp:effectExtent l="0" t="0" r="3810" b="16510"/>
            <wp:docPr id="4" name="图片 4" descr="09-农村居民点基础设施规划图-道路交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9-农村居民点基础设施规划图-道路交通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34940" cy="369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6D125AD-F330-4D23-B65F-50FD4E26B12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C6864F9-10F0-43EA-8CCE-2B1A524D999D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7788FD9-D213-41C1-BBE2-81D0B0AC6AF7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1BF738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13E5DB"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313E5DB"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3822BC"/>
    <w:rsid w:val="077251E9"/>
    <w:rsid w:val="07D06FDE"/>
    <w:rsid w:val="0B2D1DD2"/>
    <w:rsid w:val="0F4C4A6F"/>
    <w:rsid w:val="1A9E4D00"/>
    <w:rsid w:val="28402B13"/>
    <w:rsid w:val="324D05B3"/>
    <w:rsid w:val="34DB108A"/>
    <w:rsid w:val="354B5E43"/>
    <w:rsid w:val="39845D3B"/>
    <w:rsid w:val="3AAB5610"/>
    <w:rsid w:val="4B38529B"/>
    <w:rsid w:val="59964688"/>
    <w:rsid w:val="5C3822BC"/>
    <w:rsid w:val="64F12834"/>
    <w:rsid w:val="6A610835"/>
    <w:rsid w:val="6C474C68"/>
    <w:rsid w:val="7641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75" w:beforeLines="75" w:after="75" w:afterLines="75" w:line="240" w:lineRule="auto"/>
      <w:jc w:val="left"/>
      <w:outlineLvl w:val="1"/>
    </w:pPr>
    <w:rPr>
      <w:rFonts w:ascii="黑体" w:hAnsi="黑体" w:eastAsia="黑体" w:cs="黑体"/>
      <w:bCs/>
      <w:snapToGrid w:val="0"/>
      <w:color w:val="000000"/>
      <w:sz w:val="32"/>
      <w:szCs w:val="32"/>
      <w:lang w:eastAsia="en-US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before="100" w:beforeLines="100" w:beforeAutospacing="0" w:after="100" w:afterLines="100" w:afterAutospacing="0" w:line="560" w:lineRule="exact"/>
      <w:ind w:firstLine="0" w:firstLineChars="0"/>
      <w:jc w:val="center"/>
      <w:outlineLvl w:val="1"/>
    </w:pPr>
    <w:rPr>
      <w:rFonts w:eastAsia="黑体"/>
      <w:b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customStyle="1" w:styleId="5">
    <w:name w:val="_Style 2"/>
    <w:basedOn w:val="1"/>
    <w:next w:val="1"/>
    <w:qFormat/>
    <w:uiPriority w:val="99"/>
    <w:pPr>
      <w:ind w:firstLine="420" w:firstLine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1779</Words>
  <Characters>1829</Characters>
  <Lines>0</Lines>
  <Paragraphs>0</Paragraphs>
  <TotalTime>14</TotalTime>
  <ScaleCrop>false</ScaleCrop>
  <LinksUpToDate>false</LinksUpToDate>
  <CharactersWithSpaces>1829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2026-07-02T04:40:00Z</dcterms:created>
  <dc:creator>WPS_1648795967</dc:creator>
  <cp:lastModifiedBy>咕噜咕噜</cp:lastModifiedBy>
  <cp:lastPrinted>2026-07-09T07:28:00Z</cp:lastPrinted>
  <dcterms:modified xsi:type="dcterms:W3CDTF">2026-07-10T02:47:32Z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8F1EF80124D14C22AAD51071B280F0E6_13</vt:lpwstr>
  </property>
  <property fmtid="{D5CDD505-2E9C-101B-9397-08002B2CF9AE}" pid="4" name="KSOTemplateDocerSaveRecord">
    <vt:lpwstr>eyJoZGlkIjoiMjFhODM0NTdjYmIzMTRkZDRmNjgyZDhlYjQzNDk1YTIiLCJ1c2VySWQiOiIxODYxNTg2ODk3In0=</vt:lpwstr>
  </property>
</Properties>
</file>