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仿宋_GB2312" w:eastAsia="仿宋_GB2312"/>
          <w:sz w:val="32"/>
          <w:szCs w:val="32"/>
        </w:rPr>
      </w:pPr>
    </w:p>
    <w:p>
      <w:pPr>
        <w:spacing w:line="600" w:lineRule="exact"/>
        <w:jc w:val="center"/>
        <w:rPr>
          <w:rFonts w:hint="eastAsia" w:ascii="仿宋_GB2312" w:eastAsia="仿宋_GB2312"/>
          <w:sz w:val="32"/>
          <w:szCs w:val="32"/>
        </w:rPr>
      </w:pPr>
    </w:p>
    <w:p>
      <w:pPr>
        <w:spacing w:line="600" w:lineRule="exact"/>
        <w:jc w:val="center"/>
        <w:rPr>
          <w:rFonts w:hint="eastAsia" w:ascii="仿宋_GB2312" w:eastAsia="仿宋_GB2312"/>
          <w:sz w:val="32"/>
          <w:szCs w:val="32"/>
        </w:rPr>
      </w:pPr>
    </w:p>
    <w:p>
      <w:pPr>
        <w:spacing w:line="600" w:lineRule="exact"/>
        <w:jc w:val="center"/>
        <w:rPr>
          <w:rFonts w:hint="eastAsia" w:ascii="仿宋_GB2312" w:eastAsia="仿宋_GB2312"/>
          <w:sz w:val="32"/>
          <w:szCs w:val="32"/>
        </w:rPr>
      </w:pPr>
    </w:p>
    <w:p>
      <w:pPr>
        <w:spacing w:line="600" w:lineRule="exact"/>
        <w:jc w:val="both"/>
        <w:rPr>
          <w:rFonts w:hint="eastAsia" w:ascii="仿宋_GB2312" w:eastAsia="仿宋_GB2312"/>
          <w:sz w:val="32"/>
          <w:szCs w:val="32"/>
        </w:rPr>
      </w:pPr>
    </w:p>
    <w:p>
      <w:pPr>
        <w:jc w:val="center"/>
        <w:rPr>
          <w:rFonts w:hint="eastAsia" w:ascii="仿宋_GB2312" w:eastAsia="仿宋_GB2312"/>
          <w:bCs/>
          <w:sz w:val="32"/>
          <w:szCs w:val="32"/>
        </w:rPr>
      </w:pPr>
      <w:r>
        <w:rPr>
          <w:rFonts w:hint="eastAsia" w:ascii="仿宋_GB2312" w:eastAsia="仿宋_GB2312"/>
          <w:bCs/>
          <w:sz w:val="32"/>
          <w:szCs w:val="32"/>
        </w:rPr>
        <w:t>阜发改</w:t>
      </w:r>
      <w:r>
        <w:rPr>
          <w:rFonts w:hint="eastAsia" w:ascii="仿宋_GB2312" w:eastAsia="仿宋_GB2312"/>
          <w:bCs/>
          <w:sz w:val="32"/>
          <w:szCs w:val="32"/>
          <w:lang w:eastAsia="zh-CN"/>
        </w:rPr>
        <w:t>双随机</w:t>
      </w:r>
      <w:r>
        <w:rPr>
          <w:rFonts w:hint="eastAsia" w:ascii="仿宋_GB2312" w:eastAsia="仿宋_GB2312"/>
          <w:bCs/>
          <w:sz w:val="32"/>
          <w:szCs w:val="32"/>
        </w:rPr>
        <w:t>[202</w:t>
      </w:r>
      <w:r>
        <w:rPr>
          <w:rFonts w:hint="eastAsia" w:ascii="仿宋_GB2312" w:eastAsia="仿宋_GB2312"/>
          <w:bCs/>
          <w:sz w:val="32"/>
          <w:szCs w:val="32"/>
          <w:lang w:val="en-US" w:eastAsia="zh-CN"/>
        </w:rPr>
        <w:t>5</w:t>
      </w:r>
      <w:r>
        <w:rPr>
          <w:rFonts w:hint="eastAsia" w:ascii="仿宋_GB2312" w:eastAsia="仿宋_GB2312"/>
          <w:bCs/>
          <w:sz w:val="32"/>
          <w:szCs w:val="32"/>
        </w:rPr>
        <w:t xml:space="preserve">] </w:t>
      </w:r>
      <w:r>
        <w:rPr>
          <w:rFonts w:hint="eastAsia" w:ascii="仿宋_GB2312" w:eastAsia="仿宋_GB2312"/>
          <w:bCs/>
          <w:sz w:val="32"/>
          <w:szCs w:val="32"/>
          <w:lang w:val="en-US" w:eastAsia="zh-CN"/>
        </w:rPr>
        <w:t>1</w:t>
      </w:r>
      <w:r>
        <w:rPr>
          <w:rFonts w:hint="eastAsia" w:ascii="仿宋_GB2312" w:eastAsia="仿宋_GB2312"/>
          <w:bCs/>
          <w:sz w:val="32"/>
          <w:szCs w:val="32"/>
        </w:rPr>
        <w:t>号</w:t>
      </w:r>
    </w:p>
    <w:p>
      <w:pPr>
        <w:spacing w:line="360" w:lineRule="exact"/>
        <w:jc w:val="both"/>
        <w:rPr>
          <w:rFonts w:hint="eastAsia" w:ascii="黑体" w:eastAsia="黑体"/>
          <w:sz w:val="44"/>
          <w:szCs w:val="44"/>
        </w:rPr>
      </w:pPr>
    </w:p>
    <w:p>
      <w:pPr>
        <w:tabs>
          <w:tab w:val="left" w:pos="7513"/>
        </w:tabs>
        <w:adjustRightInd w:val="0"/>
        <w:snapToGrid w:val="0"/>
        <w:jc w:val="center"/>
        <w:rPr>
          <w:rFonts w:hint="eastAsia" w:ascii="宋体" w:hAnsi="宋体" w:cs="黑体"/>
          <w:b/>
          <w:bCs/>
          <w:color w:val="000000"/>
          <w:kern w:val="60"/>
          <w:sz w:val="44"/>
          <w:szCs w:val="44"/>
        </w:rPr>
      </w:pPr>
      <w:r>
        <w:rPr>
          <w:rFonts w:hint="eastAsia" w:ascii="宋体" w:hAnsi="宋体" w:cs="黑体"/>
          <w:b/>
          <w:bCs/>
          <w:color w:val="000000"/>
          <w:kern w:val="60"/>
          <w:sz w:val="44"/>
          <w:szCs w:val="44"/>
        </w:rPr>
        <w:t>阜平县发展改革</w:t>
      </w:r>
      <w:r>
        <w:rPr>
          <w:rFonts w:hint="eastAsia" w:ascii="宋体" w:hAnsi="宋体" w:cs="黑体"/>
          <w:b/>
          <w:bCs/>
          <w:color w:val="000000"/>
          <w:kern w:val="60"/>
          <w:sz w:val="44"/>
          <w:szCs w:val="44"/>
          <w:lang w:val="en-US" w:eastAsia="zh-CN"/>
        </w:rPr>
        <w:t>和科学技术</w:t>
      </w:r>
      <w:r>
        <w:rPr>
          <w:rFonts w:hint="eastAsia" w:ascii="宋体" w:hAnsi="宋体" w:cs="黑体"/>
          <w:b/>
          <w:bCs/>
          <w:color w:val="000000"/>
          <w:kern w:val="60"/>
          <w:sz w:val="44"/>
          <w:szCs w:val="44"/>
        </w:rPr>
        <w:t>局</w:t>
      </w:r>
    </w:p>
    <w:p>
      <w:pPr>
        <w:tabs>
          <w:tab w:val="left" w:pos="7513"/>
        </w:tabs>
        <w:adjustRightInd w:val="0"/>
        <w:snapToGrid w:val="0"/>
        <w:jc w:val="center"/>
        <w:rPr>
          <w:rFonts w:hint="eastAsia" w:ascii="宋体" w:hAnsi="宋体" w:cs="黑体"/>
          <w:color w:val="000000"/>
          <w:kern w:val="60"/>
          <w:sz w:val="44"/>
          <w:szCs w:val="44"/>
        </w:rPr>
      </w:pPr>
      <w:r>
        <w:rPr>
          <w:rFonts w:hint="eastAsia" w:ascii="宋体" w:hAnsi="宋体" w:cs="黑体"/>
          <w:b/>
          <w:bCs/>
          <w:color w:val="000000"/>
          <w:kern w:val="60"/>
          <w:sz w:val="44"/>
          <w:szCs w:val="44"/>
          <w:lang w:val="en-US" w:eastAsia="zh-CN"/>
        </w:rPr>
        <w:t>2025年</w:t>
      </w:r>
      <w:r>
        <w:rPr>
          <w:rFonts w:hint="eastAsia" w:ascii="宋体" w:hAnsi="宋体" w:cs="黑体"/>
          <w:b/>
          <w:bCs/>
          <w:color w:val="000000"/>
          <w:kern w:val="60"/>
          <w:sz w:val="44"/>
          <w:szCs w:val="44"/>
        </w:rPr>
        <w:t>“双随机、一公开”</w:t>
      </w:r>
      <w:r>
        <w:rPr>
          <w:rFonts w:hint="eastAsia" w:ascii="宋体" w:hAnsi="宋体" w:cs="黑体"/>
          <w:b/>
          <w:bCs/>
          <w:color w:val="000000"/>
          <w:kern w:val="60"/>
          <w:sz w:val="44"/>
          <w:szCs w:val="44"/>
          <w:lang w:val="en-US" w:eastAsia="zh-CN"/>
        </w:rPr>
        <w:t>抽查</w:t>
      </w:r>
      <w:r>
        <w:rPr>
          <w:rFonts w:hint="eastAsia" w:ascii="宋体" w:hAnsi="宋体" w:cs="黑体"/>
          <w:b/>
          <w:bCs/>
          <w:color w:val="000000"/>
          <w:kern w:val="60"/>
          <w:sz w:val="44"/>
          <w:szCs w:val="44"/>
        </w:rPr>
        <w:t>工作</w:t>
      </w:r>
      <w:r>
        <w:rPr>
          <w:rFonts w:hint="eastAsia" w:ascii="宋体" w:hAnsi="宋体" w:cs="黑体"/>
          <w:b/>
          <w:bCs/>
          <w:color w:val="000000"/>
          <w:kern w:val="60"/>
          <w:sz w:val="44"/>
          <w:szCs w:val="44"/>
          <w:lang w:val="en-US" w:eastAsia="zh-CN"/>
        </w:rPr>
        <w:t>实施</w:t>
      </w:r>
      <w:r>
        <w:rPr>
          <w:rFonts w:hint="eastAsia" w:ascii="宋体" w:hAnsi="宋体" w:cs="黑体"/>
          <w:b/>
          <w:bCs/>
          <w:color w:val="000000"/>
          <w:kern w:val="60"/>
          <w:sz w:val="44"/>
          <w:szCs w:val="44"/>
        </w:rPr>
        <w:t>细则</w:t>
      </w:r>
    </w:p>
    <w:p>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b/>
          <w:bCs/>
          <w:color w:val="000000"/>
          <w:kern w:val="0"/>
          <w:sz w:val="32"/>
          <w:szCs w:val="32"/>
        </w:rPr>
      </w:pPr>
    </w:p>
    <w:p>
      <w:pPr>
        <w:pageBreakBefore w:val="0"/>
        <w:widowControl w:val="0"/>
        <w:numPr>
          <w:ilvl w:val="0"/>
          <w:numId w:val="0"/>
        </w:numPr>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第一条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加强事中事后监管，全面推行“双随机、一公开”监管工作，根据《企业信息公示暂行条例》、《国务院关于在市场监管领域全面推行部门联合“双随机、一公开”监管的意见》（国发〔2019〕5号）、《国务院办公厅关于推广随机抽查规范事中事后监管的通知》（国办发〔2015〕5</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号）、</w:t>
      </w:r>
      <w:r>
        <w:rPr>
          <w:rFonts w:hint="eastAsia" w:ascii="仿宋_GB2312" w:hAnsi="仿宋_GB2312" w:eastAsia="仿宋_GB2312" w:cs="仿宋_GB2312"/>
          <w:color w:val="auto"/>
          <w:kern w:val="0"/>
          <w:sz w:val="32"/>
          <w:szCs w:val="32"/>
          <w:lang w:val="en-US" w:eastAsia="zh-CN" w:bidi="ar-SA"/>
        </w:rPr>
        <w:t>《市场监管总局关于全面深化“双随机、一公开”监管规范涉企行政检查服务高质量发展的意见》（国市监信规</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kern w:val="0"/>
          <w:sz w:val="32"/>
          <w:szCs w:val="32"/>
          <w:lang w:val="en-US" w:eastAsia="zh-CN" w:bidi="ar-SA"/>
        </w:rPr>
        <w:t>2024</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kern w:val="0"/>
          <w:sz w:val="32"/>
          <w:szCs w:val="32"/>
          <w:lang w:val="en-US" w:eastAsia="zh-CN" w:bidi="ar-SA"/>
        </w:rPr>
        <w:t>5号）</w:t>
      </w:r>
      <w:r>
        <w:rPr>
          <w:rFonts w:hint="eastAsia" w:ascii="仿宋_GB2312" w:hAnsi="仿宋_GB2312" w:eastAsia="仿宋_GB2312" w:cs="仿宋_GB2312"/>
          <w:sz w:val="32"/>
          <w:szCs w:val="32"/>
        </w:rPr>
        <w:t>、有关要求，制定本细则。</w:t>
      </w:r>
      <w:r>
        <w:rPr>
          <w:rFonts w:hint="eastAsia" w:ascii="仿宋_GB2312" w:hAnsi="仿宋_GB2312" w:eastAsia="仿宋_GB2312" w:cs="仿宋_GB2312"/>
          <w:sz w:val="32"/>
          <w:szCs w:val="32"/>
          <w:lang w:val="en-US" w:eastAsia="zh-CN"/>
        </w:rPr>
        <w:t xml:space="preserve"> </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二条 本细则所称检查对象包括经营主体和非经营主体。经营主体是指经行政审批部门、市场监管部门登记注册的企业、个体工商户、农民专业合作社；非经营主体包括机关、事业单位和社会团体、产品、项目、行为等。</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条 本细则所称“双随机、一公开”，是指</w:t>
      </w:r>
      <w:r>
        <w:rPr>
          <w:rFonts w:hint="eastAsia" w:ascii="仿宋_GB2312" w:hAnsi="仿宋_GB2312" w:eastAsia="仿宋_GB2312" w:cs="仿宋_GB2312"/>
          <w:sz w:val="32"/>
          <w:szCs w:val="32"/>
          <w:lang w:eastAsia="zh-CN"/>
        </w:rPr>
        <w:t>阜平县</w:t>
      </w:r>
      <w:r>
        <w:rPr>
          <w:rFonts w:hint="eastAsia" w:ascii="仿宋_GB2312" w:hAnsi="仿宋_GB2312" w:eastAsia="仿宋_GB2312" w:cs="仿宋_GB2312"/>
          <w:sz w:val="32"/>
          <w:szCs w:val="32"/>
        </w:rPr>
        <w:t>市场监管部门在行政检查时，采取随机抽取检查对象、随机选派执法检查人员，依照法定职责进行监督检查，并及时公开抽查情况和查处结果的监管方式。</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“双随机、一公开”抽查工作应当坚持全面覆盖、依法实施、规范透明、注重实效的原则，确保抽查工作依法有序开展。</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市场监管部门应当建立“双随机、一公开”为基本手段、以重点监管为补充、以信用监管为基础的新型监管机制。</w:t>
      </w:r>
    </w:p>
    <w:p>
      <w:pPr>
        <w:pStyle w:val="13"/>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第六条 “双随机、一公开”监管与其它监管的衔接。</w:t>
      </w:r>
    </w:p>
    <w:p>
      <w:pPr>
        <w:pStyle w:val="13"/>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(一) 凡纳入国家市场监督管理总局、省市场监督管理局抽查清单的事项，适用“双随机、一公开”抽查;</w:t>
      </w:r>
    </w:p>
    <w:p>
      <w:pPr>
        <w:pStyle w:val="13"/>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(二) 涉及食品药品安全、产品质量安全和特种设备安全等市场监管重点领域，未列入抽查事项清单的事项，按照现有方式严格监管;</w:t>
      </w:r>
    </w:p>
    <w:p>
      <w:pPr>
        <w:pStyle w:val="13"/>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(三) 通过被投诉举报、转办交办、大数据监测等发现的具体问题应及时进行检查、处置;</w:t>
      </w:r>
    </w:p>
    <w:p>
      <w:pPr>
        <w:pStyle w:val="13"/>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(四) 对随机抽查事项涉及的监管领域，原则上不再部署专项检查和“全覆盖”式巡查。</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第七条 县市场监督管理局的“双随机、一公开”监管工作由</w:t>
      </w:r>
      <w:r>
        <w:rPr>
          <w:rFonts w:hint="eastAsia" w:ascii="仿宋_GB2312" w:hAnsi="仿宋_GB2312" w:eastAsia="仿宋_GB2312" w:cs="仿宋_GB2312"/>
          <w:sz w:val="32"/>
          <w:szCs w:val="32"/>
          <w:lang w:eastAsia="zh-CN"/>
        </w:rPr>
        <w:t>信用监管股牵头，负责</w:t>
      </w:r>
      <w:r>
        <w:rPr>
          <w:rFonts w:hint="eastAsia" w:ascii="仿宋_GB2312" w:hAnsi="仿宋_GB2312" w:eastAsia="仿宋_GB2312" w:cs="仿宋_GB2312"/>
          <w:sz w:val="32"/>
          <w:szCs w:val="32"/>
          <w:lang w:val="en-US" w:eastAsia="zh-CN"/>
        </w:rPr>
        <w:t>组织、指导、协调相关工作落实，统筹协调双随机抽查工作的制度机制建设和年度抽查工作计划的制定，确定每个抽查批次的牵头业务股室;</w:t>
      </w:r>
      <w:r>
        <w:rPr>
          <w:rFonts w:hint="eastAsia" w:ascii="仿宋_GB2312" w:hAnsi="仿宋_GB2312" w:eastAsia="仿宋_GB2312" w:cs="仿宋_GB2312"/>
          <w:sz w:val="32"/>
          <w:szCs w:val="32"/>
          <w:lang w:eastAsia="zh-CN"/>
        </w:rPr>
        <w:t>建立维护执法检查人员名录库和检查对象名录库，并实行动态管理。</w:t>
      </w:r>
      <w:r>
        <w:rPr>
          <w:rFonts w:hint="eastAsia" w:ascii="仿宋_GB2312" w:hAnsi="仿宋_GB2312" w:eastAsia="仿宋_GB2312" w:cs="仿宋_GB2312"/>
          <w:sz w:val="32"/>
          <w:szCs w:val="32"/>
          <w:lang w:val="en-US" w:eastAsia="zh-CN"/>
        </w:rPr>
        <w:t>相关业务股室按照年度抽查工作计划的安排，负责牵头组织、参与双随机抽查工作，并对本业务领域双随机抽查工作进行业务指导。</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 市场监管部门在实施行政检查时，除特殊重点领域外，原则上所有行政检查都应依照本细则通过双随机抽查的方式进行，减少对</w:t>
      </w:r>
      <w:r>
        <w:rPr>
          <w:rFonts w:hint="eastAsia" w:ascii="仿宋_GB2312" w:hAnsi="仿宋_GB2312" w:eastAsia="仿宋_GB2312" w:cs="仿宋_GB2312"/>
          <w:sz w:val="32"/>
          <w:szCs w:val="32"/>
          <w:lang w:eastAsia="zh-CN"/>
        </w:rPr>
        <w:t>经营主体</w:t>
      </w:r>
      <w:r>
        <w:rPr>
          <w:rFonts w:hint="eastAsia" w:ascii="仿宋_GB2312" w:hAnsi="仿宋_GB2312" w:eastAsia="仿宋_GB2312" w:cs="仿宋_GB2312"/>
          <w:sz w:val="32"/>
          <w:szCs w:val="32"/>
        </w:rPr>
        <w:t>正常经营活动的干扰。</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lang w:eastAsia="zh-CN"/>
        </w:rPr>
        <w:t>县</w:t>
      </w:r>
      <w:r>
        <w:rPr>
          <w:rFonts w:hint="eastAsia" w:ascii="仿宋_GB2312" w:hAnsi="仿宋_GB2312" w:eastAsia="仿宋_GB2312" w:cs="仿宋_GB2312"/>
          <w:sz w:val="32"/>
          <w:szCs w:val="32"/>
        </w:rPr>
        <w:t>市场监督管理局按照随机抽查事项清单，明确抽查主体、抽查对象、抽查内容、抽查依据等内容，清单包含的各类抽查事项逐一明确检查内容、方法和工作要求。</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机抽查事项分为一般检查事项和重点检查事项。重点检查事项针对安全、质量、公共利益等重要领域，抽查比例不设上限；抽查比例高的，可以通过随机抽取的方式确定检查批次顺序。一般检查事项针对一般监管领域，抽查比例应根据监管实际情况严格进行限制。</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条 认真落实抽查工作计划。抽查工作计划应包含抽查项目、检查对象、抽查范围、抽查比例、抽查方式、检查内容、实施时间等，并可根据工作实际进行调整。抽查工作计划应通过公示系统向社会公示。对随机抽查事项涉及的监管领域，原则上不再部署专项检查和“全覆盖”式巡查。</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十一</w:t>
      </w:r>
      <w:r>
        <w:rPr>
          <w:rFonts w:hint="eastAsia" w:ascii="仿宋_GB2312" w:hAnsi="仿宋_GB2312" w:eastAsia="仿宋_GB2312" w:cs="仿宋_GB2312"/>
          <w:sz w:val="32"/>
          <w:szCs w:val="32"/>
        </w:rPr>
        <w:t>条 依照“谁计划、谁抽取”的原则，合理确定抽查比例，随机抽取检查对象。对社会关注度高、投诉举报多、列入经营异常名录、有多次违法违规记录或有严重违法违规记录等情况的，应当增加抽查频次，加大检查力度。</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十二</w:t>
      </w:r>
      <w:r>
        <w:rPr>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lang w:eastAsia="zh-CN"/>
        </w:rPr>
        <w:t>通过河北省双随机监管工作平台随机抽取执法人员。</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十三</w:t>
      </w:r>
      <w:r>
        <w:rPr>
          <w:rFonts w:hint="eastAsia" w:ascii="仿宋_GB2312" w:hAnsi="仿宋_GB2312" w:eastAsia="仿宋_GB2312" w:cs="仿宋_GB2312"/>
          <w:sz w:val="32"/>
          <w:szCs w:val="32"/>
        </w:rPr>
        <w:t>条 抽查检查采取定向方式，合理确定抽查比例和频次。</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 随机抽查可以依法采取现场检查、书面检查、网络检查、委托专业机构检查等方式实施。执法检查人员应按照随机抽查工作指引的要求开展工作。委托专业机构实施抽查检查的，加强业务指导和监督。抽查检查中可以依法利用其他政府部门检查结论、司法机关生效文书和专业机构作出的专业结论。</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随机抽查工作应当公开透明，必要时可邀请人大代表、政协委员、廉政监督员、媒体</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参加。</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 随机抽查开展前，原则上应根据抽查工作计划制定抽查实施方案，明确抽查具体要求等。</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执法检查人员在实施检查前，应当通过公示系统等查询被检查对象的相关信息，可以先行与企业取得联系，告知检查事项及企业应当提供的备查材料，预约检查时间，并要求企业相关人员到场配合检查。</w:t>
      </w:r>
      <w:r>
        <w:rPr>
          <w:rFonts w:hint="eastAsia" w:ascii="仿宋_GB2312" w:hAnsi="仿宋_GB2312" w:eastAsia="仿宋_GB2312" w:cs="仿宋_GB2312"/>
          <w:sz w:val="32"/>
          <w:szCs w:val="32"/>
          <w:lang w:val="en-US" w:eastAsia="zh-CN"/>
        </w:rPr>
        <w:t xml:space="preserve"> </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条 执法检查人员在实施检查时，应如实记录检查过程，填写检查情况并要求企业法定代表人（负责人）签字、企业盖章或进行电子签章；无法取得签字或盖章的，检查人员应当注明原因，必要时可邀请有关人员作为见证人。</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条 执法检查人员在检查工作结束后，应当综合现场检查、书面检查、网络检查情况和专业机构出具的报告结论等，对被检查对象出具检查意见。检查意见包括：“未发现异常”、“未按规定公示应当公示的信息”、“公示信息隐瞒真实情况、弄虚作假”、“通过登记的住所（经营场所）无法联系”、“不予配合情节严重”等。</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 按照“谁检查、谁录入、谁公示”的原则，执法人员应及时将检查结果录入</w:t>
      </w:r>
      <w:r>
        <w:rPr>
          <w:rFonts w:hint="eastAsia" w:ascii="仿宋_GB2312" w:hAnsi="仿宋_GB2312" w:eastAsia="仿宋_GB2312" w:cs="仿宋_GB2312"/>
          <w:sz w:val="32"/>
          <w:szCs w:val="32"/>
          <w:lang w:val="en-US" w:eastAsia="zh-CN"/>
        </w:rPr>
        <w:t>河北省双随机执法监管平台</w:t>
      </w:r>
      <w:r>
        <w:rPr>
          <w:rFonts w:hint="eastAsia" w:ascii="仿宋_GB2312" w:hAnsi="仿宋_GB2312" w:eastAsia="仿宋_GB2312" w:cs="仿宋_GB2312"/>
          <w:sz w:val="32"/>
          <w:szCs w:val="32"/>
        </w:rPr>
        <w:t>，自抽查检查结束之日起20个工作日内通过公示系统向社会公示。已实施检查但未进行公示的，视为未完成抽查检查。</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 xml:space="preserve">条 </w:t>
      </w:r>
      <w:r>
        <w:rPr>
          <w:rFonts w:hint="eastAsia" w:ascii="仿宋_GB2312" w:hAnsi="仿宋_GB2312" w:eastAsia="仿宋_GB2312" w:cs="仿宋_GB2312"/>
          <w:sz w:val="32"/>
          <w:szCs w:val="32"/>
          <w:lang w:eastAsia="zh-CN"/>
        </w:rPr>
        <w:t>经营主体</w:t>
      </w:r>
      <w:r>
        <w:rPr>
          <w:rFonts w:hint="eastAsia" w:ascii="仿宋_GB2312" w:hAnsi="仿宋_GB2312" w:eastAsia="仿宋_GB2312" w:cs="仿宋_GB2312"/>
          <w:sz w:val="32"/>
          <w:szCs w:val="32"/>
        </w:rPr>
        <w:t>在接受检查中有下列不予配合情形的，应当将企业名称和不予配合检查次数、时间、情形等信息，通过公示系统予以公示。法律法规另有明确规定的，按其规定执行。</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（一）拒绝检查人员或者其委托的专业机构进入被检查场所的；</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（二）拒绝向检查人员或者其委托的专业机构提供相关材料的；</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（三）不如实或者不按要求提供情况或者相关材料的；</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（四）其他阻挠、妨碍检查工作的行为，致使检查工作无法正常进行的。</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二十</w:t>
      </w:r>
      <w:r>
        <w:rPr>
          <w:rFonts w:hint="eastAsia" w:ascii="仿宋_GB2312" w:hAnsi="仿宋_GB2312" w:eastAsia="仿宋_GB2312" w:cs="仿宋_GB2312"/>
          <w:sz w:val="32"/>
          <w:szCs w:val="32"/>
        </w:rPr>
        <w:t>条 执法检查人员发现</w:t>
      </w:r>
      <w:r>
        <w:rPr>
          <w:rFonts w:hint="eastAsia" w:ascii="仿宋_GB2312" w:hAnsi="仿宋_GB2312" w:eastAsia="仿宋_GB2312" w:cs="仿宋_GB2312"/>
          <w:sz w:val="32"/>
          <w:szCs w:val="32"/>
          <w:lang w:eastAsia="zh-CN"/>
        </w:rPr>
        <w:t>经营主体</w:t>
      </w:r>
      <w:r>
        <w:rPr>
          <w:rFonts w:hint="eastAsia" w:ascii="仿宋_GB2312" w:hAnsi="仿宋_GB2312" w:eastAsia="仿宋_GB2312" w:cs="仿宋_GB2312"/>
          <w:sz w:val="32"/>
          <w:szCs w:val="32"/>
        </w:rPr>
        <w:t>检查结果符合列入异常名录情形的，应当依照《企业经营异常名录管理暂行办法》等相关规定作出相应处理。</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二十一</w:t>
      </w:r>
      <w:r>
        <w:rPr>
          <w:rFonts w:hint="eastAsia" w:ascii="仿宋_GB2312" w:hAnsi="仿宋_GB2312" w:eastAsia="仿宋_GB2312" w:cs="仿宋_GB2312"/>
          <w:sz w:val="32"/>
          <w:szCs w:val="32"/>
        </w:rPr>
        <w:t>条 随机抽查中发现的各类问题，要按照“谁管辖、谁负责”的原则做好后续监管衔接。涉嫌违反市场监管法律法规的，按照相关规定调查处理；发现问题线索属于其他行政部门管辖的，及时移送其他有管辖权的行政部门；发现涉嫌犯罪的，要及时移送司法机关，防止监管脱节。</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二十二</w:t>
      </w:r>
      <w:r>
        <w:rPr>
          <w:rFonts w:hint="eastAsia" w:ascii="仿宋_GB2312" w:hAnsi="仿宋_GB2312" w:eastAsia="仿宋_GB2312" w:cs="仿宋_GB2312"/>
          <w:sz w:val="32"/>
          <w:szCs w:val="32"/>
        </w:rPr>
        <w:t>条 实施抽查的监管部门，应当在检查结束后，及时归档。档案主要包括检查表、证据材料、线索移交材料，调查处理证明材料等。</w:t>
      </w:r>
      <w:r>
        <w:rPr>
          <w:rFonts w:hint="eastAsia" w:ascii="仿宋_GB2312" w:hAnsi="仿宋_GB2312" w:eastAsia="仿宋_GB2312" w:cs="仿宋_GB2312"/>
          <w:sz w:val="32"/>
          <w:szCs w:val="32"/>
          <w:lang w:val="en-US" w:eastAsia="zh-CN"/>
        </w:rPr>
        <w:t xml:space="preserve">  </w:t>
      </w:r>
    </w:p>
    <w:p>
      <w:pPr>
        <w:pageBreakBefore w:val="0"/>
        <w:widowControl w:val="0"/>
        <w:kinsoku/>
        <w:wordWrap/>
        <w:overflowPunct/>
        <w:topLinePunct w:val="0"/>
        <w:autoSpaceDE/>
        <w:autoSpaceDN/>
        <w:bidi w:val="0"/>
        <w:adjustRightInd/>
        <w:snapToGrid/>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二十三</w:t>
      </w:r>
      <w:r>
        <w:rPr>
          <w:rFonts w:hint="eastAsia" w:ascii="仿宋_GB2312" w:hAnsi="仿宋_GB2312" w:eastAsia="仿宋_GB2312" w:cs="仿宋_GB2312"/>
          <w:sz w:val="32"/>
          <w:szCs w:val="32"/>
        </w:rPr>
        <w:t>条 执法检查人员在抽查检查中，应当严格遵守法律法规规章制度，依法行政、廉洁执法，遵守各项工作纪律。</w:t>
      </w:r>
    </w:p>
    <w:p>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二十四</w:t>
      </w:r>
      <w:r>
        <w:rPr>
          <w:rFonts w:hint="eastAsia" w:ascii="仿宋_GB2312" w:hAnsi="仿宋_GB2312" w:eastAsia="仿宋_GB2312" w:cs="仿宋_GB2312"/>
          <w:sz w:val="32"/>
          <w:szCs w:val="32"/>
        </w:rPr>
        <w:t>条  本办法自印发之日起施行。</w:t>
      </w:r>
    </w:p>
    <w:p>
      <w:pPr>
        <w:pStyle w:val="7"/>
        <w:rPr>
          <w:rFonts w:hint="eastAsia"/>
          <w:lang w:eastAsia="zh-CN"/>
        </w:rPr>
      </w:pPr>
    </w:p>
    <w:p>
      <w:pPr>
        <w:keepNext w:val="0"/>
        <w:keepLines w:val="0"/>
        <w:pageBreakBefore w:val="0"/>
        <w:widowControl w:val="0"/>
        <w:kinsoku/>
        <w:wordWrap/>
        <w:overflowPunct/>
        <w:topLinePunct w:val="0"/>
        <w:autoSpaceDE/>
        <w:autoSpaceDN/>
        <w:bidi w:val="0"/>
        <w:adjustRightInd/>
        <w:spacing w:line="560" w:lineRule="exact"/>
        <w:jc w:val="right"/>
        <w:textAlignment w:val="auto"/>
        <w:rPr>
          <w:rFonts w:hint="eastAsia" w:ascii="仿宋_GB2312" w:hAnsi="宋体" w:eastAsia="仿宋_GB2312" w:cs="宋体"/>
          <w:sz w:val="32"/>
          <w:szCs w:val="32"/>
        </w:rPr>
      </w:pPr>
      <w:r>
        <w:rPr>
          <w:rFonts w:hint="eastAsia" w:ascii="仿宋_GB2312" w:hAnsi="宋体" w:eastAsia="仿宋_GB2312" w:cs="宋体"/>
          <w:sz w:val="32"/>
          <w:szCs w:val="32"/>
        </w:rPr>
        <w:t>阜平县发展改革</w:t>
      </w:r>
      <w:r>
        <w:rPr>
          <w:rFonts w:hint="eastAsia" w:ascii="仿宋_GB2312" w:hAnsi="宋体" w:eastAsia="仿宋_GB2312" w:cs="宋体"/>
          <w:sz w:val="32"/>
          <w:szCs w:val="32"/>
          <w:lang w:val="en-US" w:eastAsia="zh-CN"/>
        </w:rPr>
        <w:t>和科学技术</w:t>
      </w:r>
      <w:r>
        <w:rPr>
          <w:rFonts w:hint="eastAsia" w:ascii="仿宋_GB2312" w:hAnsi="宋体" w:eastAsia="仿宋_GB2312" w:cs="宋体"/>
          <w:sz w:val="32"/>
          <w:szCs w:val="32"/>
        </w:rPr>
        <w:t>局</w:t>
      </w:r>
    </w:p>
    <w:p>
      <w:pPr>
        <w:keepNext w:val="0"/>
        <w:keepLines w:val="0"/>
        <w:pageBreakBefore w:val="0"/>
        <w:widowControl w:val="0"/>
        <w:kinsoku/>
        <w:wordWrap/>
        <w:overflowPunct/>
        <w:topLinePunct w:val="0"/>
        <w:autoSpaceDE/>
        <w:autoSpaceDN/>
        <w:bidi w:val="0"/>
        <w:adjustRightInd/>
        <w:spacing w:line="560" w:lineRule="exact"/>
        <w:ind w:firstLine="5600" w:firstLineChars="1750"/>
        <w:textAlignment w:val="auto"/>
        <w:rPr>
          <w:rFonts w:hint="eastAsia" w:ascii="仿宋_GB2312" w:hAnsi="宋体" w:eastAsia="仿宋_GB2312" w:cs="宋体"/>
          <w:sz w:val="32"/>
          <w:szCs w:val="32"/>
        </w:rPr>
      </w:pPr>
      <w:r>
        <w:rPr>
          <w:rFonts w:hint="eastAsia" w:ascii="仿宋_GB2312" w:hAnsi="宋体" w:eastAsia="仿宋_GB2312" w:cs="宋体"/>
          <w:sz w:val="32"/>
          <w:szCs w:val="32"/>
          <w:lang w:val="en-US" w:eastAsia="zh-CN"/>
        </w:rPr>
        <w:t>2025</w:t>
      </w:r>
      <w:r>
        <w:rPr>
          <w:rFonts w:hint="eastAsia" w:ascii="仿宋_GB2312" w:hAnsi="宋体" w:eastAsia="仿宋_GB2312" w:cs="宋体"/>
          <w:sz w:val="32"/>
          <w:szCs w:val="32"/>
        </w:rPr>
        <w:t>年</w:t>
      </w:r>
      <w:r>
        <w:rPr>
          <w:rFonts w:hint="eastAsia" w:ascii="仿宋_GB2312" w:hAnsi="宋体" w:eastAsia="仿宋_GB2312" w:cs="宋体"/>
          <w:sz w:val="32"/>
          <w:szCs w:val="32"/>
          <w:lang w:val="en-US" w:eastAsia="zh-CN"/>
        </w:rPr>
        <w:t>3</w:t>
      </w:r>
      <w:r>
        <w:rPr>
          <w:rFonts w:hint="eastAsia" w:ascii="仿宋_GB2312" w:hAnsi="宋体" w:eastAsia="仿宋_GB2312" w:cs="宋体"/>
          <w:sz w:val="32"/>
          <w:szCs w:val="32"/>
        </w:rPr>
        <w:t>月</w:t>
      </w:r>
      <w:r>
        <w:rPr>
          <w:rFonts w:hint="eastAsia" w:ascii="仿宋_GB2312" w:hAnsi="宋体" w:eastAsia="仿宋_GB2312" w:cs="宋体"/>
          <w:sz w:val="32"/>
          <w:szCs w:val="32"/>
          <w:lang w:val="en-US" w:eastAsia="zh-CN"/>
        </w:rPr>
        <w:t>19</w:t>
      </w:r>
      <w:r>
        <w:rPr>
          <w:rFonts w:hint="eastAsia" w:ascii="仿宋_GB2312" w:hAnsi="宋体" w:eastAsia="仿宋_GB2312" w:cs="宋体"/>
          <w:sz w:val="32"/>
          <w:szCs w:val="32"/>
        </w:rPr>
        <w:t>日</w:t>
      </w:r>
    </w:p>
    <w:p>
      <w:pPr>
        <w:pStyle w:val="7"/>
        <w:rPr>
          <w:rFonts w:hint="eastAsia" w:ascii="仿宋_GB2312" w:hAnsi="宋体" w:eastAsia="仿宋_GB2312" w:cs="宋体"/>
          <w:sz w:val="32"/>
          <w:szCs w:val="32"/>
        </w:rPr>
      </w:pPr>
    </w:p>
    <w:p>
      <w:pPr>
        <w:rPr>
          <w:rFonts w:hint="eastAsia" w:ascii="仿宋_GB2312" w:hAnsi="宋体" w:eastAsia="仿宋_GB2312" w:cs="宋体"/>
          <w:sz w:val="32"/>
          <w:szCs w:val="32"/>
        </w:rPr>
      </w:pPr>
    </w:p>
    <w:p>
      <w:pPr>
        <w:rPr>
          <w:rFonts w:hint="eastAsia" w:ascii="仿宋_GB2312" w:hAnsi="宋体" w:eastAsia="仿宋_GB2312" w:cs="宋体"/>
          <w:sz w:val="32"/>
          <w:szCs w:val="32"/>
        </w:rPr>
      </w:pPr>
    </w:p>
    <w:p>
      <w:pPr>
        <w:rPr>
          <w:rFonts w:hint="eastAsia" w:ascii="仿宋_GB2312" w:hAnsi="宋体" w:eastAsia="仿宋_GB2312" w:cs="宋体"/>
          <w:sz w:val="32"/>
          <w:szCs w:val="32"/>
        </w:rPr>
      </w:pPr>
    </w:p>
    <w:p>
      <w:pPr>
        <w:rPr>
          <w:rFonts w:hint="eastAsia" w:ascii="仿宋_GB2312" w:hAnsi="宋体" w:eastAsia="仿宋_GB2312" w:cs="宋体"/>
          <w:sz w:val="32"/>
          <w:szCs w:val="32"/>
        </w:rPr>
      </w:pPr>
    </w:p>
    <w:p>
      <w:pPr>
        <w:rPr>
          <w:rFonts w:hint="eastAsia" w:ascii="仿宋_GB2312" w:hAnsi="宋体" w:eastAsia="仿宋_GB2312" w:cs="宋体"/>
          <w:sz w:val="32"/>
          <w:szCs w:val="32"/>
        </w:rPr>
      </w:pPr>
      <w:bookmarkStart w:id="0" w:name="_GoBack"/>
      <w:bookmarkEnd w:id="0"/>
    </w:p>
    <w:p>
      <w:pPr>
        <w:keepNext w:val="0"/>
        <w:keepLines w:val="0"/>
        <w:pageBreakBefore w:val="0"/>
        <w:widowControl w:val="0"/>
        <w:wordWrap/>
        <w:topLinePunct w:val="0"/>
        <w:bidi w:val="0"/>
        <w:adjustRightInd w:val="0"/>
        <w:snapToGrid w:val="0"/>
        <w:spacing w:line="560" w:lineRule="exact"/>
        <w:textAlignment w:val="auto"/>
        <w:rPr>
          <w:rFonts w:ascii="宋体" w:hAnsi="宋体"/>
          <w:b/>
          <w:sz w:val="32"/>
          <w:szCs w:val="32"/>
          <w:u w:val="single"/>
        </w:rPr>
      </w:pPr>
      <w:r>
        <w:rPr>
          <w:rFonts w:hint="eastAsia" w:ascii="宋体" w:hAnsi="宋体"/>
          <w:b/>
          <w:sz w:val="32"/>
          <w:szCs w:val="32"/>
          <w:u w:val="single"/>
          <w:lang w:val="en-US" w:eastAsia="zh-CN"/>
        </w:rPr>
        <w:t xml:space="preserve">      </w:t>
      </w:r>
      <w:r>
        <w:rPr>
          <w:rFonts w:hint="eastAsia" w:ascii="宋体" w:hAnsi="宋体"/>
          <w:b/>
          <w:sz w:val="32"/>
          <w:szCs w:val="32"/>
          <w:u w:val="single"/>
        </w:rPr>
        <w:t xml:space="preserve">                                       </w:t>
      </w:r>
      <w:r>
        <w:rPr>
          <w:rFonts w:hint="eastAsia" w:ascii="宋体" w:hAnsi="宋体"/>
          <w:b/>
          <w:sz w:val="32"/>
          <w:szCs w:val="32"/>
          <w:u w:val="single"/>
          <w:lang w:val="en-US" w:eastAsia="zh-CN"/>
        </w:rPr>
        <w:t xml:space="preserve">     </w:t>
      </w:r>
      <w:r>
        <w:rPr>
          <w:rFonts w:hint="eastAsia" w:ascii="宋体" w:hAnsi="宋体"/>
          <w:b/>
          <w:sz w:val="32"/>
          <w:szCs w:val="32"/>
          <w:u w:val="single"/>
        </w:rPr>
        <w:t xml:space="preserve">    </w:t>
      </w:r>
    </w:p>
    <w:p>
      <w:pPr>
        <w:keepNext w:val="0"/>
        <w:keepLines w:val="0"/>
        <w:pageBreakBefore w:val="0"/>
        <w:widowControl w:val="0"/>
        <w:wordWrap/>
        <w:topLinePunct w:val="0"/>
        <w:bidi w:val="0"/>
        <w:adjustRightInd w:val="0"/>
        <w:snapToGrid w:val="0"/>
        <w:spacing w:line="560" w:lineRule="exact"/>
        <w:textAlignment w:val="auto"/>
        <w:rPr>
          <w:rFonts w:hint="eastAsia" w:ascii="仿宋_GB2312" w:eastAsia="仿宋_GB2312"/>
          <w:sz w:val="32"/>
          <w:szCs w:val="32"/>
          <w:u w:val="single"/>
          <w:lang w:val="en-US" w:eastAsia="zh-CN"/>
        </w:rPr>
      </w:pPr>
      <w:r>
        <w:rPr>
          <w:rFonts w:hint="eastAsia" w:ascii="仿宋_GB2312" w:eastAsia="仿宋_GB2312"/>
          <w:sz w:val="32"/>
          <w:szCs w:val="32"/>
          <w:u w:val="single"/>
        </w:rPr>
        <w:t>阜平县发展改革</w:t>
      </w:r>
      <w:r>
        <w:rPr>
          <w:rFonts w:hint="eastAsia" w:ascii="仿宋_GB2312" w:eastAsia="仿宋_GB2312"/>
          <w:sz w:val="32"/>
          <w:szCs w:val="32"/>
          <w:u w:val="single"/>
          <w:lang w:val="en-US" w:eastAsia="zh-CN"/>
        </w:rPr>
        <w:t>和科学技术</w:t>
      </w:r>
      <w:r>
        <w:rPr>
          <w:rFonts w:hint="eastAsia" w:ascii="仿宋_GB2312" w:eastAsia="仿宋_GB2312"/>
          <w:sz w:val="32"/>
          <w:szCs w:val="32"/>
          <w:u w:val="single"/>
        </w:rPr>
        <w:t>局       202</w:t>
      </w:r>
      <w:r>
        <w:rPr>
          <w:rFonts w:hint="eastAsia" w:ascii="仿宋_GB2312" w:eastAsia="仿宋_GB2312"/>
          <w:sz w:val="32"/>
          <w:szCs w:val="32"/>
          <w:u w:val="single"/>
          <w:lang w:val="en-US" w:eastAsia="zh-CN"/>
        </w:rPr>
        <w:t>5</w:t>
      </w:r>
      <w:r>
        <w:rPr>
          <w:rFonts w:hint="eastAsia" w:ascii="仿宋_GB2312" w:eastAsia="仿宋_GB2312"/>
          <w:sz w:val="32"/>
          <w:szCs w:val="32"/>
          <w:u w:val="single"/>
        </w:rPr>
        <w:t>年</w:t>
      </w:r>
      <w:r>
        <w:rPr>
          <w:rFonts w:hint="eastAsia" w:ascii="仿宋_GB2312" w:eastAsia="仿宋_GB2312"/>
          <w:sz w:val="32"/>
          <w:szCs w:val="32"/>
          <w:u w:val="single"/>
          <w:lang w:val="en-US" w:eastAsia="zh-CN"/>
        </w:rPr>
        <w:t>3</w:t>
      </w:r>
      <w:r>
        <w:rPr>
          <w:rFonts w:hint="eastAsia" w:ascii="仿宋_GB2312" w:eastAsia="仿宋_GB2312"/>
          <w:sz w:val="32"/>
          <w:szCs w:val="32"/>
          <w:u w:val="single"/>
        </w:rPr>
        <w:t>月</w:t>
      </w:r>
      <w:r>
        <w:rPr>
          <w:rFonts w:hint="eastAsia" w:ascii="仿宋_GB2312" w:eastAsia="仿宋_GB2312"/>
          <w:sz w:val="32"/>
          <w:szCs w:val="32"/>
          <w:u w:val="single"/>
          <w:lang w:val="en-US" w:eastAsia="zh-CN"/>
        </w:rPr>
        <w:t>19</w:t>
      </w:r>
      <w:r>
        <w:rPr>
          <w:rFonts w:hint="eastAsia" w:ascii="仿宋_GB2312" w:eastAsia="仿宋_GB2312"/>
          <w:sz w:val="32"/>
          <w:szCs w:val="32"/>
          <w:u w:val="single"/>
        </w:rPr>
        <w:t xml:space="preserve">日印发 </w:t>
      </w:r>
      <w:r>
        <w:rPr>
          <w:rFonts w:hint="eastAsia" w:ascii="仿宋_GB2312" w:eastAsia="仿宋_GB2312"/>
          <w:sz w:val="32"/>
          <w:szCs w:val="32"/>
          <w:u w:val="single"/>
          <w:lang w:val="en-US" w:eastAsia="zh-CN"/>
        </w:rPr>
        <w:t xml:space="preserve"> </w:t>
      </w:r>
    </w:p>
    <w:p>
      <w:pPr>
        <w:keepNext w:val="0"/>
        <w:keepLines w:val="0"/>
        <w:pageBreakBefore w:val="0"/>
        <w:widowControl w:val="0"/>
        <w:wordWrap/>
        <w:topLinePunct w:val="0"/>
        <w:bidi w:val="0"/>
        <w:adjustRightInd w:val="0"/>
        <w:snapToGrid w:val="0"/>
        <w:spacing w:line="560" w:lineRule="exact"/>
        <w:textAlignment w:val="auto"/>
        <w:rPr>
          <w:rFonts w:hint="eastAsia" w:ascii="仿宋_GB2312" w:eastAsia="仿宋_GB2312"/>
          <w:sz w:val="32"/>
          <w:szCs w:val="32"/>
          <w:u w:val="single"/>
          <w:lang w:val="en-US" w:eastAsia="zh-CN"/>
        </w:rPr>
      </w:pPr>
    </w:p>
    <w:p>
      <w:pPr>
        <w:pStyle w:val="13"/>
        <w:rPr>
          <w:rFonts w:hint="eastAsia"/>
        </w:rPr>
      </w:pPr>
    </w:p>
    <w:sectPr>
      <w:headerReference r:id="rId3" w:type="default"/>
      <w:footerReference r:id="rId4" w:type="default"/>
      <w:footerReference r:id="rId5" w:type="even"/>
      <w:pgSz w:w="11906" w:h="16838"/>
      <w:pgMar w:top="1588" w:right="1489"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-85725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eastAsia="仿宋_GB2312"/>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6.75pt;height:144pt;width:144pt;mso-position-horizontal:outside;mso-position-horizontal-relative:margin;mso-wrap-style:none;z-index:251659264;mso-width-relative:page;mso-height-relative:page;" filled="f" stroked="f" coordsize="21600,21600" o:gfxdata="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WcMzdUAAAAIAQAADwAAAAAAAAABACAAAAAiAAAAZHJzL2Rvd25y&#10;ZXYueG1sUEsBAhQAFAAAAAgAh07iQCWTNKnIAQAAmQMAAA4AAAAAAAAAAQAgAAAAJAEAAGRycy9l&#10;Mm9Eb2MueG1sUEsFBgAAAAAGAAYAWQEAAF4FAAAAAA==&#10;">
              <v:fill on="f" focussize="0,0"/>
              <v:stroke on="f"/>
              <v:imagedata o:title=""/>
              <o:lock v:ext="edit" aspectratio="f"/>
              <v:textbox inset="0mm,0mm,0mm,0mm" style="mso-fit-shape-to-text:t;">
                <w:txbxContent>
                  <w:p>
                    <w:pPr>
                      <w:pStyle w:val="5"/>
                      <w:rPr>
                        <w:rFonts w:hint="eastAsia" w:eastAsia="仿宋_GB2312"/>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fldChar w:fldCharType="begin"/>
    </w:r>
    <w:r>
      <w:rPr>
        <w:rStyle w:val="11"/>
      </w:rPr>
      <w:instrText xml:space="preserve">PAGE  </w:instrText>
    </w:r>
    <w: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5YmQyN2Q1N2E3Yzc1YWI0Zjk1MTU0YjJiM2Q1ZWMifQ=="/>
  </w:docVars>
  <w:rsids>
    <w:rsidRoot w:val="0052420F"/>
    <w:rsid w:val="00007661"/>
    <w:rsid w:val="00023340"/>
    <w:rsid w:val="00025998"/>
    <w:rsid w:val="00031738"/>
    <w:rsid w:val="0003190C"/>
    <w:rsid w:val="00041D6E"/>
    <w:rsid w:val="00045B88"/>
    <w:rsid w:val="000476BD"/>
    <w:rsid w:val="00056DC9"/>
    <w:rsid w:val="00070A9B"/>
    <w:rsid w:val="00085F4B"/>
    <w:rsid w:val="000919A9"/>
    <w:rsid w:val="000933A2"/>
    <w:rsid w:val="00096CB8"/>
    <w:rsid w:val="000A32C8"/>
    <w:rsid w:val="000A3EC9"/>
    <w:rsid w:val="000A507A"/>
    <w:rsid w:val="000C3E21"/>
    <w:rsid w:val="000D1151"/>
    <w:rsid w:val="000E3C77"/>
    <w:rsid w:val="000E411E"/>
    <w:rsid w:val="000E6C26"/>
    <w:rsid w:val="000F3072"/>
    <w:rsid w:val="000F6942"/>
    <w:rsid w:val="00100AC4"/>
    <w:rsid w:val="00112F74"/>
    <w:rsid w:val="00113A7E"/>
    <w:rsid w:val="001346D9"/>
    <w:rsid w:val="00134B22"/>
    <w:rsid w:val="00141471"/>
    <w:rsid w:val="00145BC1"/>
    <w:rsid w:val="001709ED"/>
    <w:rsid w:val="00180802"/>
    <w:rsid w:val="00183729"/>
    <w:rsid w:val="0018706A"/>
    <w:rsid w:val="00187300"/>
    <w:rsid w:val="001964DC"/>
    <w:rsid w:val="001B2798"/>
    <w:rsid w:val="001B7425"/>
    <w:rsid w:val="001C7BF9"/>
    <w:rsid w:val="001D0FF1"/>
    <w:rsid w:val="001D1329"/>
    <w:rsid w:val="001D3C28"/>
    <w:rsid w:val="001E0012"/>
    <w:rsid w:val="001E50A4"/>
    <w:rsid w:val="001E727A"/>
    <w:rsid w:val="00201425"/>
    <w:rsid w:val="002052AF"/>
    <w:rsid w:val="002108DC"/>
    <w:rsid w:val="00211BAE"/>
    <w:rsid w:val="00216FB0"/>
    <w:rsid w:val="002245FA"/>
    <w:rsid w:val="002338A7"/>
    <w:rsid w:val="002434B2"/>
    <w:rsid w:val="00245514"/>
    <w:rsid w:val="00255177"/>
    <w:rsid w:val="00260FF2"/>
    <w:rsid w:val="0026104D"/>
    <w:rsid w:val="00262C7D"/>
    <w:rsid w:val="002861CA"/>
    <w:rsid w:val="002A571D"/>
    <w:rsid w:val="002A7E8B"/>
    <w:rsid w:val="002B72E5"/>
    <w:rsid w:val="002C3447"/>
    <w:rsid w:val="002C6AE7"/>
    <w:rsid w:val="002D6F39"/>
    <w:rsid w:val="002D72DD"/>
    <w:rsid w:val="002F0361"/>
    <w:rsid w:val="00302FA3"/>
    <w:rsid w:val="00304657"/>
    <w:rsid w:val="003063F3"/>
    <w:rsid w:val="00310513"/>
    <w:rsid w:val="00322CE4"/>
    <w:rsid w:val="00323F74"/>
    <w:rsid w:val="00331F65"/>
    <w:rsid w:val="00352BB9"/>
    <w:rsid w:val="00363B3A"/>
    <w:rsid w:val="0036652C"/>
    <w:rsid w:val="003725C1"/>
    <w:rsid w:val="00374A93"/>
    <w:rsid w:val="0037538C"/>
    <w:rsid w:val="00385B0E"/>
    <w:rsid w:val="003A637E"/>
    <w:rsid w:val="003C5D83"/>
    <w:rsid w:val="003D5C37"/>
    <w:rsid w:val="003F5082"/>
    <w:rsid w:val="004020EC"/>
    <w:rsid w:val="004144BE"/>
    <w:rsid w:val="00433D88"/>
    <w:rsid w:val="00435697"/>
    <w:rsid w:val="00444465"/>
    <w:rsid w:val="00444918"/>
    <w:rsid w:val="00445CBE"/>
    <w:rsid w:val="00453957"/>
    <w:rsid w:val="00476F36"/>
    <w:rsid w:val="00481104"/>
    <w:rsid w:val="00481E8E"/>
    <w:rsid w:val="00483899"/>
    <w:rsid w:val="00495093"/>
    <w:rsid w:val="004A02DA"/>
    <w:rsid w:val="004A4FAE"/>
    <w:rsid w:val="004B62DF"/>
    <w:rsid w:val="004D1517"/>
    <w:rsid w:val="004D318D"/>
    <w:rsid w:val="004D5F92"/>
    <w:rsid w:val="004E1923"/>
    <w:rsid w:val="004F47C1"/>
    <w:rsid w:val="004F542A"/>
    <w:rsid w:val="005077FE"/>
    <w:rsid w:val="005105EF"/>
    <w:rsid w:val="0052420F"/>
    <w:rsid w:val="00525CC4"/>
    <w:rsid w:val="005276C0"/>
    <w:rsid w:val="00527C87"/>
    <w:rsid w:val="00532509"/>
    <w:rsid w:val="00532513"/>
    <w:rsid w:val="005337FD"/>
    <w:rsid w:val="00537302"/>
    <w:rsid w:val="00542E97"/>
    <w:rsid w:val="00564B6D"/>
    <w:rsid w:val="00566E27"/>
    <w:rsid w:val="005678EB"/>
    <w:rsid w:val="00571ACA"/>
    <w:rsid w:val="005753AA"/>
    <w:rsid w:val="00583547"/>
    <w:rsid w:val="00587F8C"/>
    <w:rsid w:val="00593CF2"/>
    <w:rsid w:val="005B455F"/>
    <w:rsid w:val="005C498F"/>
    <w:rsid w:val="005D2E9C"/>
    <w:rsid w:val="005D47F1"/>
    <w:rsid w:val="005E0513"/>
    <w:rsid w:val="005E43D9"/>
    <w:rsid w:val="005E4DC0"/>
    <w:rsid w:val="005F3615"/>
    <w:rsid w:val="006040A9"/>
    <w:rsid w:val="00611D1D"/>
    <w:rsid w:val="00626DA9"/>
    <w:rsid w:val="00627B82"/>
    <w:rsid w:val="00631313"/>
    <w:rsid w:val="00643250"/>
    <w:rsid w:val="00645C7A"/>
    <w:rsid w:val="00663A9F"/>
    <w:rsid w:val="00667584"/>
    <w:rsid w:val="0067742C"/>
    <w:rsid w:val="006871AB"/>
    <w:rsid w:val="00690D1D"/>
    <w:rsid w:val="006A43E6"/>
    <w:rsid w:val="006B3A26"/>
    <w:rsid w:val="006C0A0B"/>
    <w:rsid w:val="006C2106"/>
    <w:rsid w:val="006C2C7F"/>
    <w:rsid w:val="006C3A50"/>
    <w:rsid w:val="006D1205"/>
    <w:rsid w:val="006D4AC1"/>
    <w:rsid w:val="006D552C"/>
    <w:rsid w:val="006D5D73"/>
    <w:rsid w:val="006E49FF"/>
    <w:rsid w:val="006F45CA"/>
    <w:rsid w:val="00701E9E"/>
    <w:rsid w:val="00711E56"/>
    <w:rsid w:val="0072351C"/>
    <w:rsid w:val="00724FEF"/>
    <w:rsid w:val="00725F04"/>
    <w:rsid w:val="0072609D"/>
    <w:rsid w:val="00737D61"/>
    <w:rsid w:val="0074756A"/>
    <w:rsid w:val="0075358C"/>
    <w:rsid w:val="007555E8"/>
    <w:rsid w:val="00755ECB"/>
    <w:rsid w:val="007628B2"/>
    <w:rsid w:val="00766094"/>
    <w:rsid w:val="00772692"/>
    <w:rsid w:val="00776083"/>
    <w:rsid w:val="00787D25"/>
    <w:rsid w:val="00794D4D"/>
    <w:rsid w:val="007A2287"/>
    <w:rsid w:val="007B7A7E"/>
    <w:rsid w:val="007C5D59"/>
    <w:rsid w:val="007D7B0F"/>
    <w:rsid w:val="007F03E5"/>
    <w:rsid w:val="007F3588"/>
    <w:rsid w:val="008147B2"/>
    <w:rsid w:val="00827719"/>
    <w:rsid w:val="008339CD"/>
    <w:rsid w:val="00837625"/>
    <w:rsid w:val="00860FF3"/>
    <w:rsid w:val="0086208A"/>
    <w:rsid w:val="00864A5D"/>
    <w:rsid w:val="00870E75"/>
    <w:rsid w:val="00882AA9"/>
    <w:rsid w:val="00882F2D"/>
    <w:rsid w:val="008869EC"/>
    <w:rsid w:val="008A1085"/>
    <w:rsid w:val="008B3662"/>
    <w:rsid w:val="008B6D28"/>
    <w:rsid w:val="008C52A9"/>
    <w:rsid w:val="008C7602"/>
    <w:rsid w:val="008D37AA"/>
    <w:rsid w:val="008E12D0"/>
    <w:rsid w:val="008E1F04"/>
    <w:rsid w:val="008E46EB"/>
    <w:rsid w:val="008E70A8"/>
    <w:rsid w:val="008F2736"/>
    <w:rsid w:val="008F34DC"/>
    <w:rsid w:val="00903919"/>
    <w:rsid w:val="0093090D"/>
    <w:rsid w:val="00933F14"/>
    <w:rsid w:val="00941E21"/>
    <w:rsid w:val="00973C46"/>
    <w:rsid w:val="009931DC"/>
    <w:rsid w:val="009B6D1C"/>
    <w:rsid w:val="009B7B34"/>
    <w:rsid w:val="009D0CC0"/>
    <w:rsid w:val="009D21E3"/>
    <w:rsid w:val="009E017A"/>
    <w:rsid w:val="009E37E0"/>
    <w:rsid w:val="009E4B76"/>
    <w:rsid w:val="009E5102"/>
    <w:rsid w:val="009F15ED"/>
    <w:rsid w:val="009F211B"/>
    <w:rsid w:val="00A148D6"/>
    <w:rsid w:val="00A14972"/>
    <w:rsid w:val="00A23CC0"/>
    <w:rsid w:val="00A44210"/>
    <w:rsid w:val="00A52775"/>
    <w:rsid w:val="00A55EAF"/>
    <w:rsid w:val="00A60AD4"/>
    <w:rsid w:val="00A61DDA"/>
    <w:rsid w:val="00A625B4"/>
    <w:rsid w:val="00A7358B"/>
    <w:rsid w:val="00A81B75"/>
    <w:rsid w:val="00A85490"/>
    <w:rsid w:val="00A85D74"/>
    <w:rsid w:val="00A919F7"/>
    <w:rsid w:val="00AA31F7"/>
    <w:rsid w:val="00AB2CC9"/>
    <w:rsid w:val="00AB4A77"/>
    <w:rsid w:val="00AC728D"/>
    <w:rsid w:val="00AD64B5"/>
    <w:rsid w:val="00AD79FF"/>
    <w:rsid w:val="00AF0F93"/>
    <w:rsid w:val="00AF2856"/>
    <w:rsid w:val="00AF31B7"/>
    <w:rsid w:val="00B01273"/>
    <w:rsid w:val="00B05BCF"/>
    <w:rsid w:val="00B123A9"/>
    <w:rsid w:val="00B17C4D"/>
    <w:rsid w:val="00B212F1"/>
    <w:rsid w:val="00B36BA0"/>
    <w:rsid w:val="00B540FD"/>
    <w:rsid w:val="00B629E0"/>
    <w:rsid w:val="00B65E10"/>
    <w:rsid w:val="00B665DA"/>
    <w:rsid w:val="00B9401D"/>
    <w:rsid w:val="00B94E1A"/>
    <w:rsid w:val="00BB084D"/>
    <w:rsid w:val="00BB2EDD"/>
    <w:rsid w:val="00BB4653"/>
    <w:rsid w:val="00BB6A07"/>
    <w:rsid w:val="00BC2EF8"/>
    <w:rsid w:val="00BC3A81"/>
    <w:rsid w:val="00BC6027"/>
    <w:rsid w:val="00BD1798"/>
    <w:rsid w:val="00BE0AC1"/>
    <w:rsid w:val="00BE4BF1"/>
    <w:rsid w:val="00BF1B80"/>
    <w:rsid w:val="00C024AC"/>
    <w:rsid w:val="00C237B4"/>
    <w:rsid w:val="00C25E7A"/>
    <w:rsid w:val="00C40441"/>
    <w:rsid w:val="00C55B5E"/>
    <w:rsid w:val="00C651E3"/>
    <w:rsid w:val="00C760E1"/>
    <w:rsid w:val="00C76516"/>
    <w:rsid w:val="00C92518"/>
    <w:rsid w:val="00C95B57"/>
    <w:rsid w:val="00CA1E37"/>
    <w:rsid w:val="00CA29C2"/>
    <w:rsid w:val="00CB34B3"/>
    <w:rsid w:val="00CC225A"/>
    <w:rsid w:val="00CC402E"/>
    <w:rsid w:val="00CE1A5B"/>
    <w:rsid w:val="00CE799D"/>
    <w:rsid w:val="00CE7A4E"/>
    <w:rsid w:val="00CF0AEA"/>
    <w:rsid w:val="00CF20A6"/>
    <w:rsid w:val="00D06CB6"/>
    <w:rsid w:val="00D14E9F"/>
    <w:rsid w:val="00D17055"/>
    <w:rsid w:val="00D30CAA"/>
    <w:rsid w:val="00D354BE"/>
    <w:rsid w:val="00D356F1"/>
    <w:rsid w:val="00D37F97"/>
    <w:rsid w:val="00D4679B"/>
    <w:rsid w:val="00D50118"/>
    <w:rsid w:val="00D50E47"/>
    <w:rsid w:val="00D55BE7"/>
    <w:rsid w:val="00D5772A"/>
    <w:rsid w:val="00D720BB"/>
    <w:rsid w:val="00D7530E"/>
    <w:rsid w:val="00D77032"/>
    <w:rsid w:val="00D81128"/>
    <w:rsid w:val="00DA117A"/>
    <w:rsid w:val="00DA2F88"/>
    <w:rsid w:val="00DB6A8C"/>
    <w:rsid w:val="00DD22F5"/>
    <w:rsid w:val="00DD32CA"/>
    <w:rsid w:val="00DE05DC"/>
    <w:rsid w:val="00DE0B61"/>
    <w:rsid w:val="00E16FD3"/>
    <w:rsid w:val="00E23D3F"/>
    <w:rsid w:val="00E3460C"/>
    <w:rsid w:val="00E420BB"/>
    <w:rsid w:val="00E471FE"/>
    <w:rsid w:val="00E47A0F"/>
    <w:rsid w:val="00E57BCA"/>
    <w:rsid w:val="00E6079F"/>
    <w:rsid w:val="00E76707"/>
    <w:rsid w:val="00E81CA3"/>
    <w:rsid w:val="00E828DC"/>
    <w:rsid w:val="00EA706B"/>
    <w:rsid w:val="00EB2CD8"/>
    <w:rsid w:val="00EB7890"/>
    <w:rsid w:val="00ED74BD"/>
    <w:rsid w:val="00EE0CF6"/>
    <w:rsid w:val="00EE10F8"/>
    <w:rsid w:val="00EE47A9"/>
    <w:rsid w:val="00EE5976"/>
    <w:rsid w:val="00EE740B"/>
    <w:rsid w:val="00EF7E7B"/>
    <w:rsid w:val="00F04C6F"/>
    <w:rsid w:val="00F05E24"/>
    <w:rsid w:val="00F1268E"/>
    <w:rsid w:val="00F13010"/>
    <w:rsid w:val="00F14916"/>
    <w:rsid w:val="00F5023C"/>
    <w:rsid w:val="00F51D82"/>
    <w:rsid w:val="00F52F76"/>
    <w:rsid w:val="00F54FFA"/>
    <w:rsid w:val="00F67058"/>
    <w:rsid w:val="00F814B1"/>
    <w:rsid w:val="00F8771B"/>
    <w:rsid w:val="00FA3DCB"/>
    <w:rsid w:val="00FA42CF"/>
    <w:rsid w:val="00FA46A7"/>
    <w:rsid w:val="00FA7B31"/>
    <w:rsid w:val="00FB7CFA"/>
    <w:rsid w:val="00FC0EE7"/>
    <w:rsid w:val="00FC2AE1"/>
    <w:rsid w:val="00FC684E"/>
    <w:rsid w:val="00FC6BCF"/>
    <w:rsid w:val="022735D0"/>
    <w:rsid w:val="03905C96"/>
    <w:rsid w:val="09C4144F"/>
    <w:rsid w:val="0B704F60"/>
    <w:rsid w:val="0C5D5361"/>
    <w:rsid w:val="13A00189"/>
    <w:rsid w:val="144C542A"/>
    <w:rsid w:val="14E67B3B"/>
    <w:rsid w:val="15F47A1C"/>
    <w:rsid w:val="17F85B0E"/>
    <w:rsid w:val="1C4B760F"/>
    <w:rsid w:val="1D4037D6"/>
    <w:rsid w:val="1F124882"/>
    <w:rsid w:val="22837EB5"/>
    <w:rsid w:val="22F14378"/>
    <w:rsid w:val="23604795"/>
    <w:rsid w:val="29E14FDF"/>
    <w:rsid w:val="2CF70F05"/>
    <w:rsid w:val="2E516CA5"/>
    <w:rsid w:val="32510CD2"/>
    <w:rsid w:val="32D501F4"/>
    <w:rsid w:val="34D81854"/>
    <w:rsid w:val="3A93683A"/>
    <w:rsid w:val="3DFC1CDF"/>
    <w:rsid w:val="3FF50CAF"/>
    <w:rsid w:val="40812526"/>
    <w:rsid w:val="41100A5E"/>
    <w:rsid w:val="48014167"/>
    <w:rsid w:val="4CE05D27"/>
    <w:rsid w:val="539B45ED"/>
    <w:rsid w:val="540F1D18"/>
    <w:rsid w:val="586D3191"/>
    <w:rsid w:val="58FA3F6A"/>
    <w:rsid w:val="5CBE185C"/>
    <w:rsid w:val="67346877"/>
    <w:rsid w:val="68642E23"/>
    <w:rsid w:val="6A151375"/>
    <w:rsid w:val="6A7333D6"/>
    <w:rsid w:val="6D721FF9"/>
    <w:rsid w:val="70EB46E9"/>
    <w:rsid w:val="78AE49C4"/>
    <w:rsid w:val="7C3675C2"/>
    <w:rsid w:val="7C9F39F8"/>
    <w:rsid w:val="7CA04BF0"/>
    <w:rsid w:val="7D77608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uiPriority w:val="0"/>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2">
    <w:name w:val="Body Text"/>
    <w:basedOn w:val="1"/>
    <w:qFormat/>
    <w:uiPriority w:val="1"/>
    <w:pPr>
      <w:autoSpaceDE w:val="0"/>
      <w:autoSpaceDN w:val="0"/>
      <w:adjustRightInd w:val="0"/>
      <w:ind w:left="108"/>
      <w:jc w:val="left"/>
    </w:pPr>
    <w:rPr>
      <w:rFonts w:ascii="宋体" w:cs="宋体"/>
      <w:kern w:val="0"/>
      <w:sz w:val="32"/>
      <w:szCs w:val="32"/>
    </w:r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2"/>
    <w:basedOn w:val="1"/>
    <w:next w:val="1"/>
    <w:unhideWhenUsed/>
    <w:qFormat/>
    <w:uiPriority w:val="39"/>
    <w:pPr>
      <w:ind w:left="420" w:leftChars="200"/>
    </w:pPr>
  </w:style>
  <w:style w:type="paragraph" w:styleId="8">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11">
    <w:name w:val="page number"/>
    <w:basedOn w:val="10"/>
    <w:qFormat/>
    <w:uiPriority w:val="0"/>
  </w:style>
  <w:style w:type="character" w:styleId="12">
    <w:name w:val="Hyperlink"/>
    <w:basedOn w:val="10"/>
    <w:qFormat/>
    <w:uiPriority w:val="0"/>
    <w:rPr>
      <w:color w:val="262626"/>
      <w:u w:val="none"/>
    </w:rPr>
  </w:style>
  <w:style w:type="paragraph" w:customStyle="1" w:styleId="13">
    <w:name w:val="Heading3"/>
    <w:basedOn w:val="1"/>
    <w:next w:val="1"/>
    <w:qFormat/>
    <w:uiPriority w:val="99"/>
    <w:pPr>
      <w:keepNext/>
      <w:keepLines/>
      <w:spacing w:line="560" w:lineRule="exact"/>
      <w:textAlignment w:val="baseline"/>
    </w:pPr>
    <w:rPr>
      <w:rFonts w:ascii="Calibri" w:hAnsi="Calibri" w:cs="Calibri"/>
      <w:b/>
      <w:bC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2904</Words>
  <Characters>2931</Characters>
  <Lines>7</Lines>
  <Paragraphs>2</Paragraphs>
  <TotalTime>71</TotalTime>
  <ScaleCrop>false</ScaleCrop>
  <LinksUpToDate>false</LinksUpToDate>
  <CharactersWithSpaces>3095</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2020-01-09T06:28:00Z</dcterms:created>
  <dc:creator>微软用户</dc:creator>
  <cp:lastModifiedBy>Administrator</cp:lastModifiedBy>
  <cp:lastPrinted>2025-03-19T08:05:00Z</cp:lastPrinted>
  <dcterms:modified xsi:type="dcterms:W3CDTF">2025-03-19T09:22:20Z</dcterms:modified>
  <dc:title>阜发改[2009]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14208F785E614CB19A1EDFE943B79622_13</vt:lpwstr>
  </property>
  <property fmtid="{D5CDD505-2E9C-101B-9397-08002B2CF9AE}" pid="4" name="KSOTemplateDocerSaveRecord">
    <vt:lpwstr>eyJoZGlkIjoiNTQ5YmQyN2Q1N2E3Yzc1YWI0Zjk1MTU0YjJiM2Q1ZWMiLCJ1c2VySWQiOiIxMDE3NTg4MTUxIn0=</vt:lpwstr>
  </property>
</Properties>
</file>