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F768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阜平县医疗保障局</w:t>
      </w:r>
    </w:p>
    <w:p w14:paraId="70EC902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</w:rPr>
        <w:t>年政府信息公开工作年度报告</w:t>
      </w:r>
    </w:p>
    <w:p w14:paraId="541F0AB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  <w:t>总体情况</w:t>
      </w:r>
    </w:p>
    <w:p w14:paraId="18366C1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2025年，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深入贯彻落实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《中华人民共和国政府信息公开条例》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，按照上级各项决策部署，围绕医保中心工作，进一步完善公开机制，规范公开内容，拓展公开渠道，依法办理申请，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积极推进政府信息公开工作有序开展。</w:t>
      </w:r>
    </w:p>
    <w:p w14:paraId="4A9C29B5"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jc w:val="both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我单位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严格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按照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上级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要求，通过政府网站等平台，依法公开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医保政策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、基金监管及工作动态等信息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，进一步提高了医保政策的知晓率和医保工作的透明度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主动公开政府信息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条。</w:t>
      </w:r>
    </w:p>
    <w:p w14:paraId="29B4BC1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认真学习贯彻落实上级关于政府信息公开申请办理规范要求，进一步完善公开制度，优化办理流程，高标准高质量推进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医保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信息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公开工作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。2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025年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未收到政府信息公开申请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</w:p>
    <w:p w14:paraId="5691368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我局高度重视政务公开工作，实行“主要领导负责、专人管理”的工作机制，严格执行信息发布“三审三校”等审核制度，并定期开展业务培训，以保障信息的准确与合规。</w:t>
      </w:r>
    </w:p>
    <w:p w14:paraId="4700413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以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推动平台高质量发展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为目标，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定期召开会议研判分析，安排专人专员负责，严格落实运维相关规定，有序推动平台健康运行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。以阜平县医疗保障局微信公众号为基础，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完善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拓展医保业务查询、门诊慢特病办理功能，进一步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政务新媒体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“一键办理”水平。以多渠道宣传为手段，充分利用县政府门户网站政府信息公开平台、阜平发布等权威媒体，主动公开医保动态。2025年共发布政务信息15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9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条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，其中政府网站3条，微信公众号156条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hAnsi="仿宋_GB2312" w:cs="仿宋_GB2312"/>
          <w:b w:val="0"/>
          <w:bCs/>
          <w:color w:val="auto"/>
          <w:spacing w:val="-11"/>
          <w:kern w:val="0"/>
          <w:sz w:val="32"/>
          <w:szCs w:val="32"/>
          <w:highlight w:val="none"/>
          <w:lang w:val="en-US" w:eastAsia="zh-CN" w:bidi="ar-SA"/>
        </w:rPr>
        <w:t>完善由一把手负责的工作机制，进一步细化责任分工，层层压实责任。组织相关人员开展学习培训3次，开展监督检查5次，进一步提高工作监督成效与医保队伍建设。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8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收到和处理政府信息公开申请情况</w:t>
      </w:r>
    </w:p>
    <w:tbl>
      <w:tblPr>
        <w:tblStyle w:val="8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政府信息公开行政复议、行政诉讼情况</w:t>
      </w:r>
    </w:p>
    <w:tbl>
      <w:tblPr>
        <w:tblStyle w:val="8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shd w:val="clea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shd w:val="clear"/>
              <w:rPr>
                <w:rFonts w:hint="eastAsia" w:ascii="宋体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存在的主要问题及改进情况</w:t>
      </w:r>
    </w:p>
    <w:p w14:paraId="2503C09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年，我局信息公开工作取得了一定成效，但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对照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上级领导要求还有一定差距，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主要表现在政策解读形式单一，多为原文件转载，政策解读效果不佳。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下步工作中我局将围绕以下几个方面再次努力：</w:t>
      </w:r>
    </w:p>
    <w:p w14:paraId="5C1713B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b/>
          <w:bCs/>
          <w:color w:val="auto"/>
          <w:lang w:eastAsia="zh-CN"/>
        </w:rPr>
        <w:t>一是</w:t>
      </w:r>
      <w:r>
        <w:rPr>
          <w:rFonts w:hint="eastAsia"/>
          <w:b/>
          <w:bCs/>
          <w:color w:val="auto"/>
        </w:rPr>
        <w:t>创新解读形式</w:t>
      </w:r>
      <w:r>
        <w:rPr>
          <w:rFonts w:hint="eastAsia"/>
          <w:b/>
          <w:bCs/>
          <w:color w:val="auto"/>
          <w:lang w:eastAsia="zh-CN"/>
        </w:rPr>
        <w:t>，</w:t>
      </w:r>
      <w:r>
        <w:rPr>
          <w:rFonts w:hint="eastAsia"/>
          <w:b/>
          <w:bCs/>
          <w:color w:val="auto"/>
        </w:rPr>
        <w:t>变“文件语”为“家常话”</w:t>
      </w:r>
      <w:r>
        <w:rPr>
          <w:rFonts w:hint="eastAsia"/>
          <w:b/>
          <w:bCs/>
          <w:color w:va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加强信息的收集、整理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,以</w:t>
      </w:r>
      <w:r>
        <w:rPr>
          <w:rFonts w:hint="eastAsia"/>
          <w:color w:val="auto"/>
          <w:lang w:eastAsia="zh-CN"/>
        </w:rPr>
        <w:t>漫画、图文、视频等形式常态化开展解读，进一步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提高公众对医保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政策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的知晓率。</w:t>
      </w:r>
    </w:p>
    <w:p w14:paraId="04F6A6A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b/>
          <w:bCs/>
          <w:color w:val="auto"/>
          <w:lang w:eastAsia="zh-CN"/>
        </w:rPr>
        <w:t>二是拓宽发布渠道，由“单一性”变“多渠道”。</w:t>
      </w:r>
      <w:r>
        <w:rPr>
          <w:rFonts w:hint="eastAsia"/>
          <w:color w:val="auto"/>
          <w:lang w:eastAsia="zh-CN"/>
        </w:rPr>
        <w:t>线上加强政务新媒体运维，除政府网站专栏外，重点运营微信公众号、社群等平台。线下推进政策“六进”，在医院、医保窗口设置解读专栏。</w:t>
      </w:r>
    </w:p>
    <w:p w14:paraId="5CEF63BE">
      <w:pPr>
        <w:pStyle w:val="2"/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b/>
          <w:bCs/>
          <w:color w:val="auto"/>
          <w:lang w:eastAsia="zh-CN"/>
        </w:rPr>
        <w:t>三是健全工作机制，从“偶发性”到“常态化”。</w:t>
      </w:r>
      <w:r>
        <w:rPr>
          <w:rFonts w:hint="eastAsia"/>
          <w:color w:val="auto"/>
          <w:lang w:eastAsia="zh-CN"/>
        </w:rPr>
        <w:t>将多元化解读纳入年度政务公开工作要点。建立 “政策解读与宣传”联动机制，确保政策出台时同步制作解读材料。</w:t>
      </w:r>
    </w:p>
    <w:p w14:paraId="6A7CE99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六、其他需要报告的事项</w:t>
      </w:r>
    </w:p>
    <w:p w14:paraId="2921BA3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p w14:paraId="5AF6A3B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/>
          <w:color w:val="auto"/>
          <w:lang w:val="en-US" w:eastAsia="zh-CN"/>
        </w:rPr>
      </w:pPr>
    </w:p>
    <w:sectPr>
      <w:footerReference r:id="rId3" w:type="default"/>
      <w:pgSz w:w="11906" w:h="16838"/>
      <w:pgMar w:top="1984" w:right="1474" w:bottom="1701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55870C4"/>
    <w:rsid w:val="26B5A241"/>
    <w:rsid w:val="29477282"/>
    <w:rsid w:val="2E8A0E7B"/>
    <w:rsid w:val="335F4D7C"/>
    <w:rsid w:val="341765DF"/>
    <w:rsid w:val="34B81E6A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1EF5B72"/>
    <w:rsid w:val="42E67D9D"/>
    <w:rsid w:val="42F84FBB"/>
    <w:rsid w:val="43DA9812"/>
    <w:rsid w:val="4D617EE6"/>
    <w:rsid w:val="4D870228"/>
    <w:rsid w:val="4E137BDD"/>
    <w:rsid w:val="50787003"/>
    <w:rsid w:val="53FFD66A"/>
    <w:rsid w:val="541E6540"/>
    <w:rsid w:val="571C05B0"/>
    <w:rsid w:val="58826B32"/>
    <w:rsid w:val="59092E3F"/>
    <w:rsid w:val="591A41F4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A0C3D75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EAB44D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spacing w:before="100" w:beforeAutospacing="1" w:after="100" w:afterAutospacing="1"/>
      <w:ind w:left="200" w:leftChars="200"/>
    </w:p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paragraph" w:styleId="7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customStyle="1" w:styleId="10">
    <w:name w:val="页眉 Char"/>
    <w:basedOn w:val="9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2068</Words>
  <Characters>2121</Characters>
  <Lines>25</Lines>
  <Paragraphs>7</Paragraphs>
  <TotalTime>49</TotalTime>
  <ScaleCrop>false</ScaleCrop>
  <LinksUpToDate>false</LinksUpToDate>
  <CharactersWithSpaces>2126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2020-01-03T11:38:00Z</dcterms:created>
  <dc:creator>小公举</dc:creator>
  <cp:lastModifiedBy>kylinos</cp:lastModifiedBy>
  <cp:lastPrinted>2023-01-12T08:50:00Z</cp:lastPrinted>
  <dcterms:modified xsi:type="dcterms:W3CDTF">2026-03-04T09:10:07Z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C4B3B0569CCD460EA4457B8F5C71CC7D_13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