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color w:val="auto"/>
          <w:spacing w:val="-11"/>
          <w:sz w:val="44"/>
          <w:szCs w:val="44"/>
          <w:lang w:val="en-US" w:eastAsia="zh-CN"/>
        </w:rPr>
      </w:pPr>
      <w:r>
        <w:rPr>
          <w:rFonts w:hint="eastAsia" w:ascii="方正小标宋简体" w:hAnsi="方正小标宋简体" w:eastAsia="方正小标宋简体" w:cs="方正小标宋简体"/>
          <w:b w:val="0"/>
          <w:bCs/>
          <w:color w:val="auto"/>
          <w:spacing w:val="-11"/>
          <w:sz w:val="44"/>
          <w:szCs w:val="44"/>
          <w:lang w:val="en-US" w:eastAsia="zh-CN"/>
        </w:rPr>
        <w:t>阜平县农业农村和水利局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color w:val="000000"/>
          <w:spacing w:val="-11"/>
          <w:sz w:val="44"/>
          <w:szCs w:val="44"/>
        </w:rPr>
      </w:pPr>
      <w:r>
        <w:rPr>
          <w:rFonts w:hint="eastAsia" w:ascii="方正小标宋简体" w:hAnsi="方正小标宋简体" w:eastAsia="方正小标宋简体" w:cs="方正小标宋简体"/>
          <w:b w:val="0"/>
          <w:bCs/>
          <w:color w:val="000000"/>
          <w:spacing w:val="-11"/>
          <w:sz w:val="44"/>
          <w:szCs w:val="44"/>
        </w:rPr>
        <w:t>202</w:t>
      </w:r>
      <w:r>
        <w:rPr>
          <w:rFonts w:hint="eastAsia" w:ascii="方正小标宋简体" w:hAnsi="方正小标宋简体" w:eastAsia="方正小标宋简体" w:cs="方正小标宋简体"/>
          <w:b w:val="0"/>
          <w:bCs/>
          <w:color w:val="000000"/>
          <w:spacing w:val="-11"/>
          <w:sz w:val="44"/>
          <w:szCs w:val="44"/>
          <w:lang w:val="en-US" w:eastAsia="zh-CN"/>
        </w:rPr>
        <w:t>4</w:t>
      </w:r>
      <w:r>
        <w:rPr>
          <w:rFonts w:hint="eastAsia" w:ascii="方正小标宋简体" w:hAnsi="方正小标宋简体" w:eastAsia="方正小标宋简体" w:cs="方正小标宋简体"/>
          <w:b w:val="0"/>
          <w:bCs/>
          <w:color w:val="000000"/>
          <w:spacing w:val="-11"/>
          <w:sz w:val="44"/>
          <w:szCs w:val="44"/>
        </w:rPr>
        <w:t>年政府信息公开工作年度报告</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cs="方正小标宋简体" w:asciiTheme="majorEastAsia" w:hAnsiTheme="majorEastAsia" w:eastAsiaTheme="majorEastAsia"/>
          <w:b/>
          <w:color w:val="000000"/>
          <w:spacing w:val="-11"/>
          <w:sz w:val="36"/>
          <w:szCs w:val="36"/>
        </w:rPr>
      </w:pPr>
    </w:p>
    <w:p>
      <w:pPr>
        <w:keepNext w:val="0"/>
        <w:keepLines w:val="0"/>
        <w:pageBreakBefore w:val="0"/>
        <w:widowControl w:val="0"/>
        <w:kinsoku/>
        <w:wordWrap/>
        <w:overflowPunct/>
        <w:topLinePunct w:val="0"/>
        <w:autoSpaceDE/>
        <w:autoSpaceDN/>
        <w:bidi w:val="0"/>
        <w:adjustRightInd/>
        <w:snapToGrid/>
        <w:spacing w:line="560" w:lineRule="exact"/>
        <w:ind w:firstLine="596" w:firstLineChars="200"/>
        <w:jc w:val="both"/>
        <w:textAlignment w:val="auto"/>
        <w:rPr>
          <w:rFonts w:hint="eastAsia" w:hAnsi="仿宋_GB2312" w:cs="仿宋_GB2312"/>
          <w:b w:val="0"/>
          <w:bCs/>
          <w:color w:val="000000"/>
          <w:spacing w:val="-11"/>
          <w:sz w:val="32"/>
          <w:szCs w:val="32"/>
          <w:lang w:eastAsia="zh-CN"/>
        </w:rPr>
      </w:pPr>
      <w:r>
        <w:rPr>
          <w:rFonts w:hint="eastAsia" w:ascii="仿宋_GB2312" w:hAnsi="仿宋_GB2312" w:eastAsia="仿宋_GB2312" w:cs="仿宋_GB2312"/>
          <w:b w:val="0"/>
          <w:bCs/>
          <w:color w:val="000000"/>
          <w:spacing w:val="-11"/>
          <w:sz w:val="32"/>
          <w:szCs w:val="32"/>
          <w:lang w:eastAsia="zh-CN"/>
        </w:rPr>
        <w:t>根</w:t>
      </w:r>
      <w:r>
        <w:rPr>
          <w:rFonts w:hint="eastAsia" w:ascii="仿宋_GB2312" w:hAnsi="仿宋_GB2312" w:eastAsia="仿宋_GB2312" w:cs="仿宋_GB2312"/>
          <w:b w:val="0"/>
          <w:bCs/>
          <w:color w:val="000000"/>
          <w:spacing w:val="-11"/>
          <w:sz w:val="32"/>
          <w:szCs w:val="32"/>
        </w:rPr>
        <w:t>据《中华人民共和国政府信息公开条例》《</w:t>
      </w:r>
      <w:r>
        <w:rPr>
          <w:rFonts w:hint="eastAsia" w:ascii="仿宋_GB2312" w:hAnsi="仿宋_GB2312" w:eastAsia="仿宋_GB2312" w:cs="仿宋_GB2312"/>
          <w:b w:val="0"/>
          <w:bCs/>
          <w:color w:val="000000"/>
          <w:spacing w:val="-11"/>
          <w:sz w:val="32"/>
          <w:szCs w:val="32"/>
          <w:lang w:eastAsia="zh-CN"/>
        </w:rPr>
        <w:t>河北省实施</w:t>
      </w:r>
      <w:r>
        <w:rPr>
          <w:rFonts w:hint="eastAsia" w:ascii="仿宋_GB2312" w:hAnsi="仿宋_GB2312" w:eastAsia="仿宋_GB2312" w:cs="仿宋_GB2312"/>
          <w:b w:val="0"/>
          <w:bCs/>
          <w:color w:val="000000"/>
          <w:spacing w:val="-11"/>
          <w:sz w:val="32"/>
          <w:szCs w:val="32"/>
          <w:lang w:val="en-US" w:eastAsia="zh-CN"/>
        </w:rPr>
        <w:t xml:space="preserve"> </w:t>
      </w:r>
      <w:r>
        <w:rPr>
          <w:rFonts w:hint="eastAsia" w:ascii="仿宋_GB2312" w:hAnsi="仿宋_GB2312" w:eastAsia="仿宋_GB2312" w:cs="仿宋_GB2312"/>
          <w:b w:val="0"/>
          <w:bCs/>
          <w:color w:val="000000"/>
          <w:spacing w:val="-11"/>
          <w:sz w:val="32"/>
          <w:szCs w:val="32"/>
          <w:lang w:eastAsia="zh-CN"/>
        </w:rPr>
        <w:t>&lt;</w:t>
      </w:r>
      <w:r>
        <w:rPr>
          <w:rFonts w:hint="eastAsia" w:ascii="仿宋_GB2312" w:hAnsi="仿宋_GB2312" w:eastAsia="仿宋_GB2312" w:cs="仿宋_GB2312"/>
          <w:b w:val="0"/>
          <w:bCs/>
          <w:color w:val="000000"/>
          <w:spacing w:val="-11"/>
          <w:sz w:val="32"/>
          <w:szCs w:val="32"/>
        </w:rPr>
        <w:t>中华人民共和国政府信息公开</w:t>
      </w:r>
      <w:r>
        <w:rPr>
          <w:rFonts w:hint="eastAsia" w:ascii="仿宋_GB2312" w:hAnsi="仿宋_GB2312" w:eastAsia="仿宋_GB2312" w:cs="仿宋_GB2312"/>
          <w:b w:val="0"/>
          <w:bCs/>
          <w:color w:val="000000"/>
          <w:spacing w:val="-11"/>
          <w:sz w:val="32"/>
          <w:szCs w:val="32"/>
          <w:lang w:eastAsia="zh-CN"/>
        </w:rPr>
        <w:t>条例</w:t>
      </w:r>
      <w:r>
        <w:rPr>
          <w:rFonts w:hint="eastAsia" w:ascii="仿宋_GB2312" w:hAnsi="仿宋_GB2312" w:eastAsia="仿宋_GB2312" w:cs="仿宋_GB2312"/>
          <w:b w:val="0"/>
          <w:bCs/>
          <w:color w:val="000000"/>
          <w:spacing w:val="-11"/>
          <w:sz w:val="32"/>
          <w:szCs w:val="32"/>
          <w:lang w:val="en-US" w:eastAsia="zh-CN"/>
        </w:rPr>
        <w:t xml:space="preserve"> </w:t>
      </w:r>
      <w:r>
        <w:rPr>
          <w:rFonts w:hint="eastAsia" w:ascii="仿宋_GB2312" w:hAnsi="仿宋_GB2312" w:eastAsia="仿宋_GB2312" w:cs="仿宋_GB2312"/>
          <w:b w:val="0"/>
          <w:bCs/>
          <w:color w:val="000000"/>
          <w:spacing w:val="-11"/>
          <w:sz w:val="32"/>
          <w:szCs w:val="32"/>
          <w:lang w:eastAsia="zh-CN"/>
        </w:rPr>
        <w:t>&gt;</w:t>
      </w:r>
      <w:r>
        <w:rPr>
          <w:rFonts w:hint="eastAsia" w:ascii="仿宋_GB2312" w:hAnsi="仿宋_GB2312" w:eastAsia="仿宋_GB2312" w:cs="仿宋_GB2312"/>
          <w:b w:val="0"/>
          <w:bCs/>
          <w:color w:val="000000"/>
          <w:spacing w:val="-11"/>
          <w:sz w:val="32"/>
          <w:szCs w:val="32"/>
          <w:lang w:val="en-US" w:eastAsia="zh-CN"/>
        </w:rPr>
        <w:t xml:space="preserve"> </w:t>
      </w:r>
      <w:r>
        <w:rPr>
          <w:rFonts w:hint="eastAsia" w:ascii="仿宋_GB2312" w:hAnsi="仿宋_GB2312" w:eastAsia="仿宋_GB2312" w:cs="仿宋_GB2312"/>
          <w:b w:val="0"/>
          <w:bCs/>
          <w:color w:val="000000"/>
          <w:spacing w:val="-11"/>
          <w:sz w:val="32"/>
          <w:szCs w:val="32"/>
          <w:lang w:eastAsia="zh-CN"/>
        </w:rPr>
        <w:t>办法</w:t>
      </w:r>
      <w:r>
        <w:rPr>
          <w:rFonts w:hint="eastAsia" w:ascii="仿宋_GB2312" w:hAnsi="仿宋_GB2312" w:eastAsia="仿宋_GB2312" w:cs="仿宋_GB2312"/>
          <w:b w:val="0"/>
          <w:bCs/>
          <w:color w:val="000000"/>
          <w:spacing w:val="-11"/>
          <w:sz w:val="32"/>
          <w:szCs w:val="32"/>
        </w:rPr>
        <w:t>》</w:t>
      </w:r>
      <w:r>
        <w:rPr>
          <w:rFonts w:hint="eastAsia" w:ascii="仿宋_GB2312" w:hAnsi="仿宋_GB2312" w:eastAsia="仿宋_GB2312" w:cs="仿宋_GB2312"/>
          <w:b w:val="0"/>
          <w:bCs/>
          <w:color w:val="000000"/>
          <w:spacing w:val="-11"/>
          <w:sz w:val="32"/>
          <w:szCs w:val="32"/>
          <w:lang w:eastAsia="zh-CN"/>
        </w:rPr>
        <w:t>等规定，发布本年度报告</w:t>
      </w:r>
      <w:r>
        <w:rPr>
          <w:rFonts w:hint="eastAsia" w:ascii="仿宋_GB2312" w:hAnsi="仿宋_GB2312" w:eastAsia="仿宋_GB2312" w:cs="仿宋_GB2312"/>
          <w:b w:val="0"/>
          <w:bCs/>
          <w:color w:val="000000"/>
          <w:spacing w:val="-11"/>
          <w:sz w:val="32"/>
          <w:szCs w:val="32"/>
        </w:rPr>
        <w:t>。报告中所列数据统计期限</w:t>
      </w:r>
      <w:r>
        <w:rPr>
          <w:rFonts w:hint="eastAsia" w:ascii="仿宋_GB2312" w:hAnsi="仿宋_GB2312" w:eastAsia="仿宋_GB2312" w:cs="仿宋_GB2312"/>
          <w:b w:val="0"/>
          <w:bCs/>
          <w:color w:val="000000"/>
          <w:spacing w:val="-11"/>
          <w:sz w:val="32"/>
          <w:szCs w:val="32"/>
          <w:lang w:eastAsia="zh-CN"/>
        </w:rPr>
        <w:t>为</w:t>
      </w:r>
      <w:r>
        <w:rPr>
          <w:rFonts w:hint="eastAsia" w:ascii="仿宋_GB2312" w:hAnsi="仿宋_GB2312" w:eastAsia="仿宋_GB2312" w:cs="仿宋_GB2312"/>
          <w:b w:val="0"/>
          <w:bCs/>
          <w:color w:val="000000"/>
          <w:spacing w:val="-11"/>
          <w:sz w:val="32"/>
          <w:szCs w:val="32"/>
        </w:rPr>
        <w:t>202</w:t>
      </w:r>
      <w:r>
        <w:rPr>
          <w:rFonts w:hint="eastAsia" w:ascii="仿宋_GB2312" w:hAnsi="仿宋_GB2312" w:eastAsia="仿宋_GB2312" w:cs="仿宋_GB2312"/>
          <w:b w:val="0"/>
          <w:bCs/>
          <w:color w:val="000000"/>
          <w:spacing w:val="-11"/>
          <w:sz w:val="32"/>
          <w:szCs w:val="32"/>
          <w:lang w:val="en-US" w:eastAsia="zh-CN"/>
        </w:rPr>
        <w:t>4</w:t>
      </w:r>
      <w:r>
        <w:rPr>
          <w:rFonts w:hint="eastAsia" w:ascii="仿宋_GB2312" w:hAnsi="仿宋_GB2312" w:eastAsia="仿宋_GB2312" w:cs="仿宋_GB2312"/>
          <w:b w:val="0"/>
          <w:bCs/>
          <w:color w:val="000000"/>
          <w:spacing w:val="-11"/>
          <w:sz w:val="32"/>
          <w:szCs w:val="32"/>
        </w:rPr>
        <w:t>年1月1日至202</w:t>
      </w:r>
      <w:r>
        <w:rPr>
          <w:rFonts w:hint="eastAsia" w:ascii="仿宋_GB2312" w:hAnsi="仿宋_GB2312" w:eastAsia="仿宋_GB2312" w:cs="仿宋_GB2312"/>
          <w:b w:val="0"/>
          <w:bCs/>
          <w:color w:val="000000"/>
          <w:spacing w:val="-11"/>
          <w:sz w:val="32"/>
          <w:szCs w:val="32"/>
          <w:lang w:val="en-US" w:eastAsia="zh-CN"/>
        </w:rPr>
        <w:t>4</w:t>
      </w:r>
      <w:r>
        <w:rPr>
          <w:rFonts w:hint="eastAsia" w:ascii="仿宋_GB2312" w:hAnsi="仿宋_GB2312" w:eastAsia="仿宋_GB2312" w:cs="仿宋_GB2312"/>
          <w:b w:val="0"/>
          <w:bCs/>
          <w:color w:val="000000"/>
          <w:spacing w:val="-11"/>
          <w:sz w:val="32"/>
          <w:szCs w:val="32"/>
        </w:rPr>
        <w:t>年12月31日</w:t>
      </w:r>
      <w:r>
        <w:rPr>
          <w:rFonts w:hint="eastAsia" w:hAnsi="仿宋_GB2312" w:cs="仿宋_GB2312"/>
          <w:b w:val="0"/>
          <w:bCs/>
          <w:color w:val="000000"/>
          <w:spacing w:val="-11"/>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596" w:firstLineChars="200"/>
        <w:jc w:val="both"/>
        <w:textAlignment w:val="auto"/>
        <w:rPr>
          <w:rFonts w:hint="eastAsia" w:ascii="黑体" w:hAnsi="黑体" w:eastAsia="黑体" w:cs="黑体"/>
          <w:b w:val="0"/>
          <w:bCs/>
          <w:color w:val="000000"/>
          <w:spacing w:val="-11"/>
          <w:sz w:val="32"/>
          <w:szCs w:val="32"/>
        </w:rPr>
      </w:pPr>
      <w:r>
        <w:rPr>
          <w:rFonts w:hint="eastAsia" w:ascii="黑体" w:hAnsi="黑体" w:eastAsia="黑体" w:cs="黑体"/>
          <w:b w:val="0"/>
          <w:bCs/>
          <w:color w:val="000000"/>
          <w:spacing w:val="-11"/>
          <w:sz w:val="32"/>
          <w:szCs w:val="32"/>
          <w:lang w:val="en-US" w:eastAsia="zh-CN"/>
        </w:rPr>
        <w:t>一、</w:t>
      </w:r>
      <w:r>
        <w:rPr>
          <w:rFonts w:hint="eastAsia" w:ascii="黑体" w:hAnsi="黑体" w:eastAsia="黑体" w:cs="黑体"/>
          <w:b w:val="0"/>
          <w:bCs/>
          <w:color w:val="000000"/>
          <w:spacing w:val="-11"/>
          <w:sz w:val="32"/>
          <w:szCs w:val="32"/>
        </w:rPr>
        <w:t>总体情况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9" w:firstLineChars="200"/>
        <w:jc w:val="left"/>
        <w:textAlignment w:val="auto"/>
        <w:outlineLvl w:val="1"/>
        <w:rPr>
          <w:rFonts w:hint="eastAsia" w:ascii="仿宋_GB2312" w:hAnsi="仿宋_GB2312" w:eastAsia="仿宋_GB2312" w:cs="仿宋_GB2312"/>
          <w:b w:val="0"/>
          <w:bCs/>
          <w:color w:val="C00000"/>
          <w:spacing w:val="-11"/>
          <w:sz w:val="32"/>
          <w:szCs w:val="32"/>
        </w:rPr>
      </w:pPr>
      <w:r>
        <w:rPr>
          <w:rFonts w:hint="eastAsia" w:ascii="楷体_GB2312" w:hAnsi="楷体_GB2312" w:eastAsia="楷体_GB2312" w:cs="楷体_GB2312"/>
          <w:b/>
          <w:bCs w:val="0"/>
          <w:color w:val="auto"/>
          <w:spacing w:val="-11"/>
          <w:sz w:val="32"/>
          <w:szCs w:val="32"/>
        </w:rPr>
        <w:t>（一）主动公开政府信息情况</w:t>
      </w:r>
      <w:r>
        <w:rPr>
          <w:rFonts w:hint="eastAsia" w:ascii="楷体_GB2312" w:hAnsi="楷体_GB2312" w:eastAsia="楷体_GB2312" w:cs="楷体_GB2312"/>
          <w:b/>
          <w:bCs w:val="0"/>
          <w:color w:val="auto"/>
          <w:spacing w:val="-11"/>
          <w:sz w:val="32"/>
          <w:szCs w:val="32"/>
          <w:lang w:eastAsia="zh-CN"/>
        </w:rPr>
        <w:t>。</w:t>
      </w:r>
      <w:r>
        <w:rPr>
          <w:rFonts w:hint="eastAsia" w:ascii="仿宋_GB2312" w:hAnsi="仿宋_GB2312" w:eastAsia="仿宋_GB2312" w:cs="仿宋_GB2312"/>
          <w:b w:val="0"/>
          <w:bCs/>
          <w:color w:val="auto"/>
          <w:spacing w:val="-11"/>
          <w:sz w:val="32"/>
          <w:szCs w:val="32"/>
        </w:rPr>
        <w:t>我单位按照“决策公开、执行公开、管理公开、服务公开、结果公开”的部署要求，正确执行政府信息主动公开新规定，聚焦公开重点，规范公开方式。全年主动公开</w:t>
      </w:r>
      <w:r>
        <w:rPr>
          <w:rFonts w:hint="eastAsia" w:hAnsi="仿宋_GB2312" w:cs="仿宋_GB2312"/>
          <w:b w:val="0"/>
          <w:bCs/>
          <w:color w:val="auto"/>
          <w:spacing w:val="-11"/>
          <w:sz w:val="32"/>
          <w:szCs w:val="32"/>
          <w:lang w:val="en-US" w:eastAsia="zh-CN"/>
        </w:rPr>
        <w:t>10</w:t>
      </w:r>
      <w:r>
        <w:rPr>
          <w:rFonts w:hint="eastAsia" w:ascii="仿宋_GB2312" w:hAnsi="仿宋_GB2312" w:eastAsia="仿宋_GB2312" w:cs="仿宋_GB2312"/>
          <w:b w:val="0"/>
          <w:bCs/>
          <w:color w:val="auto"/>
          <w:spacing w:val="-11"/>
          <w:sz w:val="32"/>
          <w:szCs w:val="32"/>
        </w:rPr>
        <w:t>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9" w:firstLineChars="200"/>
        <w:jc w:val="left"/>
        <w:textAlignment w:val="auto"/>
        <w:outlineLvl w:val="1"/>
        <w:rPr>
          <w:rFonts w:hint="eastAsia" w:ascii="仿宋_GB2312" w:hAnsi="仿宋_GB2312" w:eastAsia="仿宋_GB2312" w:cs="仿宋_GB2312"/>
          <w:b w:val="0"/>
          <w:bCs/>
          <w:color w:val="C00000"/>
          <w:spacing w:val="-11"/>
          <w:sz w:val="32"/>
          <w:szCs w:val="32"/>
          <w:lang w:val="en-US" w:eastAsia="zh-CN"/>
        </w:rPr>
      </w:pPr>
      <w:r>
        <w:rPr>
          <w:rFonts w:hint="eastAsia" w:ascii="楷体_GB2312" w:hAnsi="楷体_GB2312" w:eastAsia="楷体_GB2312" w:cs="楷体_GB2312"/>
          <w:b/>
          <w:bCs w:val="0"/>
          <w:color w:val="auto"/>
          <w:spacing w:val="-11"/>
          <w:sz w:val="32"/>
          <w:szCs w:val="32"/>
          <w:lang w:eastAsia="zh-CN"/>
        </w:rPr>
        <w:t>（</w:t>
      </w:r>
      <w:r>
        <w:rPr>
          <w:rFonts w:hint="eastAsia" w:ascii="楷体_GB2312" w:hAnsi="楷体_GB2312" w:eastAsia="楷体_GB2312" w:cs="楷体_GB2312"/>
          <w:b/>
          <w:bCs w:val="0"/>
          <w:color w:val="auto"/>
          <w:spacing w:val="-11"/>
          <w:sz w:val="32"/>
          <w:szCs w:val="32"/>
          <w:lang w:val="en-US" w:eastAsia="zh-CN"/>
        </w:rPr>
        <w:t>二</w:t>
      </w:r>
      <w:r>
        <w:rPr>
          <w:rFonts w:hint="eastAsia" w:ascii="楷体_GB2312" w:hAnsi="楷体_GB2312" w:eastAsia="楷体_GB2312" w:cs="楷体_GB2312"/>
          <w:b/>
          <w:bCs w:val="0"/>
          <w:color w:val="auto"/>
          <w:spacing w:val="-11"/>
          <w:sz w:val="32"/>
          <w:szCs w:val="32"/>
          <w:lang w:eastAsia="zh-CN"/>
        </w:rPr>
        <w:t>）</w:t>
      </w:r>
      <w:r>
        <w:rPr>
          <w:rFonts w:hint="eastAsia" w:ascii="楷体_GB2312" w:hAnsi="楷体_GB2312" w:eastAsia="楷体_GB2312" w:cs="楷体_GB2312"/>
          <w:b/>
          <w:bCs w:val="0"/>
          <w:color w:val="auto"/>
          <w:spacing w:val="-11"/>
          <w:sz w:val="32"/>
          <w:szCs w:val="32"/>
        </w:rPr>
        <w:t>依申请公开政府信息情况</w:t>
      </w:r>
      <w:r>
        <w:rPr>
          <w:rFonts w:hint="eastAsia" w:ascii="楷体_GB2312" w:hAnsi="楷体_GB2312" w:eastAsia="楷体_GB2312" w:cs="楷体_GB2312"/>
          <w:b/>
          <w:bCs w:val="0"/>
          <w:color w:val="auto"/>
          <w:spacing w:val="-11"/>
          <w:sz w:val="32"/>
          <w:szCs w:val="32"/>
          <w:lang w:eastAsia="zh-CN"/>
        </w:rPr>
        <w:t>。</w:t>
      </w:r>
      <w:r>
        <w:rPr>
          <w:rFonts w:hint="eastAsia" w:ascii="仿宋_GB2312" w:hAnsi="仿宋_GB2312" w:eastAsia="仿宋_GB2312" w:cs="仿宋_GB2312"/>
          <w:b w:val="0"/>
          <w:bCs/>
          <w:color w:val="auto"/>
          <w:spacing w:val="-11"/>
          <w:sz w:val="32"/>
          <w:szCs w:val="32"/>
          <w:lang w:val="en-US" w:eastAsia="zh-CN"/>
        </w:rPr>
        <w:t>认真贯彻执行《河北省政府信息公开申请办理规范》，建立登记、审核、办理、答复、归档等制度，推行申请办理流程和答复格式文书标准化，力求答复意见合法适当，全面提升办理工作质量。2024年，共收到政府信息公开申请</w:t>
      </w:r>
      <w:r>
        <w:rPr>
          <w:rFonts w:hint="eastAsia" w:hAnsi="仿宋_GB2312" w:cs="仿宋_GB2312"/>
          <w:b w:val="0"/>
          <w:bCs/>
          <w:color w:val="auto"/>
          <w:spacing w:val="-11"/>
          <w:sz w:val="32"/>
          <w:szCs w:val="32"/>
          <w:lang w:val="en-US" w:eastAsia="zh-CN"/>
        </w:rPr>
        <w:t>7</w:t>
      </w:r>
      <w:r>
        <w:rPr>
          <w:rFonts w:hint="eastAsia" w:ascii="仿宋_GB2312" w:hAnsi="仿宋_GB2312" w:eastAsia="仿宋_GB2312" w:cs="仿宋_GB2312"/>
          <w:b w:val="0"/>
          <w:bCs/>
          <w:color w:val="auto"/>
          <w:spacing w:val="-11"/>
          <w:sz w:val="32"/>
          <w:szCs w:val="32"/>
          <w:lang w:val="en-US" w:eastAsia="zh-CN"/>
        </w:rPr>
        <w:t>件</w:t>
      </w:r>
      <w:r>
        <w:rPr>
          <w:rFonts w:hint="eastAsia" w:hAnsi="仿宋_GB2312" w:cs="仿宋_GB2312"/>
          <w:b w:val="0"/>
          <w:bCs/>
          <w:color w:val="auto"/>
          <w:spacing w:val="-11"/>
          <w:sz w:val="32"/>
          <w:szCs w:val="32"/>
          <w:lang w:val="en-US" w:eastAsia="zh-CN"/>
        </w:rPr>
        <w:t>10</w:t>
      </w:r>
      <w:r>
        <w:rPr>
          <w:rFonts w:hint="eastAsia" w:ascii="仿宋_GB2312" w:hAnsi="仿宋_GB2312" w:eastAsia="仿宋_GB2312" w:cs="仿宋_GB2312"/>
          <w:b w:val="0"/>
          <w:bCs/>
          <w:color w:val="auto"/>
          <w:spacing w:val="-11"/>
          <w:sz w:val="32"/>
          <w:szCs w:val="32"/>
          <w:lang w:val="en-US" w:eastAsia="zh-CN"/>
        </w:rPr>
        <w:t>项，按期答复</w:t>
      </w:r>
      <w:r>
        <w:rPr>
          <w:rFonts w:hint="eastAsia" w:hAnsi="仿宋_GB2312" w:cs="仿宋_GB2312"/>
          <w:b w:val="0"/>
          <w:bCs/>
          <w:color w:val="auto"/>
          <w:spacing w:val="-11"/>
          <w:sz w:val="32"/>
          <w:szCs w:val="32"/>
          <w:lang w:val="en-US" w:eastAsia="zh-CN"/>
        </w:rPr>
        <w:t>7</w:t>
      </w:r>
      <w:r>
        <w:rPr>
          <w:rFonts w:hint="eastAsia" w:ascii="仿宋_GB2312" w:hAnsi="仿宋_GB2312" w:eastAsia="仿宋_GB2312" w:cs="仿宋_GB2312"/>
          <w:b w:val="0"/>
          <w:bCs/>
          <w:color w:val="auto"/>
          <w:spacing w:val="-11"/>
          <w:sz w:val="32"/>
          <w:szCs w:val="32"/>
          <w:lang w:val="en-US" w:eastAsia="zh-CN"/>
        </w:rPr>
        <w:t>件</w:t>
      </w:r>
      <w:r>
        <w:rPr>
          <w:rFonts w:hint="eastAsia" w:hAnsi="仿宋_GB2312" w:cs="仿宋_GB2312"/>
          <w:b w:val="0"/>
          <w:bCs/>
          <w:color w:val="auto"/>
          <w:spacing w:val="-11"/>
          <w:sz w:val="32"/>
          <w:szCs w:val="32"/>
          <w:lang w:val="en-US" w:eastAsia="zh-CN"/>
        </w:rPr>
        <w:t>10</w:t>
      </w:r>
      <w:r>
        <w:rPr>
          <w:rFonts w:hint="eastAsia" w:ascii="仿宋_GB2312" w:hAnsi="仿宋_GB2312" w:eastAsia="仿宋_GB2312" w:cs="仿宋_GB2312"/>
          <w:b w:val="0"/>
          <w:bCs/>
          <w:color w:val="auto"/>
          <w:spacing w:val="-11"/>
          <w:sz w:val="32"/>
          <w:szCs w:val="32"/>
          <w:lang w:val="en-US" w:eastAsia="zh-CN"/>
        </w:rPr>
        <w:t>项，结转下年度</w:t>
      </w:r>
      <w:r>
        <w:rPr>
          <w:rFonts w:hint="eastAsia" w:hAnsi="仿宋_GB2312" w:cs="仿宋_GB2312"/>
          <w:b w:val="0"/>
          <w:bCs/>
          <w:color w:val="auto"/>
          <w:spacing w:val="-11"/>
          <w:sz w:val="32"/>
          <w:szCs w:val="32"/>
          <w:lang w:val="en-US" w:eastAsia="zh-CN"/>
        </w:rPr>
        <w:t>0</w:t>
      </w:r>
      <w:r>
        <w:rPr>
          <w:rFonts w:hint="eastAsia" w:ascii="仿宋_GB2312" w:hAnsi="仿宋_GB2312" w:eastAsia="仿宋_GB2312" w:cs="仿宋_GB2312"/>
          <w:b w:val="0"/>
          <w:bCs/>
          <w:color w:val="auto"/>
          <w:spacing w:val="-11"/>
          <w:sz w:val="32"/>
          <w:szCs w:val="32"/>
          <w:lang w:val="en-US" w:eastAsia="zh-CN"/>
        </w:rPr>
        <w:t>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9" w:firstLineChars="200"/>
        <w:jc w:val="left"/>
        <w:textAlignment w:val="auto"/>
        <w:outlineLvl w:val="1"/>
        <w:rPr>
          <w:rFonts w:hint="eastAsia" w:ascii="仿宋_GB2312" w:hAnsi="仿宋_GB2312" w:eastAsia="仿宋_GB2312" w:cs="仿宋_GB2312"/>
          <w:b w:val="0"/>
          <w:bCs/>
          <w:color w:val="C00000"/>
          <w:spacing w:val="-11"/>
          <w:sz w:val="32"/>
          <w:szCs w:val="32"/>
          <w:lang w:val="en-US" w:eastAsia="zh-CN"/>
        </w:rPr>
      </w:pPr>
      <w:r>
        <w:rPr>
          <w:rFonts w:hint="eastAsia" w:ascii="楷体_GB2312" w:hAnsi="楷体_GB2312" w:eastAsia="楷体_GB2312" w:cs="楷体_GB2312"/>
          <w:b/>
          <w:bCs w:val="0"/>
          <w:color w:val="auto"/>
          <w:spacing w:val="-11"/>
          <w:sz w:val="32"/>
          <w:szCs w:val="32"/>
          <w:lang w:val="en-US" w:eastAsia="zh-CN"/>
        </w:rPr>
        <w:t>（三）政府信息管理情况。</w:t>
      </w:r>
      <w:r>
        <w:rPr>
          <w:rFonts w:hint="eastAsia" w:ascii="仿宋_GB2312" w:hAnsi="仿宋_GB2312" w:eastAsia="仿宋_GB2312" w:cs="仿宋_GB2312"/>
          <w:b w:val="0"/>
          <w:bCs/>
          <w:color w:val="auto"/>
          <w:spacing w:val="-11"/>
          <w:sz w:val="32"/>
          <w:szCs w:val="32"/>
          <w:lang w:val="en-US" w:eastAsia="zh-CN"/>
        </w:rPr>
        <w:t>健全组织推动机制，细化工作措施，推进工作落细落实，切实保障人民群众的知情权、参与权、表达权和监督权。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9" w:firstLineChars="200"/>
        <w:jc w:val="left"/>
        <w:textAlignment w:val="auto"/>
        <w:outlineLvl w:val="1"/>
        <w:rPr>
          <w:rFonts w:hint="eastAsia" w:ascii="仿宋_GB2312" w:hAnsi="仿宋_GB2312" w:eastAsia="仿宋_GB2312" w:cs="仿宋_GB2312"/>
          <w:b w:val="0"/>
          <w:bCs/>
          <w:color w:val="C00000"/>
          <w:spacing w:val="-11"/>
          <w:sz w:val="32"/>
          <w:szCs w:val="32"/>
          <w:lang w:val="en-US" w:eastAsia="zh-CN"/>
        </w:rPr>
      </w:pPr>
      <w:r>
        <w:rPr>
          <w:rFonts w:hint="eastAsia" w:ascii="楷体_GB2312" w:hAnsi="楷体_GB2312" w:eastAsia="楷体_GB2312" w:cs="楷体_GB2312"/>
          <w:b/>
          <w:bCs w:val="0"/>
          <w:color w:val="auto"/>
          <w:spacing w:val="-11"/>
          <w:sz w:val="32"/>
          <w:szCs w:val="32"/>
          <w:lang w:val="en-US" w:eastAsia="zh-CN"/>
        </w:rPr>
        <w:t>（四）平台建设情况。</w:t>
      </w:r>
      <w:r>
        <w:rPr>
          <w:rFonts w:hint="eastAsia" w:ascii="仿宋_GB2312" w:hAnsi="仿宋_GB2312" w:eastAsia="仿宋_GB2312" w:cs="仿宋_GB2312"/>
          <w:b w:val="0"/>
          <w:bCs/>
          <w:color w:val="auto"/>
          <w:spacing w:val="-11"/>
          <w:sz w:val="32"/>
          <w:szCs w:val="32"/>
          <w:lang w:val="en-US" w:eastAsia="zh-CN"/>
        </w:rPr>
        <w:t>以县政府门户网站政府信息公开平台为基础，主动公开政府信息。同时结合政务新媒体，严格审核发布内容，做好信息发布、政策解读和办事服务工作。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9" w:firstLineChars="200"/>
        <w:jc w:val="left"/>
        <w:textAlignment w:val="auto"/>
        <w:outlineLvl w:val="1"/>
        <w:rPr>
          <w:rFonts w:hint="eastAsia" w:asciiTheme="minorEastAsia" w:hAnsiTheme="minorEastAsia" w:eastAsiaTheme="minorEastAsia" w:cstheme="minorEastAsia"/>
          <w:b/>
          <w:bCs w:val="0"/>
          <w:color w:val="auto"/>
          <w:spacing w:val="-11"/>
          <w:sz w:val="24"/>
          <w:szCs w:val="24"/>
          <w:lang w:val="en-US" w:eastAsia="zh-CN"/>
        </w:rPr>
      </w:pPr>
      <w:r>
        <w:rPr>
          <w:rFonts w:hint="eastAsia" w:ascii="楷体_GB2312" w:hAnsi="楷体_GB2312" w:eastAsia="楷体_GB2312" w:cs="楷体_GB2312"/>
          <w:b/>
          <w:bCs w:val="0"/>
          <w:color w:val="auto"/>
          <w:spacing w:val="-11"/>
          <w:sz w:val="32"/>
          <w:szCs w:val="32"/>
          <w:lang w:val="en-US" w:eastAsia="zh-CN"/>
        </w:rPr>
        <w:t>（五）监督保障情况。</w:t>
      </w:r>
      <w:r>
        <w:rPr>
          <w:rFonts w:hint="eastAsia" w:ascii="仿宋_GB2312" w:hAnsi="仿宋_GB2312" w:eastAsia="仿宋_GB2312" w:cs="仿宋_GB2312"/>
          <w:b w:val="0"/>
          <w:bCs/>
          <w:color w:val="auto"/>
          <w:spacing w:val="-11"/>
          <w:sz w:val="32"/>
          <w:szCs w:val="32"/>
          <w:lang w:val="en-US" w:eastAsia="zh-CN"/>
        </w:rPr>
        <w:t>成立了政务公开工作领导小组，明确了分管领导，单位主要领导每年至少听取一次工作汇报并部署工作；及时调整完善本机构政府信息公开目录、指南，严格落实政府信息公开各项规定；明确具体承担政务公开工作，配备相关工作人员，本年度按照上级要求开展了</w:t>
      </w:r>
      <w:r>
        <w:rPr>
          <w:rFonts w:hint="eastAsia" w:hAnsi="仿宋_GB2312" w:cs="仿宋_GB2312"/>
          <w:b w:val="0"/>
          <w:bCs/>
          <w:color w:val="auto"/>
          <w:spacing w:val="-11"/>
          <w:sz w:val="32"/>
          <w:szCs w:val="32"/>
          <w:lang w:val="en-US" w:eastAsia="zh-CN"/>
        </w:rPr>
        <w:t>3</w:t>
      </w:r>
      <w:r>
        <w:rPr>
          <w:rFonts w:hint="eastAsia" w:ascii="仿宋_GB2312" w:hAnsi="仿宋_GB2312" w:eastAsia="仿宋_GB2312" w:cs="仿宋_GB2312"/>
          <w:b w:val="0"/>
          <w:bCs/>
          <w:color w:val="auto"/>
          <w:spacing w:val="-11"/>
          <w:sz w:val="32"/>
          <w:szCs w:val="32"/>
          <w:lang w:val="en-US" w:eastAsia="zh-CN"/>
        </w:rPr>
        <w:t>次业务知识培训学习，进一步提高了我单位政务公开工作人员专业素质，夯实了政务公开工作基础。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6" w:firstLineChars="200"/>
        <w:jc w:val="left"/>
        <w:textAlignment w:val="auto"/>
        <w:outlineLvl w:val="0"/>
        <w:rPr>
          <w:rFonts w:hint="eastAsia" w:asciiTheme="minorEastAsia" w:hAnsiTheme="minorEastAsia" w:eastAsiaTheme="minorEastAsia" w:cstheme="minorEastAsia"/>
          <w:b/>
          <w:bCs w:val="0"/>
          <w:color w:val="auto"/>
          <w:spacing w:val="-11"/>
          <w:sz w:val="32"/>
          <w:szCs w:val="32"/>
          <w:lang w:val="en-US" w:eastAsia="zh-CN"/>
        </w:rPr>
      </w:pPr>
      <w:r>
        <w:rPr>
          <w:rFonts w:hint="eastAsia" w:ascii="黑体" w:hAnsi="黑体" w:eastAsia="黑体" w:cs="黑体"/>
          <w:b w:val="0"/>
          <w:bCs/>
          <w:color w:val="auto"/>
          <w:spacing w:val="-11"/>
          <w:sz w:val="32"/>
          <w:szCs w:val="32"/>
          <w:lang w:val="en-US" w:eastAsia="zh-CN"/>
        </w:rPr>
        <w:t>二、主动公开政府信息情况</w:t>
      </w:r>
    </w:p>
    <w:tbl>
      <w:tblPr>
        <w:tblStyle w:val="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2238"/>
        <w:gridCol w:w="2238"/>
        <w:gridCol w:w="2238"/>
        <w:gridCol w:w="22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rPr>
          <w:trHeight w:val="362" w:hRule="atLeast"/>
          <w:jc w:val="center"/>
        </w:trPr>
        <w:tc>
          <w:tcPr>
            <w:tcW w:w="5000" w:type="pct"/>
            <w:gridSpan w:val="4"/>
            <w:tcBorders>
              <w:top w:val="single" w:color="auto" w:sz="8" w:space="0"/>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1249" w:type="pct"/>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本年</w:t>
            </w:r>
            <w:r>
              <w:rPr>
                <w:rFonts w:hint="eastAsia" w:ascii="宋体" w:hAnsi="宋体" w:eastAsia="宋体" w:cs="宋体"/>
                <w:i w:val="0"/>
                <w:caps w:val="0"/>
                <w:color w:val="333333"/>
                <w:spacing w:val="0"/>
                <w:kern w:val="0"/>
                <w:sz w:val="20"/>
                <w:szCs w:val="20"/>
                <w:lang w:val="en-US" w:eastAsia="zh-CN" w:bidi="ar"/>
              </w:rPr>
              <w:t>制发件数</w:t>
            </w:r>
          </w:p>
        </w:tc>
        <w:tc>
          <w:tcPr>
            <w:tcW w:w="1249" w:type="pct"/>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本年废止件数</w:t>
            </w:r>
          </w:p>
        </w:tc>
        <w:tc>
          <w:tcPr>
            <w:tcW w:w="1252" w:type="pct"/>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现行有效件</w:t>
            </w:r>
            <w:r>
              <w:rPr>
                <w:rFonts w:hint="eastAsia" w:ascii="宋体" w:hAnsi="宋体" w:eastAsia="宋体" w:cs="宋体"/>
                <w:i w:val="0"/>
                <w:caps w:val="0"/>
                <w:color w:val="333333"/>
                <w:spacing w:val="0"/>
                <w:kern w:val="0"/>
                <w:sz w:val="20"/>
                <w:szCs w:val="20"/>
                <w:lang w:val="en-US" w:eastAsia="zh-CN" w:bidi="ar"/>
              </w:rPr>
              <w:t>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规章</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52"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行政规范性文件</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52"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cs="宋体"/>
                <w:i w:val="0"/>
                <w:caps w:val="0"/>
                <w:color w:val="000000"/>
                <w:spacing w:val="0"/>
                <w:kern w:val="0"/>
                <w:sz w:val="20"/>
                <w:szCs w:val="2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行政许可</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3750" w:type="pct"/>
            <w:gridSpan w:val="3"/>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行政处罚</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10</w:t>
            </w:r>
            <w:bookmarkStart w:id="0" w:name="_GoBack"/>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行政强制</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3750" w:type="pct"/>
            <w:gridSpan w:val="3"/>
            <w:tcBorders>
              <w:top w:val="nil"/>
              <w:left w:val="nil"/>
              <w:bottom w:val="single" w:color="auto" w:sz="8" w:space="0"/>
              <w:right w:val="single" w:color="000000"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本年收费金额（单位：万元）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4"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行政事业性收费</w:t>
            </w:r>
          </w:p>
        </w:tc>
        <w:tc>
          <w:tcPr>
            <w:tcW w:w="3750" w:type="pct"/>
            <w:gridSpan w:val="3"/>
            <w:tcBorders>
              <w:top w:val="nil"/>
              <w:left w:val="nil"/>
              <w:bottom w:val="single" w:color="auto" w:sz="8" w:space="0"/>
              <w:right w:val="single" w:color="000000"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b w:val="0"/>
          <w:bCs w:val="0"/>
          <w:color w:val="auto"/>
          <w:spacing w:val="-11"/>
          <w:sz w:val="32"/>
          <w:szCs w:val="32"/>
          <w:lang w:val="en-US" w:eastAsia="zh-CN"/>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rPr>
        <w:t>收到和处理政府信息公开申请情况</w:t>
      </w:r>
    </w:p>
    <w:tbl>
      <w:tblPr>
        <w:tblStyle w:val="7"/>
        <w:tblW w:w="97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6"/>
        <w:gridCol w:w="782"/>
        <w:gridCol w:w="3470"/>
        <w:gridCol w:w="797"/>
        <w:gridCol w:w="730"/>
        <w:gridCol w:w="697"/>
        <w:gridCol w:w="808"/>
        <w:gridCol w:w="865"/>
        <w:gridCol w:w="611"/>
        <w:gridCol w:w="5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708"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（本列数据的勾稽关系为：第一项加第二项之和，等于第三项加第四项之和）</w:t>
            </w:r>
          </w:p>
        </w:tc>
        <w:tc>
          <w:tcPr>
            <w:tcW w:w="5071"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70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楷体" w:hAnsi="楷体" w:eastAsia="楷体" w:cs="楷体"/>
                <w:i w:val="0"/>
                <w:color w:val="000000"/>
                <w:sz w:val="20"/>
                <w:szCs w:val="20"/>
                <w:u w:val="none"/>
              </w:rPr>
            </w:pPr>
          </w:p>
        </w:tc>
        <w:tc>
          <w:tcPr>
            <w:tcW w:w="79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自然人</w:t>
            </w:r>
          </w:p>
        </w:tc>
        <w:tc>
          <w:tcPr>
            <w:tcW w:w="371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法人或其他组织</w:t>
            </w:r>
          </w:p>
        </w:tc>
        <w:tc>
          <w:tcPr>
            <w:tcW w:w="56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470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楷体" w:hAnsi="楷体" w:eastAsia="楷体" w:cs="楷体"/>
                <w:i w:val="0"/>
                <w:color w:val="000000"/>
                <w:sz w:val="20"/>
                <w:szCs w:val="20"/>
                <w:u w:val="none"/>
              </w:rPr>
            </w:pPr>
          </w:p>
        </w:tc>
        <w:tc>
          <w:tcPr>
            <w:tcW w:w="79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30"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商业企业</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科研机构</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社会公益组织</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法律服务机构</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56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70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一、本年新收政府信息公开申请数量</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17</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470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二、上年结转政府信息公开申请数量</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45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三、本年度办理结果</w:t>
            </w:r>
          </w:p>
        </w:tc>
        <w:tc>
          <w:tcPr>
            <w:tcW w:w="425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（一）予以公开</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425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（二）部分公开</w:t>
            </w:r>
            <w:r>
              <w:rPr>
                <w:rFonts w:hint="eastAsia" w:ascii="楷体" w:hAnsi="楷体" w:eastAsia="楷体" w:cs="楷体"/>
                <w:i w:val="0"/>
                <w:color w:val="000000"/>
                <w:kern w:val="0"/>
                <w:sz w:val="20"/>
                <w:szCs w:val="20"/>
                <w:u w:val="none"/>
                <w:lang w:val="en-US" w:eastAsia="zh-CN" w:bidi="ar"/>
              </w:rPr>
              <w:t>（区分处理的，只计这一情形，不计其他情形）</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（三）不予公开</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1.属于国家秘密</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2.其他法律行政法规禁止公开</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3.危及“三安全一稳定”</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4.保护第三方合法权益</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5.属于三类内部事务信息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6.属于四类过程性信息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7.属于行政执法案卷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8.属于行政查询事项</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（四）无法提供</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1.本机关不掌握相关政府信息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2.没有现成信息需要另行制作</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3.补正后申请内容仍不明确</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（五）不予处理</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1.信访举报投诉类申请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2.重复申请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3.要求提供公开出版物</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4.无正当理由大量反复申请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5.要求行政机关确认或重新出具已获取信息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（六）其他处理</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1.申请人无正当理由逾期不补正、行政机关不再处理其政府信息公开申请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2.申请人逾期未按收费通知要求缴纳费用、行政机关不再处理其政府信息公开申请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3.其他</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425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（七）总计</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17</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470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四、结转下年度继续办理</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 xml:space="preserve">0 </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Theme="minorEastAsia" w:hAnsiTheme="minorEastAsia" w:eastAsiaTheme="minorEastAsia" w:cstheme="minorEastAsia"/>
          <w:b/>
          <w:bCs/>
          <w:sz w:val="24"/>
          <w:szCs w:val="24"/>
        </w:rPr>
      </w:pPr>
      <w:r>
        <w:rPr>
          <w:rFonts w:hint="eastAsia" w:ascii="黑体" w:hAnsi="黑体" w:eastAsia="黑体" w:cs="黑体"/>
          <w:b w:val="0"/>
          <w:bCs w:val="0"/>
          <w:sz w:val="32"/>
          <w:szCs w:val="32"/>
          <w:lang w:val="en-US" w:eastAsia="zh-CN"/>
        </w:rPr>
        <w:t>四、</w:t>
      </w:r>
      <w:r>
        <w:rPr>
          <w:rFonts w:hint="eastAsia" w:ascii="黑体" w:hAnsi="黑体" w:eastAsia="黑体" w:cs="黑体"/>
          <w:b w:val="0"/>
          <w:bCs w:val="0"/>
          <w:sz w:val="32"/>
          <w:szCs w:val="32"/>
        </w:rPr>
        <w:t>政府信息公开行政复议、行政诉讼情况</w:t>
      </w:r>
    </w:p>
    <w:tbl>
      <w:tblPr>
        <w:tblStyle w:val="7"/>
        <w:tblW w:w="9079"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557"/>
        <w:gridCol w:w="633"/>
        <w:gridCol w:w="633"/>
        <w:gridCol w:w="633"/>
        <w:gridCol w:w="443"/>
        <w:gridCol w:w="661"/>
        <w:gridCol w:w="703"/>
        <w:gridCol w:w="646"/>
        <w:gridCol w:w="675"/>
        <w:gridCol w:w="383"/>
        <w:gridCol w:w="717"/>
        <w:gridCol w:w="674"/>
        <w:gridCol w:w="646"/>
        <w:gridCol w:w="647"/>
        <w:gridCol w:w="428"/>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65" w:hRule="atLeast"/>
          <w:jc w:val="center"/>
        </w:trPr>
        <w:tc>
          <w:tcPr>
            <w:tcW w:w="2899"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行政复议</w:t>
            </w:r>
          </w:p>
        </w:tc>
        <w:tc>
          <w:tcPr>
            <w:tcW w:w="6180" w:type="dxa"/>
            <w:gridSpan w:val="10"/>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557"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结果维持</w:t>
            </w:r>
          </w:p>
        </w:tc>
        <w:tc>
          <w:tcPr>
            <w:tcW w:w="633"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3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3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4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总计</w:t>
            </w:r>
          </w:p>
        </w:tc>
        <w:tc>
          <w:tcPr>
            <w:tcW w:w="3068"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未经复议直接起诉</w:t>
            </w:r>
          </w:p>
        </w:tc>
        <w:tc>
          <w:tcPr>
            <w:tcW w:w="3112"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34" w:hRule="atLeast"/>
          <w:jc w:val="center"/>
        </w:trPr>
        <w:tc>
          <w:tcPr>
            <w:tcW w:w="557"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33"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3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3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44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6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70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4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75"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38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c>
          <w:tcPr>
            <w:tcW w:w="717"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67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4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47"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28"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42" w:hRule="atLeast"/>
          <w:jc w:val="center"/>
        </w:trPr>
        <w:tc>
          <w:tcPr>
            <w:tcW w:w="557"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0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6"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5"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38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17"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4"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6"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7"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28" w:type="dxa"/>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eastAsia="仿宋_GB2312"/>
                <w:sz w:val="24"/>
                <w:szCs w:val="24"/>
                <w:lang w:val="en-US" w:eastAsia="zh-CN"/>
              </w:rPr>
            </w:pPr>
            <w:r>
              <w:rPr>
                <w:rFonts w:hint="eastAsia" w:ascii="Calibri" w:hAnsi="Calibri" w:eastAsia="宋体" w:cs="Calibri"/>
                <w:color w:val="auto"/>
                <w:kern w:val="0"/>
                <w:sz w:val="20"/>
                <w:szCs w:val="20"/>
                <w:lang w:val="en-US" w:eastAsia="zh-CN" w:bidi="ar"/>
              </w:rPr>
              <w:t>0</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存在的主要问题及改进情况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针对202</w:t>
      </w:r>
      <w:r>
        <w:rPr>
          <w:rFonts w:hint="eastAsia" w:hAnsi="仿宋_GB2312" w:cs="仿宋_GB2312"/>
          <w:b w:val="0"/>
          <w:bCs w:val="0"/>
          <w:sz w:val="32"/>
          <w:szCs w:val="32"/>
          <w:lang w:val="en-US" w:eastAsia="zh-CN"/>
        </w:rPr>
        <w:t>4</w:t>
      </w:r>
      <w:r>
        <w:rPr>
          <w:rFonts w:hint="eastAsia" w:ascii="仿宋_GB2312" w:hAnsi="仿宋_GB2312" w:eastAsia="仿宋_GB2312" w:cs="仿宋_GB2312"/>
          <w:b w:val="0"/>
          <w:bCs w:val="0"/>
          <w:sz w:val="32"/>
          <w:szCs w:val="32"/>
        </w:rPr>
        <w:t>年存在的基层政务公开标准化规范化的指导主动性不够和行政权力运行结果公开不及时、不规范问题，202</w:t>
      </w:r>
      <w:r>
        <w:rPr>
          <w:rFonts w:hint="eastAsia" w:hAnsi="仿宋_GB2312" w:cs="仿宋_GB2312"/>
          <w:b w:val="0"/>
          <w:bCs w:val="0"/>
          <w:sz w:val="32"/>
          <w:szCs w:val="32"/>
          <w:lang w:val="en-US" w:eastAsia="zh-CN"/>
        </w:rPr>
        <w:t>5</w:t>
      </w:r>
      <w:r>
        <w:rPr>
          <w:rFonts w:hint="eastAsia" w:ascii="仿宋_GB2312" w:hAnsi="仿宋_GB2312" w:eastAsia="仿宋_GB2312" w:cs="仿宋_GB2312"/>
          <w:b w:val="0"/>
          <w:bCs w:val="0"/>
          <w:sz w:val="32"/>
          <w:szCs w:val="32"/>
        </w:rPr>
        <w:t>年农业农村</w:t>
      </w:r>
      <w:r>
        <w:rPr>
          <w:rFonts w:hint="eastAsia" w:hAnsi="仿宋_GB2312" w:cs="仿宋_GB2312"/>
          <w:b w:val="0"/>
          <w:bCs w:val="0"/>
          <w:sz w:val="32"/>
          <w:szCs w:val="32"/>
          <w:lang w:val="en-US" w:eastAsia="zh-CN"/>
        </w:rPr>
        <w:t>和水利局</w:t>
      </w:r>
      <w:r>
        <w:rPr>
          <w:rFonts w:hint="eastAsia" w:ascii="仿宋_GB2312" w:hAnsi="仿宋_GB2312" w:eastAsia="仿宋_GB2312" w:cs="仿宋_GB2312"/>
          <w:b w:val="0"/>
          <w:bCs w:val="0"/>
          <w:sz w:val="32"/>
          <w:szCs w:val="32"/>
        </w:rPr>
        <w:t>局组织安排专人开展权力运行结果公开。虽然在推进政务公开方面做了一些工作，但仍有一定差距，主要是重大决策部署意见征集的主动性、时效性不够。下一步，我局将以全面落实省市政务公开工作部署为抓手，确保规范性文件通过政府意见征集平台和座谈会等形式向公众征求意见，规范向社会公开，保障群众知情权、参与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b w:val="0"/>
          <w:bCs w:val="0"/>
          <w:sz w:val="32"/>
          <w:szCs w:val="32"/>
        </w:rPr>
      </w:pPr>
      <w:r>
        <w:rPr>
          <w:rFonts w:hint="eastAsia" w:ascii="黑体" w:hAnsi="黑体" w:eastAsia="黑体" w:cs="黑体"/>
          <w:b w:val="0"/>
          <w:bCs w:val="0"/>
          <w:sz w:val="32"/>
          <w:szCs w:val="32"/>
        </w:rPr>
        <w:t>六、其他需要报告的事项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我</w:t>
      </w:r>
      <w:r>
        <w:rPr>
          <w:rFonts w:hint="eastAsia" w:ascii="仿宋_GB2312" w:hAnsi="仿宋_GB2312" w:eastAsia="仿宋_GB2312" w:cs="仿宋_GB2312"/>
          <w:b w:val="0"/>
          <w:bCs w:val="0"/>
          <w:sz w:val="32"/>
          <w:szCs w:val="32"/>
          <w:lang w:eastAsia="zh-CN"/>
        </w:rPr>
        <w:t>单位</w:t>
      </w:r>
      <w:r>
        <w:rPr>
          <w:rFonts w:hint="eastAsia" w:ascii="仿宋_GB2312" w:hAnsi="仿宋_GB2312" w:eastAsia="仿宋_GB2312" w:cs="仿宋_GB2312"/>
          <w:b w:val="0"/>
          <w:bCs w:val="0"/>
          <w:sz w:val="32"/>
          <w:szCs w:val="32"/>
        </w:rPr>
        <w:t>认真贯彻执行国务院办公厅《政府信息公开信息处理费管理办法》和《关于政府信息公开处理费管理有关事项的通知》，</w:t>
      </w:r>
      <w:r>
        <w:rPr>
          <w:rFonts w:hint="eastAsia" w:ascii="仿宋_GB2312" w:hAnsi="仿宋_GB2312" w:eastAsia="仿宋_GB2312" w:cs="仿宋_GB2312"/>
          <w:b w:val="0"/>
          <w:bCs w:val="0"/>
          <w:sz w:val="32"/>
          <w:szCs w:val="32"/>
          <w:lang w:eastAsia="zh-CN"/>
        </w:rPr>
        <w:t>本年度</w:t>
      </w:r>
      <w:r>
        <w:rPr>
          <w:rFonts w:hint="eastAsia" w:ascii="仿宋_GB2312" w:hAnsi="仿宋_GB2312" w:eastAsia="仿宋_GB2312" w:cs="仿宋_GB2312"/>
          <w:b w:val="0"/>
          <w:bCs w:val="0"/>
          <w:sz w:val="32"/>
          <w:szCs w:val="32"/>
        </w:rPr>
        <w:t>未收取信息处理费。</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A01D83C-5BE0-4819-9D90-C41FA641F3E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6AE67C8-1DE4-41AC-AE4E-E9DFF29963EF}"/>
  </w:font>
  <w:font w:name="仿宋_GB2312">
    <w:panose1 w:val="02010609030101010101"/>
    <w:charset w:val="86"/>
    <w:family w:val="modern"/>
    <w:pitch w:val="default"/>
    <w:sig w:usb0="00000001" w:usb1="080E0000" w:usb2="00000000" w:usb3="00000000" w:csb0="00040000" w:csb1="00000000"/>
    <w:embedRegular r:id="rId3" w:fontKey="{80EAC9E0-B437-4CD9-8081-66E05C3E9D48}"/>
  </w:font>
  <w:font w:name="方正小标宋简体">
    <w:panose1 w:val="03000509000000000000"/>
    <w:charset w:val="86"/>
    <w:family w:val="script"/>
    <w:pitch w:val="default"/>
    <w:sig w:usb0="00000001" w:usb1="080E0000" w:usb2="00000000" w:usb3="00000000" w:csb0="00040000" w:csb1="00000000"/>
    <w:embedRegular r:id="rId4" w:fontKey="{885A2662-34A5-4121-891C-8DBC957F1BBF}"/>
  </w:font>
  <w:font w:name="楷体_GB2312">
    <w:panose1 w:val="02010609030101010101"/>
    <w:charset w:val="86"/>
    <w:family w:val="auto"/>
    <w:pitch w:val="default"/>
    <w:sig w:usb0="00000001" w:usb1="080E0000" w:usb2="00000000" w:usb3="00000000" w:csb0="00040000" w:csb1="00000000"/>
    <w:embedRegular r:id="rId5" w:fontKey="{669FC85A-9290-41C6-8BC2-6137B7A72631}"/>
  </w:font>
  <w:font w:name="楷体">
    <w:panose1 w:val="02010609060101010101"/>
    <w:charset w:val="86"/>
    <w:family w:val="modern"/>
    <w:pitch w:val="default"/>
    <w:sig w:usb0="800002BF" w:usb1="38CF7CFA" w:usb2="00000016" w:usb3="00000000" w:csb0="00040001" w:csb1="00000000"/>
    <w:embedRegular r:id="rId6" w:fontKey="{C020F2ED-2B0E-469C-83C5-7FBCC0D30BF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5B229F"/>
    <w:rsid w:val="000168E7"/>
    <w:rsid w:val="00091070"/>
    <w:rsid w:val="00102236"/>
    <w:rsid w:val="00121401"/>
    <w:rsid w:val="00157AC8"/>
    <w:rsid w:val="001801D5"/>
    <w:rsid w:val="00296580"/>
    <w:rsid w:val="002B2C96"/>
    <w:rsid w:val="00455C5D"/>
    <w:rsid w:val="004F0B4A"/>
    <w:rsid w:val="00586B59"/>
    <w:rsid w:val="00631E81"/>
    <w:rsid w:val="00653E36"/>
    <w:rsid w:val="008E1B1A"/>
    <w:rsid w:val="008E44F4"/>
    <w:rsid w:val="00A53DE3"/>
    <w:rsid w:val="00B5390F"/>
    <w:rsid w:val="00C06F06"/>
    <w:rsid w:val="00C51C9D"/>
    <w:rsid w:val="00CB4FF3"/>
    <w:rsid w:val="00CE1DC8"/>
    <w:rsid w:val="00D26420"/>
    <w:rsid w:val="00D36948"/>
    <w:rsid w:val="00E06057"/>
    <w:rsid w:val="00E212AC"/>
    <w:rsid w:val="00E41BBC"/>
    <w:rsid w:val="00E57F2A"/>
    <w:rsid w:val="00EA3ADC"/>
    <w:rsid w:val="00EF14E8"/>
    <w:rsid w:val="00F24E13"/>
    <w:rsid w:val="00FA6E92"/>
    <w:rsid w:val="00FC07B6"/>
    <w:rsid w:val="01285338"/>
    <w:rsid w:val="08D47827"/>
    <w:rsid w:val="09813DFD"/>
    <w:rsid w:val="0B2121D5"/>
    <w:rsid w:val="0FF935DB"/>
    <w:rsid w:val="11B05C5A"/>
    <w:rsid w:val="15836008"/>
    <w:rsid w:val="1852701D"/>
    <w:rsid w:val="19DE11D5"/>
    <w:rsid w:val="1A0F4175"/>
    <w:rsid w:val="1EFC934B"/>
    <w:rsid w:val="238E43F5"/>
    <w:rsid w:val="23F630A6"/>
    <w:rsid w:val="26B5A241"/>
    <w:rsid w:val="29477282"/>
    <w:rsid w:val="2E8A0E7B"/>
    <w:rsid w:val="341765DF"/>
    <w:rsid w:val="34BC23AD"/>
    <w:rsid w:val="36692452"/>
    <w:rsid w:val="38CB1FBA"/>
    <w:rsid w:val="3ADEDF92"/>
    <w:rsid w:val="3B214D37"/>
    <w:rsid w:val="3CA90241"/>
    <w:rsid w:val="3E5B229F"/>
    <w:rsid w:val="3EF585D3"/>
    <w:rsid w:val="3FAF05CC"/>
    <w:rsid w:val="3FFF3219"/>
    <w:rsid w:val="42F84FBB"/>
    <w:rsid w:val="43DA9812"/>
    <w:rsid w:val="4D617EE6"/>
    <w:rsid w:val="4D870228"/>
    <w:rsid w:val="4E137BDD"/>
    <w:rsid w:val="53FFD66A"/>
    <w:rsid w:val="541E6540"/>
    <w:rsid w:val="571C05B0"/>
    <w:rsid w:val="57B1778B"/>
    <w:rsid w:val="5A6F3991"/>
    <w:rsid w:val="5B5D1369"/>
    <w:rsid w:val="5C87555C"/>
    <w:rsid w:val="5D4F0FEF"/>
    <w:rsid w:val="5D8A083A"/>
    <w:rsid w:val="5FBD64F2"/>
    <w:rsid w:val="61022B79"/>
    <w:rsid w:val="64BB2F53"/>
    <w:rsid w:val="65E15017"/>
    <w:rsid w:val="67A3A7A5"/>
    <w:rsid w:val="68C13E1A"/>
    <w:rsid w:val="695D0560"/>
    <w:rsid w:val="69C937CA"/>
    <w:rsid w:val="6A8A12FF"/>
    <w:rsid w:val="6AFBAD5F"/>
    <w:rsid w:val="6FDF47DB"/>
    <w:rsid w:val="6FFF0CB4"/>
    <w:rsid w:val="71A62D78"/>
    <w:rsid w:val="72826491"/>
    <w:rsid w:val="72F868DA"/>
    <w:rsid w:val="74ED2BBE"/>
    <w:rsid w:val="764322DF"/>
    <w:rsid w:val="772F065A"/>
    <w:rsid w:val="77BB3DCB"/>
    <w:rsid w:val="77CFF03C"/>
    <w:rsid w:val="7B7CC9B3"/>
    <w:rsid w:val="7D292759"/>
    <w:rsid w:val="7DDEB177"/>
    <w:rsid w:val="7DF756EB"/>
    <w:rsid w:val="7E2247C9"/>
    <w:rsid w:val="7ED53247"/>
    <w:rsid w:val="7EDDBA1E"/>
    <w:rsid w:val="7EFA1255"/>
    <w:rsid w:val="7FA76860"/>
    <w:rsid w:val="7FBF5690"/>
    <w:rsid w:val="7FC953CC"/>
    <w:rsid w:val="7FDF440F"/>
    <w:rsid w:val="7FE38852"/>
    <w:rsid w:val="8B9E95E9"/>
    <w:rsid w:val="92EC8D3F"/>
    <w:rsid w:val="9CEEDF49"/>
    <w:rsid w:val="A76EE464"/>
    <w:rsid w:val="B21D80AD"/>
    <w:rsid w:val="B45D9279"/>
    <w:rsid w:val="B7E7C1F0"/>
    <w:rsid w:val="BF6B13F6"/>
    <w:rsid w:val="BFF7D8B8"/>
    <w:rsid w:val="C3EEB8D0"/>
    <w:rsid w:val="CB7FA613"/>
    <w:rsid w:val="D37BBE9C"/>
    <w:rsid w:val="D4F38090"/>
    <w:rsid w:val="D99F8203"/>
    <w:rsid w:val="DACFF94B"/>
    <w:rsid w:val="DBF75DDE"/>
    <w:rsid w:val="DFC65336"/>
    <w:rsid w:val="E7FFFAFD"/>
    <w:rsid w:val="E9F54829"/>
    <w:rsid w:val="EAFFF69E"/>
    <w:rsid w:val="EDF7EABE"/>
    <w:rsid w:val="EF3E3C5F"/>
    <w:rsid w:val="EF77B124"/>
    <w:rsid w:val="EF7B5EE5"/>
    <w:rsid w:val="EFB618C8"/>
    <w:rsid w:val="EFFF7831"/>
    <w:rsid w:val="F75718EB"/>
    <w:rsid w:val="F7BEC138"/>
    <w:rsid w:val="F7DF081B"/>
    <w:rsid w:val="F7E52A64"/>
    <w:rsid w:val="F7FF2A12"/>
    <w:rsid w:val="F91E050A"/>
    <w:rsid w:val="FB17AA77"/>
    <w:rsid w:val="FB5D8DA7"/>
    <w:rsid w:val="FB6F83DF"/>
    <w:rsid w:val="FCBAD453"/>
    <w:rsid w:val="FCF3C5E7"/>
    <w:rsid w:val="FDEB3F1E"/>
    <w:rsid w:val="FF7AA915"/>
    <w:rsid w:val="FFBE59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uppressAutoHyphens/>
      <w:bidi w:val="0"/>
      <w:spacing w:after="120"/>
      <w:ind w:left="420" w:leftChars="200" w:firstLine="420" w:firstLineChars="200"/>
      <w:jc w:val="both"/>
    </w:pPr>
    <w:rPr>
      <w:rFonts w:ascii="Calibri" w:hAnsi="Calibri" w:eastAsia="宋体" w:cs="Times New Roman"/>
      <w:color w:val="auto"/>
      <w:kern w:val="2"/>
      <w:sz w:val="21"/>
      <w:szCs w:val="24"/>
      <w:lang w:val="en-US" w:eastAsia="zh-CN" w:bidi="ar-SA"/>
    </w:rPr>
  </w:style>
  <w:style w:type="paragraph" w:styleId="3">
    <w:name w:val="Body Text Indent"/>
    <w:basedOn w:val="1"/>
    <w:next w:val="1"/>
    <w:unhideWhenUsed/>
    <w:qFormat/>
    <w:uiPriority w:val="99"/>
    <w:pPr>
      <w:widowControl w:val="0"/>
      <w:suppressAutoHyphens/>
      <w:bidi w:val="0"/>
      <w:spacing w:after="120"/>
      <w:ind w:left="420" w:leftChars="200"/>
      <w:jc w:val="both"/>
    </w:pPr>
    <w:rPr>
      <w:rFonts w:ascii="Calibri" w:hAnsi="Calibri" w:eastAsia="宋体" w:cs="Times New Roman"/>
      <w:color w:val="auto"/>
      <w:kern w:val="2"/>
      <w:sz w:val="21"/>
      <w:szCs w:val="24"/>
      <w:lang w:val="en-US" w:eastAsia="zh-CN" w:bidi="ar-SA"/>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 w:type="character" w:customStyle="1" w:styleId="9">
    <w:name w:val="页眉 Char"/>
    <w:basedOn w:val="8"/>
    <w:link w:val="5"/>
    <w:qFormat/>
    <w:uiPriority w:val="0"/>
    <w:rPr>
      <w:rFonts w:ascii="仿宋_GB2312" w:eastAsia="仿宋_GB2312"/>
      <w:kern w:val="2"/>
      <w:sz w:val="18"/>
      <w:szCs w:val="18"/>
    </w:rPr>
  </w:style>
  <w:style w:type="character" w:customStyle="1" w:styleId="10">
    <w:name w:val="页脚 Char"/>
    <w:basedOn w:val="8"/>
    <w:link w:val="4"/>
    <w:qFormat/>
    <w:uiPriority w:val="0"/>
    <w:rPr>
      <w:rFonts w:ascii="仿宋_GB2312" w:eastAsia="仿宋_GB2312"/>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Pages>
  <Words>1710</Words>
  <Characters>1759</Characters>
  <Lines>25</Lines>
  <Paragraphs>7</Paragraphs>
  <TotalTime>13</TotalTime>
  <ScaleCrop>false</ScaleCrop>
  <LinksUpToDate>false</LinksUpToDate>
  <CharactersWithSpaces>1763</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2020-01-03T03:38:00Z</dcterms:created>
  <dc:creator>小公举</dc:creator>
  <cp:lastModifiedBy>Administrator</cp:lastModifiedBy>
  <cp:lastPrinted>2023-01-12T00:50:00Z</cp:lastPrinted>
  <dcterms:modified xsi:type="dcterms:W3CDTF">2025-01-22T11:07:20Z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13C26F3A78A74D2BA3115723802EB032</vt:lpwstr>
  </property>
  <property fmtid="{D5CDD505-2E9C-101B-9397-08002B2CF9AE}" pid="4" name="KSOTemplateDocerSaveRecord">
    <vt:lpwstr>eyJoZGlkIjoiMzdhODZiMzQxY2U4MzdiMWI4MTVmODU2YmY1MGZmOWYiLCJ1c2VySWQiOiI0MTA0NjAwODIifQ==</vt:lpwstr>
  </property>
</Properties>
</file>