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县住房和城乡建设局行政权力清单</w:t>
      </w:r>
    </w:p>
    <w:tbl>
      <w:tblPr>
        <w:tblStyle w:val="15"/>
        <w:tblW w:w="149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9"/>
        <w:gridCol w:w="1118"/>
        <w:gridCol w:w="1923"/>
        <w:gridCol w:w="41"/>
        <w:gridCol w:w="1080"/>
        <w:gridCol w:w="19"/>
        <w:gridCol w:w="1210"/>
        <w:gridCol w:w="16"/>
        <w:gridCol w:w="4216"/>
        <w:gridCol w:w="973"/>
        <w:gridCol w:w="872"/>
        <w:gridCol w:w="1701"/>
        <w:gridCol w:w="6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tblHeader/>
          <w:jc w:val="center"/>
        </w:trPr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行政处罚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项目编码</w:t>
            </w: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项目名称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实施主体</w:t>
            </w:r>
          </w:p>
        </w:tc>
        <w:tc>
          <w:tcPr>
            <w:tcW w:w="12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承办机构</w:t>
            </w:r>
          </w:p>
        </w:tc>
        <w:tc>
          <w:tcPr>
            <w:tcW w:w="4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实施依据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实施对象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办理时限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kern w:val="0"/>
                <w:sz w:val="15"/>
                <w:szCs w:val="15"/>
              </w:rPr>
            </w:pPr>
            <w:r>
              <w:rPr>
                <w:rFonts w:hint="eastAsia" w:ascii="宋体" w:hAnsi="宋体" w:cs="宋体"/>
                <w:b/>
                <w:kern w:val="0"/>
                <w:sz w:val="15"/>
                <w:szCs w:val="15"/>
              </w:rPr>
              <w:t>收费依据和标准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/>
                <w:sz w:val="15"/>
                <w:szCs w:val="15"/>
              </w:rPr>
            </w:pPr>
            <w:r>
              <w:rPr>
                <w:rFonts w:hint="eastAsia" w:ascii="宋体"/>
                <w:b/>
                <w:sz w:val="15"/>
                <w:szCs w:val="15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7" w:hRule="atLeast"/>
          <w:tblHeader/>
          <w:jc w:val="center"/>
        </w:trPr>
        <w:tc>
          <w:tcPr>
            <w:tcW w:w="105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行政监督</w:t>
            </w: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108001</w:t>
            </w: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5"/>
                <w:szCs w:val="15"/>
              </w:rPr>
              <w:t xml:space="preserve">城市规划区内取用地下水许可初审 </w:t>
            </w:r>
          </w:p>
        </w:tc>
        <w:tc>
          <w:tcPr>
            <w:tcW w:w="1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eastAsia="仿宋_GB2312"/>
                <w:color w:val="000000"/>
                <w:sz w:val="15"/>
                <w:szCs w:val="15"/>
              </w:rPr>
            </w:pPr>
            <w:r>
              <w:rPr>
                <w:rFonts w:hint="eastAsia" w:ascii="仿宋_GB2312" w:eastAsia="仿宋_GB2312"/>
                <w:color w:val="000000"/>
                <w:sz w:val="15"/>
                <w:szCs w:val="15"/>
              </w:rPr>
              <w:t>《取水许可和水资源费征收管理条例》（国务院令第460号）第十九条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eastAsia="仿宋_GB2312"/>
                <w:color w:val="000000"/>
                <w:sz w:val="15"/>
                <w:szCs w:val="15"/>
              </w:rPr>
            </w:pPr>
            <w:r>
              <w:rPr>
                <w:rFonts w:hint="eastAsia" w:ascii="仿宋_GB2312" w:eastAsia="仿宋_GB2312"/>
                <w:color w:val="000000"/>
                <w:sz w:val="15"/>
                <w:szCs w:val="15"/>
              </w:rPr>
              <w:t>《取水许可和水资源费征收管理条例》国务院令第460号第十九条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108002</w:t>
            </w:r>
          </w:p>
        </w:tc>
        <w:tc>
          <w:tcPr>
            <w:tcW w:w="19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15"/>
                <w:szCs w:val="15"/>
              </w:rPr>
              <w:t xml:space="preserve">划拨土地使用权和地上建筑物、其他附着物转让、出租、抵押批准 </w:t>
            </w:r>
          </w:p>
        </w:tc>
        <w:tc>
          <w:tcPr>
            <w:tcW w:w="10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eastAsia="仿宋_GB2312"/>
                <w:color w:val="000000"/>
                <w:sz w:val="15"/>
                <w:szCs w:val="15"/>
              </w:rPr>
            </w:pPr>
            <w:r>
              <w:rPr>
                <w:rFonts w:hint="eastAsia" w:ascii="仿宋_GB2312" w:eastAsia="仿宋_GB2312"/>
                <w:color w:val="000000"/>
                <w:sz w:val="15"/>
                <w:szCs w:val="15"/>
              </w:rPr>
              <w:t>《城镇国有土地使用权出让和转让暂行条例》（国务院令第55号）第四十五条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eastAsia="仿宋_GB2312"/>
                <w:color w:val="000000"/>
                <w:sz w:val="15"/>
                <w:szCs w:val="15"/>
              </w:rPr>
            </w:pPr>
            <w:r>
              <w:rPr>
                <w:rFonts w:hint="eastAsia" w:ascii="仿宋_GB2312" w:eastAsia="仿宋_GB2312"/>
                <w:color w:val="000000"/>
                <w:sz w:val="15"/>
                <w:szCs w:val="15"/>
              </w:rPr>
              <w:t>《城镇国有土地使用权出让和转让暂行条例》（国务院令第55号）第四十五条</w:t>
            </w: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108003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对施工图设计文件审查备案的监督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《房屋建筑和市政基础设施工程施工图设计文件审查管理办法》第十三条；《民用建筑节能条例》第十三条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108004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对建设工程质量监督手续备案的监督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建筑工程质量监督站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《建设工程质量管理条例》第十三条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108005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对建设工程安全监督手续备案的监督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《建筑工程施工许可管理办法》第四条；《</w:t>
            </w: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  <w:lang w:eastAsia="zh-CN"/>
              </w:rPr>
              <w:t>建设工程安全生产管理条例</w:t>
            </w: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》第十条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108006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对移交建设项目档案监督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《建设工程质量管理条例》第十七条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108007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对进冀施工企业、工程建设监理企业、建筑装饰装修企业备案的监督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80" w:lineRule="exact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建筑工程质量监督站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《河北省建筑条例》第十三条；《河北省建筑装饰装修管理条例》第七条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105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108008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对建设工程竣工验收备案监督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《建设工程质量管理条例》第四十九条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tblHeader/>
          <w:jc w:val="center"/>
        </w:trPr>
        <w:tc>
          <w:tcPr>
            <w:tcW w:w="10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1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108009</w:t>
            </w: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对商品房预售合同登记备案的监督</w:t>
            </w:r>
          </w:p>
        </w:tc>
        <w:tc>
          <w:tcPr>
            <w:tcW w:w="11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住房和城乡建设局）</w:t>
            </w:r>
          </w:p>
        </w:tc>
        <w:tc>
          <w:tcPr>
            <w:tcW w:w="1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住房和城乡建设股</w:t>
            </w:r>
          </w:p>
        </w:tc>
        <w:tc>
          <w:tcPr>
            <w:tcW w:w="42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《商品房预售管理办法》第十条</w:t>
            </w:r>
          </w:p>
        </w:tc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15"/>
                <w:szCs w:val="15"/>
              </w:rPr>
              <w:t>施工单位</w:t>
            </w:r>
          </w:p>
        </w:tc>
        <w:tc>
          <w:tcPr>
            <w:tcW w:w="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80" w:lineRule="exact"/>
              <w:jc w:val="center"/>
              <w:rPr>
                <w:rFonts w:ascii="仿宋_GB2312" w:hAnsi="宋体" w:eastAsia="仿宋_GB2312" w:cs="宋体"/>
                <w:kern w:val="0"/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  <w:tc>
          <w:tcPr>
            <w:tcW w:w="6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sz w:val="15"/>
                <w:szCs w:val="15"/>
              </w:rPr>
            </w:pPr>
          </w:p>
        </w:tc>
      </w:tr>
    </w:tbl>
    <w:p>
      <w:pPr>
        <w:rPr>
          <w:rFonts w:ascii="黑体" w:hAnsi="宋体" w:eastAsia="黑体" w:cs="宋体"/>
          <w:sz w:val="15"/>
          <w:szCs w:val="15"/>
        </w:rPr>
      </w:pPr>
    </w:p>
    <w:p>
      <w:pPr>
        <w:rPr>
          <w:rFonts w:ascii="黑体" w:hAnsi="宋体" w:eastAsia="黑体" w:cs="宋体"/>
          <w:sz w:val="15"/>
          <w:szCs w:val="15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TVjYmExZTNkMjgxYTgxN2UwMGEwNDFmNTNiMzEzZGEifQ=="/>
  </w:docVars>
  <w:rsids>
    <w:rsidRoot w:val="00554CD4"/>
    <w:rsid w:val="0009609A"/>
    <w:rsid w:val="00177BDE"/>
    <w:rsid w:val="001E748B"/>
    <w:rsid w:val="00244E22"/>
    <w:rsid w:val="002613A8"/>
    <w:rsid w:val="002A500A"/>
    <w:rsid w:val="002F5007"/>
    <w:rsid w:val="0031301F"/>
    <w:rsid w:val="0032374C"/>
    <w:rsid w:val="00366868"/>
    <w:rsid w:val="003A66E6"/>
    <w:rsid w:val="00440B17"/>
    <w:rsid w:val="004A3566"/>
    <w:rsid w:val="004E009A"/>
    <w:rsid w:val="00554CD4"/>
    <w:rsid w:val="00556883"/>
    <w:rsid w:val="005905CF"/>
    <w:rsid w:val="0064358B"/>
    <w:rsid w:val="006836A2"/>
    <w:rsid w:val="006D3DDE"/>
    <w:rsid w:val="00733F68"/>
    <w:rsid w:val="007B17D6"/>
    <w:rsid w:val="007E0031"/>
    <w:rsid w:val="007E31D4"/>
    <w:rsid w:val="00860B8D"/>
    <w:rsid w:val="008B2D41"/>
    <w:rsid w:val="008C0340"/>
    <w:rsid w:val="008C280B"/>
    <w:rsid w:val="008C75FE"/>
    <w:rsid w:val="008D2535"/>
    <w:rsid w:val="0090040B"/>
    <w:rsid w:val="00984719"/>
    <w:rsid w:val="00993F8E"/>
    <w:rsid w:val="00A43882"/>
    <w:rsid w:val="00BF25E4"/>
    <w:rsid w:val="00C11B60"/>
    <w:rsid w:val="00C302A0"/>
    <w:rsid w:val="00D70DD3"/>
    <w:rsid w:val="00DF6844"/>
    <w:rsid w:val="00E01C18"/>
    <w:rsid w:val="00E23F53"/>
    <w:rsid w:val="00E87A39"/>
    <w:rsid w:val="00EC67C7"/>
    <w:rsid w:val="00F07557"/>
    <w:rsid w:val="00F92D6B"/>
    <w:rsid w:val="0AD0793D"/>
    <w:rsid w:val="0DDB172E"/>
    <w:rsid w:val="58BC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2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7"/>
    <w:basedOn w:val="1"/>
    <w:next w:val="1"/>
    <w:autoRedefine/>
    <w:qFormat/>
    <w:uiPriority w:val="0"/>
    <w:pPr>
      <w:ind w:left="2520" w:leftChars="1200"/>
    </w:pPr>
  </w:style>
  <w:style w:type="paragraph" w:styleId="4">
    <w:name w:val="toc 5"/>
    <w:basedOn w:val="1"/>
    <w:next w:val="1"/>
    <w:autoRedefine/>
    <w:qFormat/>
    <w:uiPriority w:val="0"/>
    <w:pPr>
      <w:ind w:left="1680" w:leftChars="800"/>
    </w:pPr>
  </w:style>
  <w:style w:type="paragraph" w:styleId="5">
    <w:name w:val="toc 3"/>
    <w:basedOn w:val="1"/>
    <w:next w:val="1"/>
    <w:qFormat/>
    <w:uiPriority w:val="0"/>
    <w:pPr>
      <w:ind w:left="840" w:leftChars="400"/>
    </w:pPr>
  </w:style>
  <w:style w:type="paragraph" w:styleId="6">
    <w:name w:val="toc 8"/>
    <w:basedOn w:val="1"/>
    <w:next w:val="1"/>
    <w:qFormat/>
    <w:uiPriority w:val="0"/>
    <w:pPr>
      <w:ind w:left="2940" w:leftChars="1400"/>
    </w:pPr>
  </w:style>
  <w:style w:type="paragraph" w:styleId="7">
    <w:name w:val="footer"/>
    <w:basedOn w:val="1"/>
    <w:link w:val="2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autoRedefine/>
    <w:qFormat/>
    <w:uiPriority w:val="0"/>
  </w:style>
  <w:style w:type="paragraph" w:styleId="10">
    <w:name w:val="toc 4"/>
    <w:basedOn w:val="1"/>
    <w:next w:val="1"/>
    <w:autoRedefine/>
    <w:qFormat/>
    <w:uiPriority w:val="0"/>
    <w:pPr>
      <w:ind w:left="1260" w:leftChars="600"/>
    </w:pPr>
  </w:style>
  <w:style w:type="paragraph" w:styleId="11">
    <w:name w:val="toc 6"/>
    <w:basedOn w:val="1"/>
    <w:next w:val="1"/>
    <w:qFormat/>
    <w:uiPriority w:val="0"/>
    <w:pPr>
      <w:ind w:left="2100" w:leftChars="1000"/>
    </w:pPr>
  </w:style>
  <w:style w:type="paragraph" w:styleId="12">
    <w:name w:val="toc 2"/>
    <w:basedOn w:val="1"/>
    <w:next w:val="1"/>
    <w:qFormat/>
    <w:uiPriority w:val="0"/>
    <w:pPr>
      <w:ind w:left="420" w:leftChars="200"/>
    </w:pPr>
  </w:style>
  <w:style w:type="paragraph" w:styleId="13">
    <w:name w:val="toc 9"/>
    <w:basedOn w:val="1"/>
    <w:next w:val="1"/>
    <w:autoRedefine/>
    <w:qFormat/>
    <w:uiPriority w:val="0"/>
    <w:pPr>
      <w:ind w:left="3360" w:leftChars="1600"/>
    </w:pPr>
  </w:style>
  <w:style w:type="paragraph" w:styleId="14">
    <w:name w:val="Normal (Web)"/>
    <w:basedOn w:val="1"/>
    <w:qFormat/>
    <w:uiPriority w:val="0"/>
    <w:pPr>
      <w:widowControl/>
      <w:spacing w:line="432" w:lineRule="auto"/>
      <w:jc w:val="left"/>
    </w:pPr>
    <w:rPr>
      <w:rFonts w:ascii="宋体" w:hAnsi="宋体" w:cs="宋体"/>
      <w:kern w:val="0"/>
      <w:sz w:val="24"/>
    </w:rPr>
  </w:style>
  <w:style w:type="character" w:styleId="17">
    <w:name w:val="Strong"/>
    <w:basedOn w:val="16"/>
    <w:qFormat/>
    <w:uiPriority w:val="0"/>
    <w:rPr>
      <w:b/>
      <w:bCs/>
    </w:rPr>
  </w:style>
  <w:style w:type="character" w:styleId="18">
    <w:name w:val="page number"/>
    <w:basedOn w:val="16"/>
    <w:autoRedefine/>
    <w:qFormat/>
    <w:uiPriority w:val="0"/>
  </w:style>
  <w:style w:type="character" w:styleId="19">
    <w:name w:val="Hyperlink"/>
    <w:basedOn w:val="16"/>
    <w:qFormat/>
    <w:uiPriority w:val="0"/>
    <w:rPr>
      <w:color w:val="0000FF"/>
      <w:u w:val="single"/>
    </w:rPr>
  </w:style>
  <w:style w:type="character" w:customStyle="1" w:styleId="20">
    <w:name w:val="页眉 Char"/>
    <w:basedOn w:val="16"/>
    <w:link w:val="8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Char"/>
    <w:basedOn w:val="16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标题 1 Char"/>
    <w:basedOn w:val="16"/>
    <w:link w:val="2"/>
    <w:qFormat/>
    <w:uiPriority w:val="0"/>
    <w:rPr>
      <w:rFonts w:ascii="Times New Roman" w:hAnsi="Times New Roman" w:eastAsia="宋体" w:cs="Times New Roman"/>
      <w:b/>
      <w:kern w:val="44"/>
      <w:sz w:val="44"/>
      <w:szCs w:val="20"/>
    </w:rPr>
  </w:style>
  <w:style w:type="paragraph" w:customStyle="1" w:styleId="23">
    <w:name w:val="Char Char Char Char Char Char Char Char1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25">
    <w:name w:val="Char3 Char Char Char"/>
    <w:basedOn w:val="1"/>
    <w:qFormat/>
    <w:uiPriority w:val="0"/>
    <w:pPr>
      <w:tabs>
        <w:tab w:val="left" w:pos="794"/>
        <w:tab w:val="left" w:pos="1191"/>
        <w:tab w:val="left" w:pos="1588"/>
        <w:tab w:val="left" w:pos="1985"/>
      </w:tabs>
      <w:autoSpaceDE w:val="0"/>
      <w:autoSpaceDN w:val="0"/>
      <w:adjustRightInd w:val="0"/>
      <w:spacing w:before="136"/>
    </w:pPr>
    <w:rPr>
      <w:szCs w:val="24"/>
    </w:rPr>
  </w:style>
  <w:style w:type="character" w:customStyle="1" w:styleId="26">
    <w:name w:val="apple-converted-space"/>
    <w:basedOn w:val="16"/>
    <w:autoRedefine/>
    <w:qFormat/>
    <w:uiPriority w:val="0"/>
  </w:style>
  <w:style w:type="paragraph" w:customStyle="1" w:styleId="27">
    <w:name w:val="默认段落字体 Para Char Char Char Char"/>
    <w:basedOn w:val="1"/>
    <w:autoRedefine/>
    <w:qFormat/>
    <w:uiPriority w:val="0"/>
  </w:style>
  <w:style w:type="paragraph" w:customStyle="1" w:styleId="28">
    <w:name w:val="Char"/>
    <w:basedOn w:val="2"/>
    <w:autoRedefine/>
    <w:qFormat/>
    <w:uiPriority w:val="0"/>
    <w:pPr>
      <w:snapToGrid w:val="0"/>
      <w:spacing w:before="240" w:after="240" w:line="348" w:lineRule="auto"/>
    </w:pPr>
    <w:rPr>
      <w:bCs/>
      <w:szCs w:val="44"/>
    </w:rPr>
  </w:style>
  <w:style w:type="character" w:customStyle="1" w:styleId="29">
    <w:name w:val="font11"/>
    <w:basedOn w:val="16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30">
    <w:name w:val="font41"/>
    <w:basedOn w:val="16"/>
    <w:autoRedefine/>
    <w:qFormat/>
    <w:uiPriority w:val="0"/>
    <w:rPr>
      <w:rFonts w:hint="eastAsia" w:ascii="仿宋" w:hAnsi="仿宋" w:eastAsia="仿宋" w:cs="仿宋"/>
      <w:color w:val="333333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131</Words>
  <Characters>748</Characters>
  <Lines>6</Lines>
  <Paragraphs>1</Paragraphs>
  <TotalTime>5</TotalTime>
  <ScaleCrop>false</ScaleCrop>
  <LinksUpToDate>false</LinksUpToDate>
  <CharactersWithSpaces>878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2019-10-30T02:43:00Z</dcterms:created>
  <dc:creator>Administrator</dc:creator>
  <cp:lastModifiedBy>Dreamer</cp:lastModifiedBy>
  <dcterms:modified xsi:type="dcterms:W3CDTF">2024-03-12T01:39:37Z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FDB1D49F3D9544F48E09BBC4B1300070_12</vt:lpwstr>
  </property>
</Properties>
</file>