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县住房和城乡建设局行政权力清单</w:t>
      </w:r>
    </w:p>
    <w:tbl>
      <w:tblPr>
        <w:tblStyle w:val="15"/>
        <w:tblW w:w="149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9"/>
        <w:gridCol w:w="1118"/>
        <w:gridCol w:w="1923"/>
        <w:gridCol w:w="41"/>
        <w:gridCol w:w="1080"/>
        <w:gridCol w:w="19"/>
        <w:gridCol w:w="1210"/>
        <w:gridCol w:w="16"/>
        <w:gridCol w:w="4216"/>
        <w:gridCol w:w="973"/>
        <w:gridCol w:w="872"/>
        <w:gridCol w:w="1701"/>
        <w:gridCol w:w="6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tblHeader/>
          <w:jc w:val="center"/>
        </w:trPr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b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行政处罚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 w:val="15"/>
                <w:szCs w:val="15"/>
              </w:rPr>
            </w:pPr>
            <w:r>
              <w:rPr>
                <w:rFonts w:hint="eastAsia" w:ascii="宋体" w:hAnsi="宋体" w:cs="宋体"/>
                <w:b/>
                <w:kern w:val="0"/>
                <w:sz w:val="15"/>
                <w:szCs w:val="15"/>
              </w:rPr>
              <w:t>项目编码</w:t>
            </w:r>
          </w:p>
        </w:tc>
        <w:tc>
          <w:tcPr>
            <w:tcW w:w="1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 w:val="15"/>
                <w:szCs w:val="15"/>
              </w:rPr>
            </w:pPr>
            <w:r>
              <w:rPr>
                <w:rFonts w:hint="eastAsia" w:ascii="宋体" w:hAnsi="宋体" w:cs="宋体"/>
                <w:b/>
                <w:kern w:val="0"/>
                <w:sz w:val="15"/>
                <w:szCs w:val="15"/>
              </w:rPr>
              <w:t>项目名称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 w:val="15"/>
                <w:szCs w:val="15"/>
              </w:rPr>
            </w:pPr>
            <w:r>
              <w:rPr>
                <w:rFonts w:hint="eastAsia" w:ascii="宋体" w:hAnsi="宋体" w:cs="宋体"/>
                <w:b/>
                <w:kern w:val="0"/>
                <w:sz w:val="15"/>
                <w:szCs w:val="15"/>
              </w:rPr>
              <w:t>实施主体</w:t>
            </w:r>
          </w:p>
        </w:tc>
        <w:tc>
          <w:tcPr>
            <w:tcW w:w="12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 w:val="15"/>
                <w:szCs w:val="15"/>
              </w:rPr>
            </w:pPr>
            <w:r>
              <w:rPr>
                <w:rFonts w:hint="eastAsia" w:ascii="宋体" w:hAnsi="宋体" w:cs="宋体"/>
                <w:b/>
                <w:kern w:val="0"/>
                <w:sz w:val="15"/>
                <w:szCs w:val="15"/>
              </w:rPr>
              <w:t>承办机构</w:t>
            </w:r>
          </w:p>
        </w:tc>
        <w:tc>
          <w:tcPr>
            <w:tcW w:w="4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 w:val="15"/>
                <w:szCs w:val="15"/>
              </w:rPr>
            </w:pPr>
            <w:r>
              <w:rPr>
                <w:rFonts w:hint="eastAsia" w:ascii="宋体" w:hAnsi="宋体" w:cs="宋体"/>
                <w:b/>
                <w:kern w:val="0"/>
                <w:sz w:val="15"/>
                <w:szCs w:val="15"/>
              </w:rPr>
              <w:t>实施依据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 w:val="15"/>
                <w:szCs w:val="15"/>
              </w:rPr>
            </w:pPr>
            <w:r>
              <w:rPr>
                <w:rFonts w:hint="eastAsia" w:ascii="宋体" w:hAnsi="宋体" w:cs="宋体"/>
                <w:b/>
                <w:kern w:val="0"/>
                <w:sz w:val="15"/>
                <w:szCs w:val="15"/>
              </w:rPr>
              <w:t>实施对象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 w:val="15"/>
                <w:szCs w:val="15"/>
              </w:rPr>
            </w:pPr>
            <w:r>
              <w:rPr>
                <w:rFonts w:hint="eastAsia" w:ascii="宋体" w:hAnsi="宋体" w:cs="宋体"/>
                <w:b/>
                <w:kern w:val="0"/>
                <w:sz w:val="15"/>
                <w:szCs w:val="15"/>
              </w:rPr>
              <w:t>办理时限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 w:val="15"/>
                <w:szCs w:val="15"/>
              </w:rPr>
            </w:pPr>
            <w:r>
              <w:rPr>
                <w:rFonts w:hint="eastAsia" w:ascii="宋体" w:hAnsi="宋体" w:cs="宋体"/>
                <w:b/>
                <w:kern w:val="0"/>
                <w:sz w:val="15"/>
                <w:szCs w:val="15"/>
              </w:rPr>
              <w:t>收费依据和标准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hint="eastAsia" w:ascii="宋体"/>
                <w:b/>
                <w:sz w:val="15"/>
                <w:szCs w:val="15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tblHeader/>
          <w:jc w:val="center"/>
        </w:trPr>
        <w:tc>
          <w:tcPr>
            <w:tcW w:w="105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行政监督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108001</w:t>
            </w:r>
          </w:p>
        </w:tc>
        <w:tc>
          <w:tcPr>
            <w:tcW w:w="1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15"/>
                <w:szCs w:val="15"/>
              </w:rPr>
              <w:t xml:space="preserve">城市规划区内取用地下水许可初审 </w:t>
            </w:r>
          </w:p>
        </w:tc>
        <w:tc>
          <w:tcPr>
            <w:tcW w:w="10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住房和城乡建设局</w:t>
            </w: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住房和城乡建设股</w:t>
            </w:r>
          </w:p>
        </w:tc>
        <w:tc>
          <w:tcPr>
            <w:tcW w:w="4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eastAsia="仿宋_GB2312"/>
                <w:color w:val="000000"/>
                <w:sz w:val="15"/>
                <w:szCs w:val="15"/>
              </w:rPr>
            </w:pPr>
            <w:r>
              <w:rPr>
                <w:rFonts w:hint="eastAsia" w:ascii="仿宋_GB2312" w:eastAsia="仿宋_GB2312"/>
                <w:color w:val="000000"/>
                <w:sz w:val="15"/>
                <w:szCs w:val="15"/>
              </w:rPr>
              <w:t>《取水许可和水资源费征收管理条例》（国务院令第460号）第十九条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施工单位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eastAsia="仿宋_GB2312"/>
                <w:color w:val="000000"/>
                <w:sz w:val="15"/>
                <w:szCs w:val="15"/>
              </w:rPr>
            </w:pPr>
            <w:r>
              <w:rPr>
                <w:rFonts w:hint="eastAsia" w:ascii="仿宋_GB2312" w:eastAsia="仿宋_GB2312"/>
                <w:color w:val="000000"/>
                <w:sz w:val="15"/>
                <w:szCs w:val="15"/>
              </w:rPr>
              <w:t>《取水许可和水资源费征收管理条例》国务院令第460号第十九条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7" w:hRule="atLeast"/>
          <w:tblHeader/>
          <w:jc w:val="center"/>
        </w:trPr>
        <w:tc>
          <w:tcPr>
            <w:tcW w:w="105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108002</w:t>
            </w:r>
          </w:p>
        </w:tc>
        <w:tc>
          <w:tcPr>
            <w:tcW w:w="1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15"/>
                <w:szCs w:val="15"/>
              </w:rPr>
              <w:t xml:space="preserve">划拨土地使用权和地上建筑物、其他附着物转让、出租、抵押批准 </w:t>
            </w:r>
          </w:p>
        </w:tc>
        <w:tc>
          <w:tcPr>
            <w:tcW w:w="10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住房和城乡建设局</w:t>
            </w: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住房和城乡建设股</w:t>
            </w:r>
          </w:p>
        </w:tc>
        <w:tc>
          <w:tcPr>
            <w:tcW w:w="4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eastAsia="仿宋_GB2312"/>
                <w:color w:val="000000"/>
                <w:sz w:val="15"/>
                <w:szCs w:val="15"/>
              </w:rPr>
            </w:pPr>
            <w:r>
              <w:rPr>
                <w:rFonts w:hint="eastAsia" w:ascii="仿宋_GB2312" w:eastAsia="仿宋_GB2312"/>
                <w:color w:val="000000"/>
                <w:sz w:val="15"/>
                <w:szCs w:val="15"/>
              </w:rPr>
              <w:t>《中华人民共和国城镇国有土地使用权出让和转让暂行条例》（国务院令第55号）第四十五条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施工单位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eastAsia="仿宋_GB2312"/>
                <w:color w:val="000000"/>
                <w:sz w:val="15"/>
                <w:szCs w:val="15"/>
              </w:rPr>
            </w:pPr>
            <w:r>
              <w:rPr>
                <w:rFonts w:hint="eastAsia" w:ascii="仿宋_GB2312" w:eastAsia="仿宋_GB2312"/>
                <w:color w:val="000000"/>
                <w:sz w:val="15"/>
                <w:szCs w:val="15"/>
              </w:rPr>
              <w:t>《中华人民共和国城镇国有土地使用权出让和转让暂行条例》（国务院令第55号）第四十五条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tblHeader/>
          <w:jc w:val="center"/>
        </w:trPr>
        <w:tc>
          <w:tcPr>
            <w:tcW w:w="105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108003</w:t>
            </w:r>
          </w:p>
        </w:tc>
        <w:tc>
          <w:tcPr>
            <w:tcW w:w="1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对施工图设计文件审查备案的监督</w:t>
            </w:r>
          </w:p>
        </w:tc>
        <w:tc>
          <w:tcPr>
            <w:tcW w:w="11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exact"/>
              <w:jc w:val="center"/>
              <w:rPr>
                <w:rFonts w:ascii="仿宋_GB2312" w:eastAsia="仿宋_GB2312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住房和城乡建设局</w:t>
            </w:r>
          </w:p>
        </w:tc>
        <w:tc>
          <w:tcPr>
            <w:tcW w:w="1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住房和城乡建设股</w:t>
            </w:r>
          </w:p>
        </w:tc>
        <w:tc>
          <w:tcPr>
            <w:tcW w:w="42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《房屋建筑和市政基础设施工程施工图设计文件审查管理办法》第十三条；《民用建筑节能条例》第十三条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施工单位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exact"/>
              <w:jc w:val="center"/>
              <w:rPr>
                <w:rFonts w:ascii="仿宋_GB2312" w:eastAsia="仿宋_GB2312"/>
                <w:sz w:val="15"/>
                <w:szCs w:val="15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tblHeader/>
          <w:jc w:val="center"/>
        </w:trPr>
        <w:tc>
          <w:tcPr>
            <w:tcW w:w="105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108004</w:t>
            </w:r>
          </w:p>
        </w:tc>
        <w:tc>
          <w:tcPr>
            <w:tcW w:w="1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对建设工程质量监督手续备案的监督</w:t>
            </w:r>
          </w:p>
        </w:tc>
        <w:tc>
          <w:tcPr>
            <w:tcW w:w="11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exact"/>
              <w:jc w:val="center"/>
              <w:rPr>
                <w:rFonts w:ascii="仿宋_GB2312" w:eastAsia="仿宋_GB2312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住房和城乡建设局</w:t>
            </w:r>
          </w:p>
        </w:tc>
        <w:tc>
          <w:tcPr>
            <w:tcW w:w="1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建筑工程质量监督站</w:t>
            </w:r>
          </w:p>
        </w:tc>
        <w:tc>
          <w:tcPr>
            <w:tcW w:w="42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《建设工程质量管理条</w:t>
            </w:r>
            <w:bookmarkStart w:id="0" w:name="_GoBack"/>
            <w:bookmarkEnd w:id="0"/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例》第十三条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施工单位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sz w:val="15"/>
                <w:szCs w:val="15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tblHeader/>
          <w:jc w:val="center"/>
        </w:trPr>
        <w:tc>
          <w:tcPr>
            <w:tcW w:w="105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108005</w:t>
            </w:r>
          </w:p>
        </w:tc>
        <w:tc>
          <w:tcPr>
            <w:tcW w:w="1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对建设工程安全监督手续备案的监督</w:t>
            </w:r>
          </w:p>
        </w:tc>
        <w:tc>
          <w:tcPr>
            <w:tcW w:w="11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exact"/>
              <w:jc w:val="center"/>
              <w:rPr>
                <w:rFonts w:ascii="仿宋_GB2312" w:eastAsia="仿宋_GB2312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住房和城乡建设局</w:t>
            </w:r>
          </w:p>
        </w:tc>
        <w:tc>
          <w:tcPr>
            <w:tcW w:w="1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住房和城乡建设股</w:t>
            </w:r>
          </w:p>
        </w:tc>
        <w:tc>
          <w:tcPr>
            <w:tcW w:w="42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《建筑工程施工许可管理办法》第四条；《建设工程安全生产管理条例》第十条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施工单位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sz w:val="15"/>
                <w:szCs w:val="15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tblHeader/>
          <w:jc w:val="center"/>
        </w:trPr>
        <w:tc>
          <w:tcPr>
            <w:tcW w:w="105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108006</w:t>
            </w:r>
          </w:p>
        </w:tc>
        <w:tc>
          <w:tcPr>
            <w:tcW w:w="1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对移交建设项目档案监督</w:t>
            </w:r>
          </w:p>
        </w:tc>
        <w:tc>
          <w:tcPr>
            <w:tcW w:w="11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exact"/>
              <w:jc w:val="center"/>
              <w:rPr>
                <w:rFonts w:ascii="仿宋_GB2312" w:eastAsia="仿宋_GB2312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住房和城乡建设局</w:t>
            </w:r>
          </w:p>
        </w:tc>
        <w:tc>
          <w:tcPr>
            <w:tcW w:w="1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住房和城乡建设股</w:t>
            </w:r>
          </w:p>
        </w:tc>
        <w:tc>
          <w:tcPr>
            <w:tcW w:w="42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《建设工程质量管理条例》第十七条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施工单位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15"/>
                <w:szCs w:val="15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tblHeader/>
          <w:jc w:val="center"/>
        </w:trPr>
        <w:tc>
          <w:tcPr>
            <w:tcW w:w="105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108007</w:t>
            </w:r>
          </w:p>
        </w:tc>
        <w:tc>
          <w:tcPr>
            <w:tcW w:w="1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对进冀施工企业、工程建设监理企业、建筑装饰装修企业备案的监督</w:t>
            </w:r>
          </w:p>
        </w:tc>
        <w:tc>
          <w:tcPr>
            <w:tcW w:w="11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80" w:lineRule="exact"/>
              <w:rPr>
                <w:rFonts w:ascii="仿宋_GB2312" w:eastAsia="仿宋_GB2312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住房和城乡建设局</w:t>
            </w:r>
          </w:p>
        </w:tc>
        <w:tc>
          <w:tcPr>
            <w:tcW w:w="1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建筑工程质量监督站</w:t>
            </w:r>
          </w:p>
        </w:tc>
        <w:tc>
          <w:tcPr>
            <w:tcW w:w="42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《河北省建筑条例》第十三条；《河北省建筑装饰装修管理条例》第七条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施工单位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sz w:val="15"/>
                <w:szCs w:val="15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tblHeader/>
          <w:jc w:val="center"/>
        </w:trPr>
        <w:tc>
          <w:tcPr>
            <w:tcW w:w="105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108008</w:t>
            </w:r>
          </w:p>
        </w:tc>
        <w:tc>
          <w:tcPr>
            <w:tcW w:w="1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对建设工程竣工验收备案监督</w:t>
            </w:r>
          </w:p>
        </w:tc>
        <w:tc>
          <w:tcPr>
            <w:tcW w:w="11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住房和城乡建设局</w:t>
            </w:r>
          </w:p>
        </w:tc>
        <w:tc>
          <w:tcPr>
            <w:tcW w:w="1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住房和城乡建设股</w:t>
            </w:r>
          </w:p>
        </w:tc>
        <w:tc>
          <w:tcPr>
            <w:tcW w:w="42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《建设工程质量管理条例》第四十九条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施工单位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sz w:val="15"/>
                <w:szCs w:val="15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tblHeader/>
          <w:jc w:val="center"/>
        </w:trPr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108009</w:t>
            </w:r>
          </w:p>
        </w:tc>
        <w:tc>
          <w:tcPr>
            <w:tcW w:w="1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对商品房预售合同登记备案的监督</w:t>
            </w:r>
          </w:p>
        </w:tc>
        <w:tc>
          <w:tcPr>
            <w:tcW w:w="11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住房和城乡建设局）</w:t>
            </w:r>
          </w:p>
        </w:tc>
        <w:tc>
          <w:tcPr>
            <w:tcW w:w="1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住房和城乡建设股</w:t>
            </w:r>
          </w:p>
        </w:tc>
        <w:tc>
          <w:tcPr>
            <w:tcW w:w="42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《商品房预售管理办法》第十条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施工单位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sz w:val="15"/>
                <w:szCs w:val="15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sz w:val="15"/>
                <w:szCs w:val="15"/>
              </w:rPr>
            </w:pPr>
          </w:p>
        </w:tc>
      </w:tr>
    </w:tbl>
    <w:p>
      <w:pPr>
        <w:rPr>
          <w:rFonts w:ascii="黑体" w:hAnsi="宋体" w:eastAsia="黑体" w:cs="宋体"/>
          <w:sz w:val="15"/>
          <w:szCs w:val="15"/>
        </w:rPr>
      </w:pPr>
    </w:p>
    <w:p>
      <w:pPr>
        <w:rPr>
          <w:rFonts w:ascii="黑体" w:hAnsi="宋体" w:eastAsia="黑体" w:cs="宋体"/>
          <w:sz w:val="15"/>
          <w:szCs w:val="15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4CD4"/>
    <w:rsid w:val="0009609A"/>
    <w:rsid w:val="00177BDE"/>
    <w:rsid w:val="001E748B"/>
    <w:rsid w:val="00244E22"/>
    <w:rsid w:val="002613A8"/>
    <w:rsid w:val="002A500A"/>
    <w:rsid w:val="002F5007"/>
    <w:rsid w:val="0031301F"/>
    <w:rsid w:val="0032374C"/>
    <w:rsid w:val="00366868"/>
    <w:rsid w:val="003A66E6"/>
    <w:rsid w:val="00440B17"/>
    <w:rsid w:val="004A3566"/>
    <w:rsid w:val="004E009A"/>
    <w:rsid w:val="00554CD4"/>
    <w:rsid w:val="00556883"/>
    <w:rsid w:val="005905CF"/>
    <w:rsid w:val="0064358B"/>
    <w:rsid w:val="006836A2"/>
    <w:rsid w:val="006D3DDE"/>
    <w:rsid w:val="00733F68"/>
    <w:rsid w:val="007B17D6"/>
    <w:rsid w:val="007E0031"/>
    <w:rsid w:val="007E31D4"/>
    <w:rsid w:val="00860B8D"/>
    <w:rsid w:val="008B2D41"/>
    <w:rsid w:val="008C0340"/>
    <w:rsid w:val="008C280B"/>
    <w:rsid w:val="008C75FE"/>
    <w:rsid w:val="008D2535"/>
    <w:rsid w:val="0090040B"/>
    <w:rsid w:val="00984719"/>
    <w:rsid w:val="00993F8E"/>
    <w:rsid w:val="00A43882"/>
    <w:rsid w:val="00BF25E4"/>
    <w:rsid w:val="00C11B60"/>
    <w:rsid w:val="00C302A0"/>
    <w:rsid w:val="00D70DD3"/>
    <w:rsid w:val="00DF6844"/>
    <w:rsid w:val="00E01C18"/>
    <w:rsid w:val="00E23F53"/>
    <w:rsid w:val="00E87A39"/>
    <w:rsid w:val="00EC67C7"/>
    <w:rsid w:val="00F07557"/>
    <w:rsid w:val="00F92D6B"/>
    <w:rsid w:val="011646D7"/>
    <w:rsid w:val="06AC5F82"/>
    <w:rsid w:val="0732071C"/>
    <w:rsid w:val="0AD0793D"/>
    <w:rsid w:val="0D7359A1"/>
    <w:rsid w:val="0DDB172E"/>
    <w:rsid w:val="11096801"/>
    <w:rsid w:val="21923DFF"/>
    <w:rsid w:val="2A28561B"/>
    <w:rsid w:val="2BC05357"/>
    <w:rsid w:val="2CD7343F"/>
    <w:rsid w:val="33564149"/>
    <w:rsid w:val="353B77E2"/>
    <w:rsid w:val="3A683CF4"/>
    <w:rsid w:val="49F40639"/>
    <w:rsid w:val="51A41581"/>
    <w:rsid w:val="62A24544"/>
    <w:rsid w:val="6EAA5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link w:val="22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16">
    <w:name w:val="Default Paragraph Font"/>
    <w:semiHidden/>
    <w:unhideWhenUsed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c 7"/>
    <w:basedOn w:val="1"/>
    <w:next w:val="1"/>
    <w:qFormat/>
    <w:uiPriority w:val="0"/>
    <w:pPr>
      <w:ind w:left="2520" w:leftChars="1200"/>
    </w:pPr>
  </w:style>
  <w:style w:type="paragraph" w:styleId="4">
    <w:name w:val="toc 5"/>
    <w:basedOn w:val="1"/>
    <w:next w:val="1"/>
    <w:qFormat/>
    <w:uiPriority w:val="0"/>
    <w:pPr>
      <w:ind w:left="1680" w:leftChars="800"/>
    </w:pPr>
  </w:style>
  <w:style w:type="paragraph" w:styleId="5">
    <w:name w:val="toc 3"/>
    <w:basedOn w:val="1"/>
    <w:next w:val="1"/>
    <w:qFormat/>
    <w:uiPriority w:val="0"/>
    <w:pPr>
      <w:ind w:left="840" w:leftChars="400"/>
    </w:pPr>
  </w:style>
  <w:style w:type="paragraph" w:styleId="6">
    <w:name w:val="toc 8"/>
    <w:basedOn w:val="1"/>
    <w:next w:val="1"/>
    <w:qFormat/>
    <w:uiPriority w:val="0"/>
    <w:pPr>
      <w:ind w:left="2940" w:leftChars="1400"/>
    </w:pPr>
  </w:style>
  <w:style w:type="paragraph" w:styleId="7">
    <w:name w:val="footer"/>
    <w:basedOn w:val="1"/>
    <w:link w:val="2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0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1"/>
    <w:basedOn w:val="1"/>
    <w:next w:val="1"/>
    <w:qFormat/>
    <w:uiPriority w:val="0"/>
  </w:style>
  <w:style w:type="paragraph" w:styleId="10">
    <w:name w:val="toc 4"/>
    <w:basedOn w:val="1"/>
    <w:next w:val="1"/>
    <w:qFormat/>
    <w:uiPriority w:val="0"/>
    <w:pPr>
      <w:ind w:left="1260" w:leftChars="600"/>
    </w:pPr>
  </w:style>
  <w:style w:type="paragraph" w:styleId="11">
    <w:name w:val="toc 6"/>
    <w:basedOn w:val="1"/>
    <w:next w:val="1"/>
    <w:qFormat/>
    <w:uiPriority w:val="0"/>
    <w:pPr>
      <w:ind w:left="2100" w:leftChars="1000"/>
    </w:pPr>
  </w:style>
  <w:style w:type="paragraph" w:styleId="12">
    <w:name w:val="toc 2"/>
    <w:basedOn w:val="1"/>
    <w:next w:val="1"/>
    <w:qFormat/>
    <w:uiPriority w:val="0"/>
    <w:pPr>
      <w:ind w:left="420" w:leftChars="200"/>
    </w:pPr>
  </w:style>
  <w:style w:type="paragraph" w:styleId="13">
    <w:name w:val="toc 9"/>
    <w:basedOn w:val="1"/>
    <w:next w:val="1"/>
    <w:qFormat/>
    <w:uiPriority w:val="0"/>
    <w:pPr>
      <w:ind w:left="3360" w:leftChars="1600"/>
    </w:pPr>
  </w:style>
  <w:style w:type="paragraph" w:styleId="14">
    <w:name w:val="Normal (Web)"/>
    <w:basedOn w:val="1"/>
    <w:qFormat/>
    <w:uiPriority w:val="0"/>
    <w:pPr>
      <w:widowControl/>
      <w:spacing w:line="432" w:lineRule="auto"/>
      <w:jc w:val="left"/>
    </w:pPr>
    <w:rPr>
      <w:rFonts w:ascii="宋体" w:hAnsi="宋体" w:cs="宋体"/>
      <w:kern w:val="0"/>
      <w:sz w:val="24"/>
    </w:rPr>
  </w:style>
  <w:style w:type="character" w:styleId="17">
    <w:name w:val="Strong"/>
    <w:basedOn w:val="16"/>
    <w:qFormat/>
    <w:uiPriority w:val="0"/>
    <w:rPr>
      <w:b/>
      <w:bCs/>
    </w:rPr>
  </w:style>
  <w:style w:type="character" w:styleId="18">
    <w:name w:val="page number"/>
    <w:basedOn w:val="16"/>
    <w:qFormat/>
    <w:uiPriority w:val="0"/>
  </w:style>
  <w:style w:type="character" w:styleId="19">
    <w:name w:val="Hyperlink"/>
    <w:basedOn w:val="16"/>
    <w:qFormat/>
    <w:uiPriority w:val="0"/>
    <w:rPr>
      <w:color w:val="0000FF"/>
      <w:u w:val="single"/>
    </w:rPr>
  </w:style>
  <w:style w:type="character" w:customStyle="1" w:styleId="20">
    <w:name w:val="页眉 Char"/>
    <w:basedOn w:val="16"/>
    <w:link w:val="8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1">
    <w:name w:val="页脚 Char"/>
    <w:basedOn w:val="16"/>
    <w:link w:val="7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2">
    <w:name w:val="标题 1 Char"/>
    <w:basedOn w:val="16"/>
    <w:link w:val="2"/>
    <w:qFormat/>
    <w:uiPriority w:val="0"/>
    <w:rPr>
      <w:rFonts w:ascii="Times New Roman" w:hAnsi="Times New Roman" w:eastAsia="宋体" w:cs="Times New Roman"/>
      <w:b/>
      <w:kern w:val="44"/>
      <w:sz w:val="44"/>
      <w:szCs w:val="20"/>
    </w:rPr>
  </w:style>
  <w:style w:type="paragraph" w:customStyle="1" w:styleId="23">
    <w:name w:val="Char Char Char Char Char Char Char Char1 Char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4">
    <w:name w:val="p0"/>
    <w:basedOn w:val="1"/>
    <w:qFormat/>
    <w:uiPriority w:val="0"/>
    <w:pPr>
      <w:widowControl/>
    </w:pPr>
    <w:rPr>
      <w:kern w:val="0"/>
      <w:szCs w:val="21"/>
    </w:rPr>
  </w:style>
  <w:style w:type="paragraph" w:customStyle="1" w:styleId="25">
    <w:name w:val="Char3 Char Char Char"/>
    <w:basedOn w:val="1"/>
    <w:qFormat/>
    <w:uiPriority w:val="0"/>
    <w:pPr>
      <w:tabs>
        <w:tab w:val="left" w:pos="794"/>
        <w:tab w:val="left" w:pos="1191"/>
        <w:tab w:val="left" w:pos="1588"/>
        <w:tab w:val="left" w:pos="1985"/>
      </w:tabs>
      <w:autoSpaceDE w:val="0"/>
      <w:autoSpaceDN w:val="0"/>
      <w:adjustRightInd w:val="0"/>
      <w:spacing w:before="136"/>
    </w:pPr>
    <w:rPr>
      <w:szCs w:val="24"/>
    </w:rPr>
  </w:style>
  <w:style w:type="character" w:customStyle="1" w:styleId="26">
    <w:name w:val="apple-converted-space"/>
    <w:basedOn w:val="16"/>
    <w:qFormat/>
    <w:uiPriority w:val="0"/>
  </w:style>
  <w:style w:type="paragraph" w:customStyle="1" w:styleId="27">
    <w:name w:val="默认段落字体 Para Char Char Char Char"/>
    <w:basedOn w:val="1"/>
    <w:qFormat/>
    <w:uiPriority w:val="0"/>
  </w:style>
  <w:style w:type="paragraph" w:customStyle="1" w:styleId="28">
    <w:name w:val="Char"/>
    <w:basedOn w:val="2"/>
    <w:qFormat/>
    <w:uiPriority w:val="0"/>
    <w:pPr>
      <w:snapToGrid w:val="0"/>
      <w:spacing w:before="240" w:after="240" w:line="348" w:lineRule="auto"/>
    </w:pPr>
    <w:rPr>
      <w:bCs/>
      <w:szCs w:val="44"/>
    </w:rPr>
  </w:style>
  <w:style w:type="character" w:customStyle="1" w:styleId="29">
    <w:name w:val="font11"/>
    <w:basedOn w:val="16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30">
    <w:name w:val="font41"/>
    <w:basedOn w:val="16"/>
    <w:qFormat/>
    <w:uiPriority w:val="0"/>
    <w:rPr>
      <w:rFonts w:hint="eastAsia" w:ascii="仿宋" w:hAnsi="仿宋" w:eastAsia="仿宋" w:cs="仿宋"/>
      <w:color w:val="333333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131</Words>
  <Characters>748</Characters>
  <Lines>6</Lines>
  <Paragraphs>1</Paragraphs>
  <TotalTime>12</TotalTime>
  <ScaleCrop>false</ScaleCrop>
  <LinksUpToDate>false</LinksUpToDate>
  <CharactersWithSpaces>878</CharactersWithSpaces>
  <Application>WPS Office_11.8.2.12119_F1E327BC-269C-435d-A152-05C5408002CA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2019-10-30T02:43:00Z</dcterms:created>
  <dc:creator>Administrator</dc:creator>
  <cp:lastModifiedBy>Administrator</cp:lastModifiedBy>
  <dcterms:modified xsi:type="dcterms:W3CDTF">2024-05-31T08:09:57Z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2052-11.8.2.12119</vt:lpwstr>
  </property>
  <property fmtid="{D5CDD505-2E9C-101B-9397-08002B2CF9AE}" pid="3" name="ICV">
    <vt:lpwstr>33F74E18D585431393616F072249A3B3</vt:lpwstr>
  </property>
</Properties>
</file>