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group id="组合 6" o:spid="_x0000_s1026" o:spt="203" style="position:absolute;left:0pt;margin-left:-84.8pt;margin-top:-231.65pt;height:959.25pt;width:595.2pt;z-index:251663360;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3"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ascii="仿宋_GB2312" w:hAnsi="仿宋" w:eastAsia="仿宋_GB2312"/>
                        <w:sz w:val="44"/>
                        <w:szCs w:val="44"/>
                      </w:rPr>
                    </w:pPr>
                    <w:r>
                      <w:rPr>
                        <w:rFonts w:hint="eastAsia" w:ascii="仿宋_GB2312" w:hAnsi="仿宋" w:eastAsia="仿宋_GB2312"/>
                        <w:sz w:val="36"/>
                        <w:szCs w:val="36"/>
                      </w:rPr>
                      <w:t>2021</w:t>
                    </w:r>
                    <w:r>
                      <w:rPr>
                        <w:rFonts w:hint="eastAsia" w:ascii="仿宋_GB2312" w:hAnsi="仿宋" w:eastAsia="仿宋_GB2312"/>
                        <w:sz w:val="36"/>
                        <w:szCs w:val="36"/>
                        <w:lang w:eastAsia="zh-CN"/>
                      </w:rPr>
                      <w:t>年</w:t>
                    </w:r>
                    <w:r>
                      <w:rPr>
                        <w:rFonts w:hint="eastAsia" w:ascii="仿宋_GB2312" w:eastAsia="仿宋_GB2312" w:hAnsiTheme="minorEastAsia"/>
                        <w:sz w:val="36"/>
                        <w:szCs w:val="36"/>
                        <w:lang w:val="en-US" w:eastAsia="zh-CN"/>
                      </w:rPr>
                      <w:t>10</w:t>
                    </w:r>
                    <w:r>
                      <w:rPr>
                        <w:rFonts w:hint="eastAsia" w:ascii="仿宋_GB2312" w:hAnsi="仿宋" w:eastAsia="仿宋_GB2312"/>
                        <w:sz w:val="36"/>
                        <w:szCs w:val="36"/>
                      </w:rPr>
                      <w:t>月</w:t>
                    </w:r>
                  </w:p>
                  <w:p/>
                </w:txbxContent>
              </v:textbox>
            </v:shape>
          </v:group>
        </w:pict>
      </w:r>
      <w:r>
        <w:br w:type="page"/>
      </w: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lang w:eastAsia="zh-CN"/>
        </w:rPr>
      </w:pPr>
      <w:r>
        <w:rPr>
          <w:rFonts w:hint="eastAsia" w:ascii="楷体_GB2312" w:hAnsi="楷体_GB2312" w:eastAsia="楷体_GB2312" w:cs="楷体_GB2312"/>
          <w:color w:val="000000" w:themeColor="text1"/>
          <w:kern w:val="0"/>
          <w:sz w:val="44"/>
          <w:szCs w:val="44"/>
          <w:lang w:eastAsia="zh-CN"/>
        </w:rPr>
        <w:t>阜平县人民法院</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val="en-US"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pPr>
    </w:p>
    <w:p>
      <w:pPr>
        <w:jc w:val="center"/>
        <w:rPr>
          <w:rFonts w:hint="eastAsia" w:ascii="黑体" w:hAnsi="黑体" w:eastAsia="黑体" w:cs="黑体"/>
          <w:sz w:val="72"/>
          <w:szCs w:val="96"/>
          <w:lang w:eastAsia="zh-CN"/>
        </w:rPr>
      </w:pPr>
      <w:r>
        <w:rPr>
          <w:rFonts w:hint="eastAsia" w:ascii="黑体" w:hAnsi="黑体" w:eastAsia="黑体" w:cs="黑体"/>
          <w:sz w:val="72"/>
          <w:szCs w:val="96"/>
          <w:lang w:eastAsia="zh-CN"/>
        </w:rPr>
        <w:t>阜平县人民法院</w:t>
      </w:r>
    </w:p>
    <w:p>
      <w:pPr>
        <w:jc w:val="both"/>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val="en-US"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阜平县人民法院是国家的审判机关，在党的领导下，依法独立行使审判权，对县人民代表大会及其常务委员会负责并报告工作。其主要职责是：</w:t>
      </w:r>
    </w:p>
    <w:p>
      <w:pPr>
        <w:spacing w:line="580" w:lineRule="exact"/>
        <w:ind w:firstLine="640" w:firstLineChars="200"/>
        <w:rPr>
          <w:rFonts w:hint="eastAsia" w:ascii="仿宋_GB2312" w:hAnsi="Calibri" w:eastAsia="仿宋_GB2312" w:cs="ArialUnicodeMS"/>
          <w:kern w:val="0"/>
          <w:sz w:val="32"/>
          <w:szCs w:val="32"/>
        </w:rPr>
      </w:pPr>
      <w:r>
        <w:rPr>
          <w:rFonts w:hint="eastAsia" w:ascii="仿宋_GB2312" w:hAnsi="Calibri" w:eastAsia="仿宋_GB2312" w:cs="ArialUnicodeMS"/>
          <w:kern w:val="0"/>
          <w:sz w:val="32"/>
          <w:szCs w:val="32"/>
        </w:rPr>
        <w:t>依法审判法律规定的由本院管辖的刑事、民事、行政等第一审案件。依法审判刑事、民事、行政等按照审判监督程序提起的再审案件和二审法院发还重审的案件。依法办理发生法律效力的刑事、民事、行政案件的执行事项；办理法律规定由法院执行的其他法律文书的执行事项。依法行使司法决定权。针对案件审理中发现的问题提出司法建议。负责审判工作的调查研究，总结审判工作经验，工作中就适用法律、政策问题进行请示、答复，负责全院的司法统计工作。对本院的法官和其他工作人员进行思想政治教育、组织专业培训；协助主管部门管理机构编制工作；按照权限管理法官和其它工作人员。管理人民法院的有关经费和物资装备。负责人民法院的司法技术鉴定工作。在审判工作中，宣传法治，指导民调工作。教育公民忠于社会主义祖国，自觉遵守宪法、法律和社会公德。承办其他应由基层人民法院负责的工作。</w:t>
      </w:r>
    </w:p>
    <w:p>
      <w:pPr>
        <w:spacing w:line="580" w:lineRule="exact"/>
        <w:ind w:firstLine="640" w:firstLineChars="200"/>
        <w:rPr>
          <w:rFonts w:hint="eastAsia" w:ascii="仿宋_GB2312" w:hAnsi="Calibri" w:eastAsia="仿宋_GB2312" w:cs="ArialUnicodeMS"/>
          <w:kern w:val="0"/>
          <w:sz w:val="32"/>
          <w:szCs w:val="32"/>
        </w:rPr>
      </w:pP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个，具体情况如下：</w:t>
      </w:r>
    </w:p>
    <w:tbl>
      <w:tblPr>
        <w:tblStyle w:val="6"/>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阜平县人民法院</w:t>
            </w:r>
          </w:p>
        </w:tc>
        <w:tc>
          <w:tcPr>
            <w:tcW w:w="2404"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行政单位</w:t>
            </w:r>
          </w:p>
        </w:tc>
        <w:tc>
          <w:tcPr>
            <w:tcW w:w="2622"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财政拨款</w:t>
            </w: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hint="eastAsia" w:ascii="仿宋_GB2312" w:hAnsi="Times New Roman" w:eastAsia="仿宋_GB2312" w:cs="Wingdings"/>
          <w:sz w:val="32"/>
          <w:szCs w:val="32"/>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42.52</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我院项目经费增加、办公设备及信息化网络购置增加</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42.52</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eastAsia="zh-CN"/>
        </w:rPr>
        <w:t>我院项目经费增加、办公设备及信息化网络购置增加</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hint="eastAsia" w:ascii="仿宋_GB2312" w:hAnsi="Times New Roman" w:eastAsia="仿宋_GB2312" w:cs="Wingdings"/>
          <w:sz w:val="32"/>
          <w:szCs w:val="32"/>
        </w:rPr>
      </w:pPr>
      <w:r>
        <w:rPr>
          <w:rFonts w:hint="eastAsia" w:ascii="仿宋_GB2312" w:hAnsi="Times New Roman" w:eastAsia="仿宋_GB2312" w:cs="Wingdings"/>
          <w:sz w:val="32"/>
          <w:szCs w:val="32"/>
          <w:lang w:eastAsia="zh-CN"/>
        </w:rPr>
        <w:drawing>
          <wp:anchor distT="0" distB="0" distL="114300" distR="114300" simplePos="0" relativeHeight="251665408" behindDoc="1" locked="0" layoutInCell="1" allowOverlap="1">
            <wp:simplePos x="0" y="0"/>
            <wp:positionH relativeFrom="column">
              <wp:posOffset>153670</wp:posOffset>
            </wp:positionH>
            <wp:positionV relativeFrom="paragraph">
              <wp:posOffset>180975</wp:posOffset>
            </wp:positionV>
            <wp:extent cx="4556760" cy="2458085"/>
            <wp:effectExtent l="4445" t="4445" r="48895" b="52070"/>
            <wp:wrapTight wrapText="bothSides">
              <wp:wrapPolygon>
                <wp:start x="-21" y="-39"/>
                <wp:lineTo x="-21" y="21555"/>
                <wp:lineTo x="21561" y="21555"/>
                <wp:lineTo x="21561" y="-39"/>
                <wp:lineTo x="-21" y="-39"/>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adjustRightInd w:val="0"/>
        <w:snapToGrid w:val="0"/>
        <w:spacing w:line="600" w:lineRule="exact"/>
        <w:ind w:firstLine="640" w:firstLineChars="200"/>
        <w:jc w:val="center"/>
        <w:rPr>
          <w:rFonts w:hint="eastAsia" w:ascii="仿宋_GB2312" w:hAnsi="Times New Roman" w:eastAsia="仿宋_GB2312" w:cs="Wingdings"/>
          <w:sz w:val="32"/>
          <w:szCs w:val="32"/>
          <w:lang w:eastAsia="zh-CN"/>
        </w:rPr>
      </w:pPr>
      <w:r>
        <w:rPr>
          <w:sz w:val="32"/>
        </w:rPr>
        <w:pict>
          <v:shape id="_x0000_s1049" o:spid="_x0000_s1049" o:spt="202" type="#_x0000_t202" style="position:absolute;left:0pt;margin-left:-166.75pt;margin-top:5.7pt;height:27.75pt;width:54.75pt;z-index:251667456;mso-width-relative:page;mso-height-relative:page;" fillcolor="#FFFFFF" filled="t" stroked="t" coordsize="21600,21600">
            <v:path/>
            <v:fill on="t" color2="#FFFFFF" focussize="0,0"/>
            <v:stroke color="#FFFFFF"/>
            <v:imagedata o:title=""/>
            <o:lock v:ext="edit" aspectratio="f"/>
            <v:textbox>
              <w:txbxContent>
                <w:p>
                  <w:pPr>
                    <w:rPr>
                      <w:rFonts w:hint="default" w:eastAsiaTheme="minorEastAsia"/>
                      <w:lang w:val="en-US" w:eastAsia="zh-CN"/>
                    </w:rPr>
                  </w:pPr>
                  <w:r>
                    <w:rPr>
                      <w:rFonts w:hint="eastAsia"/>
                      <w:lang w:val="en-US" w:eastAsia="zh-CN"/>
                    </w:rPr>
                    <w:t>1410.67</w:t>
                  </w:r>
                </w:p>
              </w:txbxContent>
            </v:textbox>
          </v:shape>
        </w:pict>
      </w:r>
    </w:p>
    <w:p>
      <w:pPr>
        <w:adjustRightInd w:val="0"/>
        <w:snapToGrid w:val="0"/>
        <w:spacing w:line="600" w:lineRule="exact"/>
        <w:ind w:firstLine="640" w:firstLineChars="200"/>
        <w:jc w:val="center"/>
        <w:rPr>
          <w:rFonts w:hint="eastAsia" w:ascii="仿宋_GB2312" w:hAnsi="Times New Roman" w:eastAsia="仿宋_GB2312" w:cs="Wingdings"/>
          <w:sz w:val="32"/>
          <w:szCs w:val="32"/>
        </w:rPr>
      </w:pPr>
    </w:p>
    <w:p>
      <w:pPr>
        <w:adjustRightInd w:val="0"/>
        <w:snapToGrid w:val="0"/>
        <w:spacing w:line="600" w:lineRule="exact"/>
        <w:ind w:firstLine="640" w:firstLineChars="200"/>
        <w:rPr>
          <w:rFonts w:hint="eastAsia" w:ascii="仿宋_GB2312" w:hAnsi="Times New Roman" w:eastAsia="仿宋_GB2312" w:cs="Wingdings"/>
          <w:sz w:val="32"/>
          <w:szCs w:val="32"/>
        </w:rPr>
      </w:pPr>
      <w:r>
        <w:rPr>
          <w:sz w:val="32"/>
        </w:rPr>
        <w:pict>
          <v:shape id="_x0000_s1048" o:spid="_x0000_s1048" o:spt="202" type="#_x0000_t202" style="position:absolute;left:0pt;margin-left:-297.25pt;margin-top:13.3pt;height:27.65pt;width:56.25pt;mso-wrap-distance-bottom:0pt;mso-wrap-distance-left:9pt;mso-wrap-distance-right:9pt;mso-wrap-distance-top:0pt;z-index:251666432;mso-width-relative:page;mso-height-relative:page;" fillcolor="#FFFFFF" filled="t" stroked="t" coordsize="21600,21600">
            <v:path/>
            <v:fill on="t" color2="#FFFFFF" focussize="0,0"/>
            <v:stroke color="#FFFFFF"/>
            <v:imagedata o:title=""/>
            <o:lock v:ext="edit" aspectratio="f"/>
            <v:textbox>
              <w:txbxContent>
                <w:p>
                  <w:pPr>
                    <w:rPr>
                      <w:rFonts w:hint="default" w:eastAsiaTheme="minorEastAsia"/>
                      <w:lang w:val="en-US" w:eastAsia="zh-CN"/>
                    </w:rPr>
                  </w:pPr>
                  <w:r>
                    <w:rPr>
                      <w:rFonts w:hint="eastAsia"/>
                      <w:lang w:val="en-US" w:eastAsia="zh-CN"/>
                    </w:rPr>
                    <w:t>1368.15</w:t>
                  </w:r>
                </w:p>
              </w:txbxContent>
            </v:textbox>
            <w10:wrap type="square"/>
          </v:shape>
        </w:pict>
      </w:r>
    </w:p>
    <w:p>
      <w:pPr>
        <w:adjustRightInd w:val="0"/>
        <w:snapToGrid w:val="0"/>
        <w:spacing w:line="600" w:lineRule="exact"/>
        <w:ind w:firstLine="640" w:firstLineChars="200"/>
        <w:rPr>
          <w:rFonts w:hint="eastAsia" w:ascii="仿宋_GB2312" w:hAnsi="Times New Roman" w:eastAsia="仿宋_GB2312" w:cs="Wingdings"/>
          <w:sz w:val="32"/>
          <w:szCs w:val="32"/>
        </w:rPr>
      </w:pPr>
    </w:p>
    <w:p>
      <w:pPr>
        <w:adjustRightInd w:val="0"/>
        <w:snapToGrid w:val="0"/>
        <w:spacing w:line="600" w:lineRule="exact"/>
        <w:ind w:firstLine="640" w:firstLineChars="200"/>
        <w:rPr>
          <w:rFonts w:hint="eastAsia" w:ascii="仿宋_GB2312" w:hAnsi="Times New Roman" w:eastAsia="仿宋_GB2312" w:cs="Wingdings"/>
          <w:sz w:val="32"/>
          <w:szCs w:val="32"/>
          <w:lang w:eastAsia="zh-CN"/>
        </w:rPr>
      </w:pPr>
    </w:p>
    <w:p>
      <w:pPr>
        <w:adjustRightInd w:val="0"/>
        <w:snapToGrid w:val="0"/>
        <w:spacing w:line="600" w:lineRule="exact"/>
        <w:rPr>
          <w:rFonts w:hint="eastAsia" w:ascii="仿宋_GB2312" w:hAnsi="Times New Roman" w:eastAsia="仿宋_GB2312" w:cs="Wingdings"/>
          <w:sz w:val="32"/>
          <w:szCs w:val="32"/>
        </w:rPr>
      </w:pP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snapToGrid w:val="0"/>
        <w:spacing w:line="600" w:lineRule="exact"/>
        <w:ind w:firstLine="640" w:firstLineChars="200"/>
        <w:outlineLvl w:val="1"/>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1099.69</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77.96</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310.97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22.04</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%。如图所示：</w:t>
      </w:r>
    </w:p>
    <w:p>
      <w:pPr>
        <w:adjustRightInd w:val="0"/>
        <w:snapToGrid w:val="0"/>
        <w:spacing w:line="600" w:lineRule="exact"/>
        <w:ind w:firstLine="1920" w:firstLineChars="600"/>
        <w:rPr>
          <w:rFonts w:ascii="仿宋_GB2312" w:hAnsi="Times New Roman" w:eastAsia="仿宋_GB2312" w:cs="Wingdings"/>
          <w:sz w:val="32"/>
          <w:szCs w:val="32"/>
        </w:rPr>
      </w:pPr>
      <w:r>
        <w:rPr>
          <w:rFonts w:hint="eastAsia" w:ascii="仿宋_GB2312" w:hAnsi="Times New Roman" w:eastAsia="仿宋_GB2312" w:cs="Wingdings"/>
          <w:sz w:val="32"/>
          <w:szCs w:val="32"/>
          <w:lang w:eastAsia="zh-CN"/>
        </w:rPr>
        <w:drawing>
          <wp:anchor distT="0" distB="0" distL="114300" distR="114300" simplePos="0" relativeHeight="251666432" behindDoc="1" locked="0" layoutInCell="1" allowOverlap="1">
            <wp:simplePos x="0" y="0"/>
            <wp:positionH relativeFrom="column">
              <wp:posOffset>610870</wp:posOffset>
            </wp:positionH>
            <wp:positionV relativeFrom="paragraph">
              <wp:posOffset>337820</wp:posOffset>
            </wp:positionV>
            <wp:extent cx="4700905" cy="3001010"/>
            <wp:effectExtent l="4445" t="5080" r="57150" b="22860"/>
            <wp:wrapTight wrapText="bothSides">
              <wp:wrapPolygon>
                <wp:start x="-20" y="-37"/>
                <wp:lineTo x="-20" y="21490"/>
                <wp:lineTo x="21512" y="21490"/>
                <wp:lineTo x="21512" y="-37"/>
                <wp:lineTo x="-20" y="-37"/>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adjustRightInd w:val="0"/>
        <w:snapToGrid w:val="0"/>
        <w:spacing w:line="600" w:lineRule="exact"/>
        <w:ind w:firstLine="1920" w:firstLineChars="600"/>
        <w:rPr>
          <w:rFonts w:hint="eastAsia" w:ascii="仿宋_GB2312" w:hAnsi="Times New Roman" w:eastAsia="仿宋_GB2312" w:cs="Wingdings"/>
          <w:sz w:val="32"/>
          <w:szCs w:val="32"/>
          <w:lang w:eastAsia="zh-CN"/>
        </w:rPr>
      </w:pPr>
    </w:p>
    <w:p>
      <w:pPr>
        <w:adjustRightInd w:val="0"/>
        <w:snapToGrid w:val="0"/>
        <w:spacing w:line="600" w:lineRule="exact"/>
        <w:ind w:firstLine="1920" w:firstLineChars="600"/>
        <w:rPr>
          <w:rFonts w:ascii="仿宋_GB2312" w:hAnsi="Times New Roman" w:eastAsia="仿宋_GB2312" w:cs="Wingdings"/>
          <w:sz w:val="32"/>
          <w:szCs w:val="32"/>
        </w:rPr>
      </w:pPr>
    </w:p>
    <w:p>
      <w:pPr>
        <w:keepNext/>
        <w:keepLines/>
        <w:snapToGrid w:val="0"/>
        <w:spacing w:line="600" w:lineRule="exact"/>
        <w:ind w:firstLine="643" w:firstLineChars="200"/>
        <w:outlineLvl w:val="1"/>
        <w:rPr>
          <w:rFonts w:ascii="黑体" w:hAnsi="Calibri" w:eastAsia="黑体" w:cs="Times New Roman"/>
          <w:b/>
          <w:bCs/>
          <w:sz w:val="32"/>
          <w:szCs w:val="32"/>
        </w:rPr>
      </w:pPr>
    </w:p>
    <w:p>
      <w:pPr>
        <w:keepNext/>
        <w:keepLines/>
        <w:snapToGrid w:val="0"/>
        <w:spacing w:line="600" w:lineRule="exact"/>
        <w:ind w:firstLine="643" w:firstLineChars="200"/>
        <w:outlineLvl w:val="1"/>
        <w:rPr>
          <w:rFonts w:ascii="黑体" w:hAnsi="Calibri" w:eastAsia="黑体" w:cs="Times New Roman"/>
          <w:b/>
          <w:bCs/>
          <w:sz w:val="32"/>
          <w:szCs w:val="32"/>
        </w:rPr>
      </w:pPr>
    </w:p>
    <w:p>
      <w:pPr>
        <w:keepNext/>
        <w:keepLines/>
        <w:snapToGrid w:val="0"/>
        <w:spacing w:line="600" w:lineRule="exact"/>
        <w:ind w:firstLine="643" w:firstLineChars="200"/>
        <w:outlineLvl w:val="1"/>
        <w:rPr>
          <w:rFonts w:ascii="黑体" w:hAnsi="Calibri" w:eastAsia="黑体" w:cs="Times New Roman"/>
          <w:b/>
          <w:bCs/>
          <w:sz w:val="32"/>
          <w:szCs w:val="32"/>
        </w:rPr>
      </w:pPr>
    </w:p>
    <w:p>
      <w:pPr>
        <w:keepNext/>
        <w:keepLines/>
        <w:snapToGrid w:val="0"/>
        <w:spacing w:line="600" w:lineRule="exact"/>
        <w:ind w:firstLine="643" w:firstLineChars="200"/>
        <w:outlineLvl w:val="1"/>
        <w:rPr>
          <w:rFonts w:ascii="黑体" w:hAnsi="Calibri" w:eastAsia="黑体" w:cs="Times New Roman"/>
          <w:b/>
          <w:bCs/>
          <w:sz w:val="32"/>
          <w:szCs w:val="32"/>
        </w:rPr>
      </w:pPr>
    </w:p>
    <w:p>
      <w:pPr>
        <w:keepNext/>
        <w:keepLines/>
        <w:snapToGrid w:val="0"/>
        <w:spacing w:line="600" w:lineRule="exact"/>
        <w:ind w:firstLine="643" w:firstLineChars="200"/>
        <w:outlineLvl w:val="1"/>
        <w:rPr>
          <w:rFonts w:ascii="黑体" w:hAnsi="Calibri" w:eastAsia="黑体" w:cs="Times New Roman"/>
          <w:b/>
          <w:bCs/>
          <w:sz w:val="32"/>
          <w:szCs w:val="32"/>
        </w:rPr>
      </w:pPr>
    </w:p>
    <w:p>
      <w:pPr>
        <w:keepNext/>
        <w:keepLines/>
        <w:snapToGrid w:val="0"/>
        <w:spacing w:line="600" w:lineRule="exact"/>
        <w:outlineLvl w:val="1"/>
        <w:rPr>
          <w:rFonts w:ascii="黑体" w:hAnsi="Calibri" w:eastAsia="黑体" w:cs="Times New Roman"/>
          <w:b/>
          <w:bCs/>
          <w:sz w:val="32"/>
          <w:szCs w:val="32"/>
        </w:rPr>
      </w:pP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hint="eastAsia" w:ascii="仿宋_GB2312" w:hAnsi="Times New Roman" w:eastAsia="仿宋_GB2312" w:cs="Wingdings"/>
          <w:sz w:val="32"/>
          <w:szCs w:val="32"/>
          <w:lang w:eastAsia="zh-CN"/>
        </w:rPr>
      </w:pPr>
      <w:r>
        <w:rPr>
          <w:rFonts w:hint="eastAsia" w:ascii="仿宋_GB2312" w:hAnsi="Times New Roman" w:eastAsia="仿宋_GB2312" w:cs="Wingdings"/>
          <w:sz w:val="32"/>
          <w:szCs w:val="32"/>
        </w:rPr>
        <w:t>本部门2020年度财政拨款收支均为一般公共预算财政拨款，其中本年收入</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万元,比2019年度增加</w:t>
      </w:r>
      <w:r>
        <w:rPr>
          <w:rFonts w:hint="eastAsia" w:ascii="仿宋_GB2312" w:hAnsi="Times New Roman" w:eastAsia="仿宋_GB2312" w:cs="Wingdings"/>
          <w:sz w:val="32"/>
          <w:szCs w:val="32"/>
          <w:lang w:val="en-US" w:eastAsia="zh-CN"/>
        </w:rPr>
        <w:t>42.52</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我院项目经费增加、办公设备及信息化网络购置增加</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万元，增加</w:t>
      </w:r>
      <w:r>
        <w:rPr>
          <w:rFonts w:hint="eastAsia" w:ascii="仿宋_GB2312" w:hAnsi="Times New Roman" w:eastAsia="仿宋_GB2312" w:cs="Wingdings"/>
          <w:sz w:val="32"/>
          <w:szCs w:val="32"/>
          <w:lang w:val="en-US" w:eastAsia="zh-CN"/>
        </w:rPr>
        <w:t>42.52</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3.11</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我院项目经费增加、办公设备及信息化网络购置增加</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如图所示：</w:t>
      </w: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lang w:eastAsia="zh-CN"/>
        </w:rPr>
      </w:pPr>
      <w:r>
        <w:rPr>
          <w:rFonts w:hint="eastAsia" w:ascii="楷体_GB2312" w:hAnsi="Times New Roman" w:eastAsia="楷体_GB2312" w:cs="Mongolian Baiti"/>
          <w:b/>
          <w:bCs/>
          <w:sz w:val="32"/>
          <w:szCs w:val="32"/>
          <w:lang w:eastAsia="zh-CN"/>
        </w:rPr>
        <w:drawing>
          <wp:anchor distT="0" distB="0" distL="114300" distR="114300" simplePos="0" relativeHeight="251667456" behindDoc="1" locked="0" layoutInCell="1" allowOverlap="1">
            <wp:simplePos x="0" y="0"/>
            <wp:positionH relativeFrom="column">
              <wp:posOffset>782320</wp:posOffset>
            </wp:positionH>
            <wp:positionV relativeFrom="paragraph">
              <wp:posOffset>-32385</wp:posOffset>
            </wp:positionV>
            <wp:extent cx="4147820" cy="2753360"/>
            <wp:effectExtent l="4445" t="4445" r="19685" b="23495"/>
            <wp:wrapTight wrapText="bothSides">
              <wp:wrapPolygon>
                <wp:start x="-23" y="-35"/>
                <wp:lineTo x="-23" y="21485"/>
                <wp:lineTo x="21504" y="21485"/>
                <wp:lineTo x="21504" y="-35"/>
                <wp:lineTo x="-23" y="-35"/>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ind w:firstLine="643" w:firstLineChars="200"/>
        <w:rPr>
          <w:rFonts w:hint="eastAsia" w:ascii="楷体_GB2312" w:hAnsi="Times New Roman" w:eastAsia="楷体_GB2312" w:cs="Mongolian Baiti"/>
          <w:b/>
          <w:bCs/>
          <w:sz w:val="32"/>
          <w:szCs w:val="32"/>
        </w:rPr>
      </w:pPr>
    </w:p>
    <w:p>
      <w:pPr>
        <w:snapToGrid w:val="0"/>
        <w:spacing w:line="600" w:lineRule="exact"/>
        <w:rPr>
          <w:rFonts w:hint="eastAsia" w:ascii="楷体_GB2312" w:hAnsi="Times New Roman" w:eastAsia="楷体_GB2312" w:cs="Mongolian Baiti"/>
          <w:b/>
          <w:bCs/>
          <w:sz w:val="32"/>
          <w:szCs w:val="32"/>
        </w:rPr>
      </w:pP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hint="eastAsia" w:ascii="仿宋_GB2312" w:hAnsi="Times New Roman" w:eastAsia="仿宋_GB2312" w:cs="Wingdings"/>
          <w:sz w:val="32"/>
          <w:szCs w:val="32"/>
          <w:lang w:eastAsia="zh-CN"/>
        </w:rPr>
      </w:pPr>
      <w:r>
        <w:rPr>
          <w:rFonts w:hint="eastAsia" w:ascii="仿宋_GB2312" w:hAnsi="Times New Roman" w:eastAsia="仿宋_GB2312" w:cs="Wingdings"/>
          <w:sz w:val="32"/>
          <w:szCs w:val="32"/>
        </w:rPr>
        <w:t>本部门2020年度一般公共预算财政拨款收入</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81.09</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328.87</w:t>
      </w:r>
      <w:r>
        <w:rPr>
          <w:rFonts w:hint="eastAsia" w:ascii="仿宋_GB2312" w:hAnsi="Times New Roman" w:eastAsia="仿宋_GB2312" w:cs="Wingdings"/>
          <w:sz w:val="32"/>
          <w:szCs w:val="32"/>
        </w:rPr>
        <w:t>万元，决算数大于预算数主要原因是</w:t>
      </w:r>
      <w:r>
        <w:rPr>
          <w:rFonts w:hint="eastAsia" w:ascii="仿宋_GB2312" w:hAnsi="Times New Roman" w:eastAsia="仿宋_GB2312" w:cs="Wingdings"/>
          <w:sz w:val="32"/>
          <w:szCs w:val="32"/>
          <w:lang w:eastAsia="zh-CN"/>
        </w:rPr>
        <w:t>厉行节约，减少各项开支</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81.09</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328.87</w:t>
      </w:r>
      <w:r>
        <w:rPr>
          <w:rFonts w:hint="eastAsia" w:ascii="仿宋_GB2312" w:hAnsi="Times New Roman" w:eastAsia="仿宋_GB2312" w:cs="Wingdings"/>
          <w:sz w:val="32"/>
          <w:szCs w:val="32"/>
        </w:rPr>
        <w:t>万元，决算数小于预算数主要原因是主要是</w:t>
      </w:r>
      <w:r>
        <w:rPr>
          <w:rFonts w:hint="eastAsia" w:ascii="仿宋_GB2312" w:hAnsi="Times New Roman" w:eastAsia="仿宋_GB2312" w:cs="Wingdings"/>
          <w:sz w:val="32"/>
          <w:szCs w:val="32"/>
          <w:lang w:eastAsia="zh-CN"/>
        </w:rPr>
        <w:t>厉行节约，减少各项开支</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如图所示：</w:t>
      </w:r>
    </w:p>
    <w:p>
      <w:pPr>
        <w:adjustRightInd w:val="0"/>
        <w:snapToGrid w:val="0"/>
        <w:spacing w:line="600" w:lineRule="exact"/>
        <w:ind w:firstLine="643" w:firstLineChars="200"/>
        <w:rPr>
          <w:rFonts w:hint="eastAsia" w:ascii="仿宋_GB2312" w:hAnsi="Times New Roman" w:eastAsia="仿宋_GB2312" w:cs="Wingdings"/>
          <w:sz w:val="32"/>
          <w:szCs w:val="32"/>
        </w:rPr>
      </w:pPr>
      <w:r>
        <w:rPr>
          <w:rFonts w:hint="eastAsia" w:ascii="楷体_GB2312" w:hAnsi="Times New Roman" w:eastAsia="楷体_GB2312" w:cs="Mongolian Baiti"/>
          <w:b/>
          <w:bCs/>
          <w:sz w:val="32"/>
          <w:szCs w:val="32"/>
          <w:lang w:eastAsia="zh-CN"/>
        </w:rPr>
        <w:drawing>
          <wp:anchor distT="0" distB="0" distL="114300" distR="114300" simplePos="0" relativeHeight="251668480" behindDoc="1" locked="0" layoutInCell="1" allowOverlap="1">
            <wp:simplePos x="0" y="0"/>
            <wp:positionH relativeFrom="column">
              <wp:posOffset>851535</wp:posOffset>
            </wp:positionH>
            <wp:positionV relativeFrom="paragraph">
              <wp:posOffset>215265</wp:posOffset>
            </wp:positionV>
            <wp:extent cx="4147820" cy="2753360"/>
            <wp:effectExtent l="4445" t="4445" r="19685" b="23495"/>
            <wp:wrapTight wrapText="bothSides">
              <wp:wrapPolygon>
                <wp:start x="-23" y="-35"/>
                <wp:lineTo x="-23" y="21485"/>
                <wp:lineTo x="21504" y="21485"/>
                <wp:lineTo x="21504" y="-35"/>
                <wp:lineTo x="-23" y="-35"/>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adjustRightInd w:val="0"/>
        <w:snapToGrid w:val="0"/>
        <w:spacing w:line="600" w:lineRule="exact"/>
        <w:ind w:firstLine="640" w:firstLineChars="200"/>
        <w:rPr>
          <w:rFonts w:hint="eastAsia" w:ascii="仿宋_GB2312" w:hAnsi="Times New Roman" w:eastAsia="仿宋_GB2312" w:cs="Wingdings"/>
          <w:sz w:val="32"/>
          <w:szCs w:val="32"/>
        </w:rPr>
      </w:pPr>
    </w:p>
    <w:p>
      <w:pPr>
        <w:adjustRightInd w:val="0"/>
        <w:snapToGrid w:val="0"/>
        <w:spacing w:line="600" w:lineRule="exact"/>
        <w:ind w:firstLine="640" w:firstLineChars="200"/>
        <w:rPr>
          <w:rFonts w:hint="eastAsia" w:ascii="仿宋_GB2312" w:hAnsi="Times New Roman" w:eastAsia="仿宋_GB2312" w:cs="Wingdings"/>
          <w:sz w:val="32"/>
          <w:szCs w:val="32"/>
        </w:rPr>
      </w:pPr>
    </w:p>
    <w:p>
      <w:pPr>
        <w:adjustRightInd w:val="0"/>
        <w:snapToGrid w:val="0"/>
        <w:spacing w:line="600" w:lineRule="exact"/>
        <w:ind w:firstLine="640" w:firstLineChars="200"/>
        <w:rPr>
          <w:rFonts w:hint="eastAsia" w:ascii="仿宋_GB2312" w:hAnsi="Times New Roman" w:eastAsia="仿宋_GB2312" w:cs="Wingdings"/>
          <w:sz w:val="32"/>
          <w:szCs w:val="32"/>
        </w:rPr>
      </w:pPr>
    </w:p>
    <w:p>
      <w:pPr>
        <w:adjustRightInd w:val="0"/>
        <w:snapToGrid w:val="0"/>
        <w:spacing w:line="600" w:lineRule="exact"/>
        <w:ind w:firstLine="640" w:firstLineChars="200"/>
        <w:rPr>
          <w:rFonts w:hint="eastAsia" w:ascii="仿宋_GB2312" w:hAnsi="Times New Roman" w:eastAsia="仿宋_GB2312" w:cs="Wingdings"/>
          <w:sz w:val="32"/>
          <w:szCs w:val="32"/>
        </w:rPr>
      </w:pPr>
    </w:p>
    <w:p>
      <w:pPr>
        <w:adjustRightInd w:val="0"/>
        <w:snapToGrid w:val="0"/>
        <w:spacing w:line="600" w:lineRule="exact"/>
        <w:ind w:firstLine="640" w:firstLineChars="200"/>
        <w:rPr>
          <w:rFonts w:hint="eastAsia" w:ascii="仿宋_GB2312" w:hAnsi="Times New Roman" w:eastAsia="仿宋_GB2312" w:cs="Wingdings"/>
          <w:sz w:val="32"/>
          <w:szCs w:val="32"/>
        </w:rPr>
      </w:pPr>
    </w:p>
    <w:p>
      <w:pPr>
        <w:adjustRightInd w:val="0"/>
        <w:snapToGrid w:val="0"/>
        <w:spacing w:line="600" w:lineRule="exact"/>
        <w:rPr>
          <w:rFonts w:hint="eastAsia" w:ascii="仿宋_GB2312" w:hAnsi="Times New Roman" w:eastAsia="仿宋_GB2312" w:cs="Wingdings"/>
          <w:sz w:val="32"/>
          <w:szCs w:val="32"/>
        </w:rPr>
      </w:pP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hint="eastAsia" w:ascii="仿宋_GB2312" w:hAnsi="Times New Roman" w:eastAsia="仿宋_GB2312" w:cs="Wingdings"/>
          <w:sz w:val="32"/>
          <w:szCs w:val="32"/>
          <w:lang w:eastAsia="zh-CN"/>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1410.67</w:t>
      </w:r>
      <w:r>
        <w:rPr>
          <w:rFonts w:hint="eastAsia" w:ascii="仿宋_GB2312" w:hAnsi="Times New Roman" w:eastAsia="仿宋_GB2312" w:cs="Wingdings"/>
          <w:sz w:val="32"/>
          <w:szCs w:val="32"/>
        </w:rPr>
        <w:t>万元，主要用于以下方面：公共安全类（类）支出</w:t>
      </w:r>
      <w:r>
        <w:rPr>
          <w:rFonts w:hint="eastAsia" w:ascii="仿宋_GB2312" w:hAnsi="Times New Roman" w:eastAsia="仿宋_GB2312" w:cs="Wingdings"/>
          <w:sz w:val="32"/>
          <w:szCs w:val="32"/>
          <w:lang w:val="en-US" w:eastAsia="zh-CN"/>
        </w:rPr>
        <w:t>1216.40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86.23</w:t>
      </w:r>
      <w:r>
        <w:rPr>
          <w:rFonts w:hint="eastAsia" w:ascii="仿宋_GB2312" w:hAnsi="Times New Roman" w:eastAsia="仿宋_GB2312" w:cs="Wingdings"/>
          <w:sz w:val="32"/>
          <w:szCs w:val="32"/>
        </w:rPr>
        <w:t xml:space="preserve">%；社会保障和就业（类）支出 </w:t>
      </w:r>
      <w:r>
        <w:rPr>
          <w:rFonts w:hint="eastAsia" w:ascii="仿宋_GB2312" w:hAnsi="Times New Roman" w:eastAsia="仿宋_GB2312" w:cs="Wingdings"/>
          <w:sz w:val="32"/>
          <w:szCs w:val="32"/>
          <w:lang w:val="en-US" w:eastAsia="zh-CN"/>
        </w:rPr>
        <w:t>112.88</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8.00</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卫生健康</w:t>
      </w:r>
      <w:r>
        <w:rPr>
          <w:rFonts w:hint="eastAsia" w:ascii="仿宋_GB2312" w:hAnsi="Times New Roman" w:eastAsia="仿宋_GB2312" w:cs="Wingdings"/>
          <w:sz w:val="32"/>
          <w:szCs w:val="32"/>
        </w:rPr>
        <w:t>（类）</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lang w:val="en-US" w:eastAsia="zh-CN"/>
        </w:rPr>
        <w:t>28.54万元，占2.02%；</w:t>
      </w:r>
      <w:r>
        <w:rPr>
          <w:rFonts w:hint="eastAsia" w:ascii="仿宋_GB2312" w:hAnsi="Times New Roman" w:eastAsia="仿宋_GB2312" w:cs="Wingdings"/>
          <w:sz w:val="32"/>
          <w:szCs w:val="32"/>
        </w:rPr>
        <w:t>住房保障（类）支出</w:t>
      </w:r>
      <w:r>
        <w:rPr>
          <w:rFonts w:hint="eastAsia" w:ascii="仿宋_GB2312" w:hAnsi="Times New Roman" w:eastAsia="仿宋_GB2312" w:cs="Wingdings"/>
          <w:sz w:val="32"/>
          <w:szCs w:val="32"/>
          <w:lang w:val="en-US" w:eastAsia="zh-CN"/>
        </w:rPr>
        <w:t>52.85</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3.75</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如图所示：</w:t>
      </w:r>
    </w:p>
    <w:p>
      <w:pPr>
        <w:adjustRightInd w:val="0"/>
        <w:snapToGrid w:val="0"/>
        <w:spacing w:line="600" w:lineRule="exact"/>
        <w:rPr>
          <w:rFonts w:hint="eastAsia" w:ascii="楷体_GB2312" w:hAnsi="Times New Roman" w:eastAsia="楷体_GB2312" w:cs="Mongolian Baiti"/>
          <w:b/>
          <w:bCs/>
          <w:sz w:val="32"/>
          <w:szCs w:val="32"/>
          <w:lang w:eastAsia="zh-CN"/>
        </w:rPr>
      </w:pPr>
      <w:r>
        <w:rPr>
          <w:rFonts w:hint="eastAsia" w:ascii="楷体_GB2312" w:hAnsi="Times New Roman" w:eastAsia="楷体_GB2312" w:cs="Mongolian Baiti"/>
          <w:b/>
          <w:bCs/>
          <w:sz w:val="32"/>
          <w:szCs w:val="32"/>
          <w:lang w:eastAsia="zh-CN"/>
        </w:rPr>
        <w:drawing>
          <wp:anchor distT="0" distB="0" distL="114300" distR="114300" simplePos="0" relativeHeight="251669504" behindDoc="1" locked="0" layoutInCell="1" allowOverlap="1">
            <wp:simplePos x="0" y="0"/>
            <wp:positionH relativeFrom="column">
              <wp:posOffset>652145</wp:posOffset>
            </wp:positionH>
            <wp:positionV relativeFrom="paragraph">
              <wp:posOffset>119380</wp:posOffset>
            </wp:positionV>
            <wp:extent cx="4423410" cy="3266440"/>
            <wp:effectExtent l="4445" t="5080" r="10795" b="5080"/>
            <wp:wrapTight wrapText="bothSides">
              <wp:wrapPolygon>
                <wp:start x="-22" y="-34"/>
                <wp:lineTo x="-22" y="21508"/>
                <wp:lineTo x="21560" y="21508"/>
                <wp:lineTo x="21560" y="-34"/>
                <wp:lineTo x="-22" y="-34"/>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adjustRightInd w:val="0"/>
        <w:snapToGrid w:val="0"/>
        <w:spacing w:line="600" w:lineRule="exact"/>
        <w:rPr>
          <w:rFonts w:ascii="楷体_GB2312" w:hAnsi="Times New Roman" w:eastAsia="楷体_GB2312" w:cs="Mongolian Baiti"/>
          <w:b/>
          <w:bCs/>
          <w:sz w:val="32"/>
          <w:szCs w:val="32"/>
        </w:rPr>
      </w:pPr>
    </w:p>
    <w:p>
      <w:pPr>
        <w:adjustRightInd w:val="0"/>
        <w:snapToGrid w:val="0"/>
        <w:spacing w:line="600" w:lineRule="exact"/>
        <w:rPr>
          <w:rFonts w:ascii="楷体_GB2312" w:hAnsi="Times New Roman" w:eastAsia="楷体_GB2312" w:cs="Mongolian Baiti"/>
          <w:b/>
          <w:bCs/>
          <w:sz w:val="32"/>
          <w:szCs w:val="32"/>
        </w:rPr>
      </w:pPr>
    </w:p>
    <w:p>
      <w:pPr>
        <w:adjustRightInd w:val="0"/>
        <w:snapToGrid w:val="0"/>
        <w:spacing w:line="600" w:lineRule="exact"/>
        <w:rPr>
          <w:rFonts w:ascii="楷体_GB2312" w:hAnsi="Times New Roman" w:eastAsia="楷体_GB2312" w:cs="Mongolian Baiti"/>
          <w:b/>
          <w:bCs/>
          <w:sz w:val="32"/>
          <w:szCs w:val="32"/>
        </w:rPr>
      </w:pPr>
    </w:p>
    <w:p>
      <w:pPr>
        <w:adjustRightInd w:val="0"/>
        <w:snapToGrid w:val="0"/>
        <w:spacing w:line="600" w:lineRule="exact"/>
        <w:rPr>
          <w:rFonts w:ascii="楷体_GB2312" w:hAnsi="Times New Roman" w:eastAsia="楷体_GB2312" w:cs="Mongolian Baiti"/>
          <w:b/>
          <w:bCs/>
          <w:sz w:val="32"/>
          <w:szCs w:val="32"/>
        </w:rPr>
      </w:pPr>
    </w:p>
    <w:p>
      <w:pPr>
        <w:adjustRightInd w:val="0"/>
        <w:snapToGrid w:val="0"/>
        <w:spacing w:line="600" w:lineRule="exact"/>
        <w:rPr>
          <w:rFonts w:ascii="楷体_GB2312" w:hAnsi="Times New Roman" w:eastAsia="楷体_GB2312" w:cs="Mongolian Baiti"/>
          <w:b/>
          <w:bCs/>
          <w:sz w:val="32"/>
          <w:szCs w:val="32"/>
        </w:rPr>
      </w:pPr>
    </w:p>
    <w:p>
      <w:pPr>
        <w:adjustRightInd w:val="0"/>
        <w:snapToGrid w:val="0"/>
        <w:spacing w:line="600" w:lineRule="exact"/>
        <w:rPr>
          <w:rFonts w:ascii="楷体_GB2312" w:hAnsi="Times New Roman" w:eastAsia="楷体_GB2312" w:cs="Mongolian Baiti"/>
          <w:b/>
          <w:bCs/>
          <w:sz w:val="32"/>
          <w:szCs w:val="32"/>
        </w:rPr>
      </w:pPr>
    </w:p>
    <w:p>
      <w:pPr>
        <w:adjustRightInd w:val="0"/>
        <w:snapToGrid w:val="0"/>
        <w:spacing w:line="600" w:lineRule="exact"/>
        <w:ind w:left="420" w:leftChars="200"/>
        <w:rPr>
          <w:rFonts w:hint="eastAsia" w:ascii="楷体_GB2312" w:hAnsi="Times New Roman" w:eastAsia="楷体_GB2312" w:cs="Mongolian Baiti"/>
          <w:b/>
          <w:bCs/>
          <w:sz w:val="32"/>
          <w:szCs w:val="32"/>
        </w:rPr>
      </w:pPr>
    </w:p>
    <w:p>
      <w:pPr>
        <w:adjustRightInd w:val="0"/>
        <w:snapToGrid w:val="0"/>
        <w:spacing w:line="600" w:lineRule="exact"/>
        <w:ind w:left="420" w:leftChars="200"/>
        <w:rPr>
          <w:rFonts w:hint="eastAsia" w:ascii="楷体_GB2312" w:hAnsi="Times New Roman" w:eastAsia="楷体_GB2312" w:cs="Mongolian Baiti"/>
          <w:b/>
          <w:bCs/>
          <w:sz w:val="32"/>
          <w:szCs w:val="32"/>
        </w:rPr>
      </w:pP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1099.69</w:t>
      </w:r>
      <w:r>
        <w:rPr>
          <w:rFonts w:hint="eastAsia" w:ascii="仿宋_GB2312" w:hAnsi="Times New Roman" w:eastAsia="仿宋_GB2312" w:cs="Wingdings"/>
          <w:sz w:val="32"/>
          <w:szCs w:val="32"/>
        </w:rPr>
        <w:t>万元，其中：人员经费</w:t>
      </w:r>
      <w:r>
        <w:rPr>
          <w:rFonts w:hint="eastAsia" w:ascii="仿宋_GB2312" w:hAnsi="Times New Roman" w:eastAsia="仿宋_GB2312" w:cs="Wingdings"/>
          <w:sz w:val="32"/>
          <w:szCs w:val="32"/>
          <w:lang w:val="en-US" w:eastAsia="zh-CN"/>
        </w:rPr>
        <w:t>875.71</w:t>
      </w:r>
      <w:r>
        <w:rPr>
          <w:rFonts w:hint="eastAsia" w:ascii="仿宋_GB2312" w:hAnsi="Times New Roman" w:eastAsia="仿宋_GB2312" w:cs="Wingdings"/>
          <w:sz w:val="32"/>
          <w:szCs w:val="32"/>
        </w:rPr>
        <w:t>万元，主要包括基本工资、津贴补贴、奖金、机关事业单位基本养老保险缴费、职业年金缴费、职工基本医疗保险缴费、住房公积金、其他社会保障缴费、其他工资福利支出、离休费、退休费、抚恤金、生活补助；公用经费</w:t>
      </w:r>
      <w:r>
        <w:rPr>
          <w:rFonts w:hint="eastAsia" w:ascii="仿宋_GB2312" w:hAnsi="Times New Roman" w:eastAsia="仿宋_GB2312" w:cs="Wingdings"/>
          <w:sz w:val="32"/>
          <w:szCs w:val="32"/>
          <w:lang w:val="en-US" w:eastAsia="zh-CN"/>
        </w:rPr>
        <w:t>223.99</w:t>
      </w:r>
      <w:r>
        <w:rPr>
          <w:rFonts w:hint="eastAsia" w:ascii="仿宋_GB2312" w:hAnsi="Times New Roman" w:eastAsia="仿宋_GB2312" w:cs="Wingdings"/>
          <w:sz w:val="32"/>
          <w:szCs w:val="32"/>
        </w:rPr>
        <w:t>万元，主要包括办公费、印刷费、水费、电费、邮电费、取暖费、差旅费、维修（护）费、租赁费、培训费、劳务费、公务用车运行维护费、其他交通费用、其他商品和服务支出、办公设备购置。</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5.00</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3.54万</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70.80</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1.46</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29.20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厉行节约减少开支</w:t>
      </w:r>
      <w:r>
        <w:rPr>
          <w:rFonts w:hint="eastAsia" w:ascii="仿宋_GB2312" w:hAnsi="Times New Roman" w:eastAsia="仿宋_GB2312" w:cs="Wingdings"/>
          <w:sz w:val="32"/>
          <w:szCs w:val="32"/>
        </w:rPr>
        <w:t>；较2019年度增加</w:t>
      </w:r>
      <w:r>
        <w:rPr>
          <w:rFonts w:hint="eastAsia" w:ascii="仿宋_GB2312" w:hAnsi="Times New Roman" w:eastAsia="仿宋_GB2312" w:cs="Wingdings"/>
          <w:sz w:val="32"/>
          <w:szCs w:val="32"/>
          <w:lang w:val="en-US" w:eastAsia="zh-CN"/>
        </w:rPr>
        <w:t>1.33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60.18</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本年度车辆维修费用增加</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人/无本单位组织的出国（境）团组。因公出国（境）费支出较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持平</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val="en-US" w:eastAsia="zh-CN"/>
        </w:rPr>
        <w:t>2019年</w:t>
      </w:r>
      <w:r>
        <w:rPr>
          <w:rFonts w:hint="eastAsia" w:ascii="仿宋_GB2312" w:hAnsi="Times New Roman" w:eastAsia="仿宋_GB2312" w:cs="Wingdings"/>
          <w:sz w:val="32"/>
          <w:szCs w:val="32"/>
          <w:lang w:eastAsia="zh-CN"/>
        </w:rPr>
        <w:t>决算支出持平</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3.54万元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3.54</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88.50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0.46</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11.50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厉行节约减少开支</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1.33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60.18</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本年度车辆维修费用增加</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w:t>
      </w:r>
      <w:r>
        <w:rPr>
          <w:rFonts w:hint="eastAsia" w:ascii="仿宋_GB2312" w:hAnsi="Times New Roman" w:eastAsia="仿宋_GB2312" w:cs="Wingdings"/>
          <w:sz w:val="32"/>
          <w:szCs w:val="32"/>
          <w:lang w:eastAsia="zh-CN"/>
        </w:rPr>
        <w:t>未</w:t>
      </w:r>
      <w:r>
        <w:rPr>
          <w:rFonts w:hint="eastAsia" w:ascii="仿宋_GB2312" w:hAnsi="Times New Roman" w:eastAsia="仿宋_GB2312" w:cs="Wingdings"/>
          <w:sz w:val="32"/>
          <w:szCs w:val="32"/>
        </w:rPr>
        <w:t>发生“公务用车购置”经费支出。公务用车购置费支出</w:t>
      </w:r>
      <w:r>
        <w:rPr>
          <w:rFonts w:hint="eastAsia" w:ascii="仿宋_GB2312" w:hAnsi="Times New Roman" w:eastAsia="仿宋_GB2312" w:cs="Wingdings"/>
          <w:sz w:val="32"/>
          <w:szCs w:val="32"/>
          <w:lang w:eastAsia="zh-CN"/>
        </w:rPr>
        <w:t>与年初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持平</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与</w:t>
      </w:r>
      <w:r>
        <w:rPr>
          <w:rFonts w:hint="eastAsia" w:ascii="仿宋_GB2312" w:hAnsi="Times New Roman" w:eastAsia="仿宋_GB2312" w:cs="Wingdings"/>
          <w:sz w:val="32"/>
          <w:szCs w:val="32"/>
          <w:lang w:val="en-US" w:eastAsia="zh-CN"/>
        </w:rPr>
        <w:t>2019年度决算支出持平</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3.54万元：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15</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3.54</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0.46</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11.50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厉行节约减少开支</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1.33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60.18</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本年度车辆维修费用增加</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人次。公务接待费支出较预算减少</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本年度未发生公务接待费</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与</w:t>
      </w:r>
      <w:r>
        <w:rPr>
          <w:rFonts w:hint="eastAsia" w:ascii="仿宋_GB2312" w:hAnsi="Times New Roman" w:eastAsia="仿宋_GB2312" w:cs="Wingdings"/>
          <w:sz w:val="32"/>
          <w:szCs w:val="32"/>
          <w:lang w:val="en-US" w:eastAsia="zh-CN"/>
        </w:rPr>
        <w:t>2019年度</w:t>
      </w:r>
      <w:r>
        <w:rPr>
          <w:rFonts w:hint="eastAsia" w:ascii="仿宋_GB2312" w:hAnsi="Times New Roman" w:eastAsia="仿宋_GB2312" w:cs="Wingdings"/>
          <w:sz w:val="32"/>
          <w:szCs w:val="32"/>
          <w:lang w:eastAsia="zh-CN"/>
        </w:rPr>
        <w:t>决算支出持平</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70.08</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22.54%</w:t>
      </w:r>
      <w:r>
        <w:rPr>
          <w:rFonts w:hint="eastAsia" w:ascii="仿宋_GB2312" w:hAnsi="仿宋_GB2312" w:eastAsia="仿宋_GB2312" w:cs="仿宋_GB2312"/>
          <w:sz w:val="32"/>
          <w:szCs w:val="32"/>
        </w:rPr>
        <w:t>。</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eastAsia="zh-CN"/>
        </w:rPr>
        <w:t>诉讼服务大厅设备系统升级</w:t>
      </w:r>
      <w:r>
        <w:rPr>
          <w:rFonts w:hint="eastAsia" w:ascii="仿宋_GB2312" w:hAnsi="仿宋_GB2312" w:eastAsia="仿宋_GB2312" w:cs="仿宋_GB2312"/>
          <w:sz w:val="32"/>
          <w:szCs w:val="32"/>
        </w:rPr>
        <w:t>”一级项目开展了部门评价，涉及一般公共预算支出</w:t>
      </w:r>
      <w:r>
        <w:rPr>
          <w:rFonts w:hint="eastAsia" w:ascii="仿宋_GB2312" w:hAnsi="仿宋_GB2312" w:eastAsia="仿宋_GB2312" w:cs="仿宋_GB2312"/>
          <w:sz w:val="32"/>
          <w:szCs w:val="32"/>
          <w:lang w:val="en-US" w:eastAsia="zh-CN"/>
        </w:rPr>
        <w:t>70.08</w:t>
      </w:r>
      <w:r>
        <w:rPr>
          <w:rFonts w:hint="eastAsia" w:ascii="仿宋_GB2312" w:hAnsi="仿宋_GB2312" w:eastAsia="仿宋_GB2312" w:cs="仿宋_GB2312"/>
          <w:sz w:val="32"/>
          <w:szCs w:val="32"/>
        </w:rPr>
        <w:t>万元。从评价情况来看，</w:t>
      </w:r>
      <w:r>
        <w:rPr>
          <w:rFonts w:hint="eastAsia" w:ascii="仿宋_GB2312" w:hAnsi="Calibri" w:eastAsia="仿宋_GB2312" w:cs="ArialUnicodeMS"/>
          <w:kern w:val="0"/>
          <w:sz w:val="32"/>
          <w:szCs w:val="32"/>
        </w:rPr>
        <w:t>自评成绩为88分，结果为优。绩效自评覆盖率达到100%。</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 “</w:t>
      </w:r>
      <w:r>
        <w:rPr>
          <w:rFonts w:hint="eastAsia" w:ascii="仿宋_GB2312" w:hAnsi="仿宋_GB2312" w:eastAsia="仿宋_GB2312" w:cs="仿宋_GB2312"/>
          <w:sz w:val="32"/>
          <w:szCs w:val="32"/>
          <w:lang w:eastAsia="zh-CN"/>
        </w:rPr>
        <w:t>诉讼服务大厅设备系统升级</w:t>
      </w:r>
      <w:r>
        <w:rPr>
          <w:rFonts w:hint="eastAsia" w:ascii="仿宋_GB2312" w:hAnsi="仿宋_GB2312" w:eastAsia="仿宋_GB2312" w:cs="仿宋_GB2312"/>
          <w:sz w:val="32"/>
          <w:szCs w:val="32"/>
        </w:rPr>
        <w:t>”项目绩效自评结果。</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诉讼服务大厅设备系统升级</w:t>
      </w:r>
      <w:r>
        <w:rPr>
          <w:rFonts w:hint="eastAsia" w:ascii="仿宋_GB2312" w:hAnsi="仿宋_GB2312" w:eastAsia="仿宋_GB2312" w:cs="仿宋_GB2312"/>
          <w:sz w:val="32"/>
          <w:szCs w:val="32"/>
        </w:rPr>
        <w:t>自评综述：</w:t>
      </w:r>
      <w:r>
        <w:rPr>
          <w:rFonts w:hint="eastAsia" w:ascii="仿宋_GB2312" w:hAnsi="Calibri" w:eastAsia="仿宋_GB2312" w:cs="ArialUnicodeMS"/>
          <w:kern w:val="0"/>
          <w:sz w:val="32"/>
          <w:szCs w:val="32"/>
        </w:rPr>
        <w:t>社会多元化和经济加速发展的同时，滋生了诸多社会矛盾，法院作为解决和化解矛盾的前沿阵地，对审判职能的认真履行，严格把握审判的公正和客观，可以充分化解矛盾与问题，保障社会进步和经济发展中的法制公平性，维护社会进步中的和谐，依法惩治刑事犯罪，监督行政机关依法行政，促进社会和谐，维护社会稳定，服务全县工作大局，发挥服务保障职能。使受理的刑事案件，达到结案率100%，依法惩治刑事犯罪增加调节减少上诉，受理的民事案件，调解率达到66</w:t>
      </w:r>
      <w:r>
        <w:rPr>
          <w:rFonts w:hint="eastAsia" w:ascii="仿宋_GB2312" w:hAnsi="Calibri" w:eastAsia="仿宋_GB2312" w:cs="ArialUnicodeMS"/>
          <w:kern w:val="0"/>
          <w:sz w:val="32"/>
          <w:szCs w:val="32"/>
          <w:lang w:val="en-US" w:eastAsia="zh-CN"/>
        </w:rPr>
        <w:t>.00</w:t>
      </w:r>
      <w:r>
        <w:rPr>
          <w:rFonts w:hint="eastAsia" w:ascii="仿宋_GB2312" w:hAnsi="Calibri" w:eastAsia="仿宋_GB2312" w:cs="ArialUnicodeMS"/>
          <w:kern w:val="0"/>
          <w:sz w:val="32"/>
          <w:szCs w:val="32"/>
        </w:rPr>
        <w:t>%以上，全部做到审限内结案。上诉率控制在8%以下。</w:t>
      </w:r>
    </w:p>
    <w:p>
      <w:pPr>
        <w:adjustRightInd w:val="0"/>
        <w:snapToGrid w:val="0"/>
        <w:spacing w:line="600" w:lineRule="exact"/>
        <w:ind w:firstLine="643" w:firstLineChars="200"/>
        <w:rPr>
          <w:rFonts w:ascii="仿宋_GB2312" w:hAnsi="仿宋_GB2312" w:eastAsia="仿宋_GB2312" w:cs="仿宋_GB2312"/>
          <w:b/>
          <w:bCs/>
          <w:sz w:val="32"/>
          <w:szCs w:val="32"/>
        </w:rPr>
      </w:pPr>
      <w:r>
        <w:rPr>
          <w:rFonts w:hint="eastAsia" w:ascii="楷体_GB2312" w:hAnsi="楷体_GB2312" w:eastAsia="楷体_GB2312" w:cs="楷体_GB2312"/>
          <w:b/>
          <w:bCs/>
          <w:sz w:val="32"/>
          <w:szCs w:val="32"/>
        </w:rPr>
        <w:t>（三）财政评价项目绩效评价结果</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val="0"/>
          <w:bCs w:val="0"/>
          <w:sz w:val="32"/>
          <w:szCs w:val="32"/>
          <w:lang w:eastAsia="zh-CN"/>
        </w:rPr>
        <w:t>无</w:t>
      </w:r>
      <w:r>
        <w:rPr>
          <w:rFonts w:hint="eastAsia" w:ascii="仿宋_GB2312" w:hAnsi="仿宋_GB2312" w:eastAsia="仿宋_GB2312" w:cs="仿宋_GB2312"/>
          <w:b w:val="0"/>
          <w:bCs w:val="0"/>
          <w:sz w:val="32"/>
          <w:szCs w:val="32"/>
        </w:rPr>
        <w:t>。</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223.99</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98.73</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30.59</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减少各项开支厉行节约</w:t>
      </w:r>
      <w:r>
        <w:rPr>
          <w:rFonts w:hint="eastAsia" w:ascii="仿宋_GB2312" w:hAnsi="仿宋_GB2312" w:eastAsia="仿宋_GB2312" w:cs="仿宋_GB2312"/>
          <w:sz w:val="32"/>
          <w:szCs w:val="32"/>
        </w:rPr>
        <w:t>。比2019年度减少</w:t>
      </w:r>
      <w:r>
        <w:rPr>
          <w:rFonts w:hint="eastAsia" w:ascii="仿宋_GB2312" w:hAnsi="仿宋_GB2312" w:eastAsia="仿宋_GB2312" w:cs="仿宋_GB2312"/>
          <w:sz w:val="32"/>
          <w:szCs w:val="32"/>
          <w:lang w:val="en-US" w:eastAsia="zh-CN"/>
        </w:rPr>
        <w:t>15.18</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6.35</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减少各项开支厉行节约</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121.17</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89.28</w:t>
      </w:r>
      <w:r>
        <w:rPr>
          <w:rFonts w:hint="eastAsia" w:ascii="仿宋_GB2312" w:hAnsi="仿宋_GB2312" w:eastAsia="仿宋_GB2312" w:cs="仿宋_GB2312"/>
          <w:color w:val="000000"/>
          <w:kern w:val="0"/>
          <w:sz w:val="32"/>
          <w:szCs w:val="32"/>
        </w:rPr>
        <w:t xml:space="preserve"> 万元、政府采购工程支出</w:t>
      </w:r>
      <w:r>
        <w:rPr>
          <w:rFonts w:hint="eastAsia" w:ascii="仿宋_GB2312" w:hAnsi="仿宋_GB2312" w:eastAsia="仿宋_GB2312" w:cs="仿宋_GB2312"/>
          <w:color w:val="000000"/>
          <w:kern w:val="0"/>
          <w:sz w:val="32"/>
          <w:szCs w:val="32"/>
          <w:lang w:val="en-US" w:eastAsia="zh-CN"/>
        </w:rPr>
        <w:t>31.89</w:t>
      </w:r>
      <w:r>
        <w:rPr>
          <w:rFonts w:hint="eastAsia"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sz w:val="32"/>
          <w:szCs w:val="32"/>
          <w:lang w:val="en-US" w:eastAsia="zh-CN"/>
        </w:rPr>
        <w:t>121.17</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100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与上年度相比无变化</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价值50万元以上通用设备1台（套），比上年增加0套，主要是本年度无增加单位价值50万元以上通用设备，单位价值100万元以上专用设备0台（套）比上年增加0套，主要是本年度无增加单位价值100万元以上专用设备。</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580" w:lineRule="exact"/>
        <w:ind w:firstLine="640" w:firstLineChars="200"/>
        <w:rPr>
          <w:rFonts w:ascii="仿宋_GB2312" w:hAnsi="Calibri" w:eastAsia="仿宋_GB2312" w:cs="ArialUnicodeMS"/>
          <w:kern w:val="0"/>
          <w:sz w:val="32"/>
          <w:szCs w:val="32"/>
        </w:rPr>
      </w:pPr>
      <w:r>
        <w:rPr>
          <w:rFonts w:hint="eastAsia" w:ascii="仿宋_GB2312" w:hAnsi="仿宋_GB2312" w:eastAsia="仿宋_GB2312" w:cs="仿宋_GB2312"/>
          <w:sz w:val="32"/>
          <w:szCs w:val="32"/>
        </w:rPr>
        <w:t>1. 本部门2020年度</w:t>
      </w:r>
      <w:r>
        <w:rPr>
          <w:rFonts w:ascii="仿宋_GB2312" w:hAnsi="Calibri" w:eastAsia="仿宋_GB2312" w:cs="ArialUnicodeMS"/>
          <w:kern w:val="0"/>
          <w:sz w:val="32"/>
          <w:szCs w:val="32"/>
        </w:rPr>
        <w:t>无政府性基金预算财政拨款收入支出情况，故公开08表以空表列示。</w:t>
      </w:r>
    </w:p>
    <w:p>
      <w:pPr>
        <w:adjustRightInd w:val="0"/>
        <w:snapToGrid w:val="0"/>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本部门</w:t>
      </w:r>
      <w:r>
        <w:rPr>
          <w:rFonts w:ascii="仿宋_GB2312" w:hAnsi="Calibri" w:eastAsia="仿宋_GB2312" w:cs="ArialUnicodeMS"/>
          <w:kern w:val="0"/>
          <w:sz w:val="32"/>
          <w:szCs w:val="32"/>
        </w:rPr>
        <w:t>20</w:t>
      </w:r>
      <w:r>
        <w:rPr>
          <w:rFonts w:hint="eastAsia" w:ascii="仿宋_GB2312" w:hAnsi="Calibri" w:eastAsia="仿宋_GB2312" w:cs="ArialUnicodeMS"/>
          <w:kern w:val="0"/>
          <w:sz w:val="32"/>
          <w:szCs w:val="32"/>
          <w:lang w:val="en-US" w:eastAsia="zh-CN"/>
        </w:rPr>
        <w:t>20</w:t>
      </w:r>
      <w:r>
        <w:rPr>
          <w:rFonts w:ascii="仿宋_GB2312" w:hAnsi="Calibri" w:eastAsia="仿宋_GB2312" w:cs="ArialUnicodeMS"/>
          <w:kern w:val="0"/>
          <w:sz w:val="32"/>
          <w:szCs w:val="32"/>
        </w:rPr>
        <w:t>年度无国有资本经营预算财政拨款支出情况，故公开09表以空表列示。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w:t>
      </w:r>
      <w:bookmarkStart w:id="0" w:name="_GoBack"/>
      <w:bookmarkEnd w:id="0"/>
      <w:r>
        <w:rPr>
          <w:rFonts w:hint="eastAsia" w:ascii="仿宋_GB2312" w:hAnsi="仿宋_GB2312" w:eastAsia="仿宋_GB2312" w:cs="仿宋_GB2312"/>
          <w:sz w:val="32"/>
          <w:szCs w:val="32"/>
        </w:rPr>
        <w:t>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21pt;height:351.6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o:title="5%" focussize="0,0" r:id="rId20"/>
            <v:stroke weight="0.5pt" color="#7F7F7F" joinstyle="miter"/>
            <v:imagedata o:title=""/>
            <o:lock v:ext="edit" aspectratio="f"/>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pPr>
    </w:p>
    <w:p>
      <w:pPr>
        <w:rPr>
          <w:rFonts w:ascii="黑体" w:hAnsi="黑体" w:eastAsia="黑体" w:cs="黑体"/>
          <w:sz w:val="56"/>
          <w:szCs w:val="72"/>
        </w:rPr>
        <w:sectPr>
          <w:headerReference r:id="rId11" w:type="default"/>
          <w:type w:val="continuous"/>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o:title="5%" focussize="0,0" r:id="rId20"/>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object>
          <v:shape id="_x0000_i1025" o:spt="75" type="#_x0000_t75" style="height:539.2pt;width:442pt;" o:ole="t" filled="f" o:preferrelative="t" stroked="f" coordsize="21600,21600">
            <v:path/>
            <v:fill on="f" focussize="0,0"/>
            <v:stroke on="f"/>
            <v:imagedata r:id="rId22" o:title=""/>
            <o:lock v:ext="edit" aspectratio="f"/>
            <w10:wrap type="none"/>
            <w10:anchorlock/>
          </v:shape>
          <o:OLEObject Type="Embed" ProgID="Excel.Sheet.8" ShapeID="_x0000_i1025" DrawAspect="Content" ObjectID="_1468075725" r:id="rId21">
            <o:LockedField>false</o:LockedField>
          </o:OLEObject>
        </w:object>
      </w:r>
    </w:p>
    <w:p/>
    <w:p/>
    <w:p/>
    <w:p/>
    <w:p>
      <w:r>
        <w:object>
          <v:shape id="_x0000_i1026" o:spt="75" type="#_x0000_t75" style="height:332.15pt;width:441.8pt;" o:ole="t" filled="f" o:preferrelative="t" stroked="f" coordsize="21600,21600">
            <v:path/>
            <v:fill on="f" focussize="0,0"/>
            <v:stroke on="f"/>
            <v:imagedata r:id="rId24" o:title=""/>
            <o:lock v:ext="edit" aspectratio="f"/>
            <w10:wrap type="none"/>
            <w10:anchorlock/>
          </v:shape>
          <o:OLEObject Type="Embed" ProgID="Excel.Sheet.8" ShapeID="_x0000_i1026" DrawAspect="Content" ObjectID="_1468075726" r:id="rId23">
            <o:LockedField>false</o:LockedField>
          </o:OLEObject>
        </w:object>
      </w:r>
    </w:p>
    <w:p/>
    <w:p/>
    <w:p/>
    <w:p/>
    <w:p/>
    <w:p/>
    <w:p/>
    <w:p/>
    <w:p/>
    <w:p/>
    <w:p/>
    <w:p/>
    <w:p/>
    <w:p/>
    <w:p/>
    <w:p/>
    <w:p/>
    <w:p/>
    <w:p/>
    <w:p>
      <w:r>
        <w:object>
          <v:shape id="_x0000_i1027" o:spt="75" type="#_x0000_t75" style="height:354.8pt;width:441.95pt;" o:ole="t" filled="f" o:preferrelative="t" stroked="f" coordsize="21600,21600">
            <v:path/>
            <v:fill on="f" focussize="0,0"/>
            <v:stroke on="f"/>
            <v:imagedata r:id="rId26" o:title=""/>
            <o:lock v:ext="edit" aspectratio="f"/>
            <w10:wrap type="none"/>
            <w10:anchorlock/>
          </v:shape>
          <o:OLEObject Type="Embed" ProgID="Excel.Sheet.8" ShapeID="_x0000_i1027" DrawAspect="Content" ObjectID="_1468075727" r:id="rId25">
            <o:LockedField>false</o:LockedField>
          </o:OLEObject>
        </w:object>
      </w:r>
    </w:p>
    <w:p/>
    <w:p/>
    <w:p/>
    <w:p/>
    <w:p/>
    <w:p/>
    <w:p/>
    <w:p/>
    <w:p/>
    <w:p/>
    <w:p/>
    <w:p/>
    <w:p/>
    <w:p/>
    <w:p/>
    <w:p/>
    <w:p/>
    <w:p>
      <w:r>
        <w:object>
          <v:shape id="_x0000_i1028" o:spt="75" type="#_x0000_t75" style="height:514.15pt;width:442.15pt;" o:ole="t" filled="f" o:preferrelative="t" stroked="f" coordsize="21600,21600">
            <v:path/>
            <v:fill on="f" focussize="0,0"/>
            <v:stroke on="f"/>
            <v:imagedata r:id="rId28" o:title=""/>
            <o:lock v:ext="edit" aspectratio="f"/>
            <w10:wrap type="none"/>
            <w10:anchorlock/>
          </v:shape>
          <o:OLEObject Type="Embed" ProgID="Excel.Sheet.8" ShapeID="_x0000_i1028" DrawAspect="Content" ObjectID="_1468075728" r:id="rId27">
            <o:LockedField>false</o:LockedField>
          </o:OLEObject>
        </w:object>
      </w:r>
    </w:p>
    <w:p/>
    <w:p/>
    <w:p/>
    <w:p/>
    <w:p/>
    <w:p>
      <w:r>
        <w:br w:type="page"/>
      </w:r>
    </w:p>
    <w:p>
      <w:pPr>
        <w:rPr>
          <w:rFonts w:ascii="黑体" w:hAnsi="宋体" w:eastAsia="黑体" w:cs="黑体"/>
          <w:color w:val="000000"/>
          <w:kern w:val="0"/>
          <w:sz w:val="28"/>
          <w:szCs w:val="28"/>
        </w:rPr>
        <w:sectPr>
          <w:pgSz w:w="11906" w:h="16838"/>
          <w:pgMar w:top="2098" w:right="1531" w:bottom="1984" w:left="1531" w:header="851" w:footer="992" w:gutter="0"/>
          <w:cols w:space="425" w:num="1"/>
          <w:docGrid w:type="lines" w:linePitch="312" w:charSpace="0"/>
        </w:sectPr>
      </w:pPr>
      <w:r>
        <w:object>
          <v:shape id="_x0000_i1029" o:spt="75" type="#_x0000_t75" style="height:374.25pt;width:423pt;" o:ole="t" filled="f" o:preferrelative="t" stroked="f" coordsize="21600,21600">
            <v:path/>
            <v:fill on="f" focussize="0,0"/>
            <v:stroke on="f"/>
            <v:imagedata r:id="rId30" o:title=""/>
            <o:lock v:ext="edit" aspectratio="f"/>
            <w10:wrap type="none"/>
            <w10:anchorlock/>
          </v:shape>
          <o:OLEObject Type="Embed" ProgID="Excel.Sheet.8" ShapeID="_x0000_i1029" DrawAspect="Content" ObjectID="_1468075729" r:id="rId29">
            <o:LockedField>false</o:LockedField>
          </o:OLEObject>
        </w:object>
      </w:r>
      <w:r>
        <w:br w:type="page"/>
      </w:r>
    </w:p>
    <w:p>
      <w:pPr>
        <w:widowControl/>
        <w:jc w:val="center"/>
        <w:textAlignment w:val="center"/>
        <w:sectPr>
          <w:pgSz w:w="16838" w:h="11906" w:orient="landscape"/>
          <w:pgMar w:top="1531" w:right="2098" w:bottom="1531" w:left="1984" w:header="851" w:footer="992" w:gutter="0"/>
          <w:cols w:space="425" w:num="1"/>
          <w:docGrid w:type="lines" w:linePitch="312" w:charSpace="0"/>
        </w:sectPr>
      </w:pPr>
      <w:r>
        <w:object>
          <v:shape id="_x0000_i1030" o:spt="75" type="#_x0000_t75" style="height:506.3pt;width:637.75pt;" o:ole="t" filled="f" o:preferrelative="t" stroked="f" coordsize="21600,21600">
            <v:path/>
            <v:fill on="f" focussize="0,0"/>
            <v:stroke on="f"/>
            <v:imagedata r:id="rId32" o:title=""/>
            <o:lock v:ext="edit" aspectratio="f"/>
            <w10:wrap type="none"/>
            <w10:anchorlock/>
          </v:shape>
          <o:OLEObject Type="Embed" ProgID="Excel.Sheet.8" ShapeID="_x0000_i1030" DrawAspect="Content" ObjectID="_1468075730" r:id="rId31">
            <o:LockedField>false</o:LockedField>
          </o:OLEObject>
        </w:object>
      </w:r>
    </w:p>
    <w:p>
      <w:pPr>
        <w:rPr>
          <w:rFonts w:hint="eastAsia" w:ascii="宋体" w:hAnsi="宋体" w:eastAsia="宋体" w:cs="宋体"/>
          <w:sz w:val="20"/>
          <w:szCs w:val="22"/>
        </w:rPr>
      </w:pPr>
    </w:p>
    <w:p>
      <w:pPr>
        <w:rPr>
          <w:rFonts w:hint="eastAsia" w:ascii="宋体" w:hAnsi="宋体" w:eastAsia="宋体" w:cs="宋体"/>
          <w:sz w:val="20"/>
          <w:szCs w:val="22"/>
        </w:rPr>
      </w:pPr>
      <w:r>
        <w:rPr>
          <w:rFonts w:hint="eastAsia" w:ascii="宋体" w:hAnsi="宋体" w:eastAsia="宋体" w:cs="宋体"/>
          <w:sz w:val="20"/>
          <w:szCs w:val="22"/>
        </w:rPr>
        <w:object>
          <v:shape id="_x0000_i1031" o:spt="75" type="#_x0000_t75" style="height:153.55pt;width:441.8pt;" o:ole="t" filled="f" o:preferrelative="t" stroked="f" coordsize="21600,21600">
            <v:path/>
            <v:fill on="f" focussize="0,0"/>
            <v:stroke on="f"/>
            <v:imagedata r:id="rId34" o:title=""/>
            <o:lock v:ext="edit" aspectratio="f"/>
            <w10:wrap type="none"/>
            <w10:anchorlock/>
          </v:shape>
          <o:OLEObject Type="Embed" ProgID="Excel.Sheet.8" ShapeID="_x0000_i1031" DrawAspect="Content" ObjectID="_1468075731" r:id="rId33">
            <o:LockedField>false</o:LockedField>
          </o:OLEObject>
        </w:object>
      </w:r>
    </w:p>
    <w:p>
      <w:r>
        <w:rPr>
          <w:rFonts w:hint="eastAsia" w:ascii="宋体" w:hAnsi="宋体" w:eastAsia="宋体" w:cs="宋体"/>
          <w:sz w:val="20"/>
          <w:szCs w:val="22"/>
        </w:rPr>
        <w:t>注：本表反映部门本年度“三公”经费支出预决算情况。其中：预算数为“三公”经费</w:t>
      </w:r>
      <w:r>
        <w:rPr>
          <w:rFonts w:hint="eastAsia" w:ascii="宋体" w:hAnsi="宋体" w:eastAsia="宋体" w:cs="宋体"/>
          <w:b/>
          <w:sz w:val="20"/>
          <w:szCs w:val="22"/>
        </w:rPr>
        <w:t>全年预算数</w:t>
      </w:r>
      <w:r>
        <w:rPr>
          <w:rFonts w:hint="eastAsia" w:ascii="宋体" w:hAnsi="宋体" w:eastAsia="宋体" w:cs="宋体"/>
          <w:sz w:val="20"/>
          <w:szCs w:val="22"/>
        </w:rPr>
        <w:t>，反映按规定程序调整后的预算数；决算数是包括当年一般公共预算财政拨款和以前年度结转资金安排的实际支出。</w:t>
      </w:r>
      <w:r>
        <w:rPr>
          <w:rFonts w:hint="eastAsia" w:ascii="仿宋_GB2312" w:hAnsi="仿宋_GB2312" w:eastAsia="仿宋_GB2312" w:cs="仿宋_GB2312"/>
          <w:sz w:val="20"/>
          <w:szCs w:val="22"/>
        </w:rPr>
        <w:tab/>
      </w:r>
      <w:r>
        <w:rPr>
          <w:sz w:val="20"/>
          <w:szCs w:val="22"/>
        </w:rPr>
        <w:tab/>
      </w:r>
      <w:r>
        <w:tab/>
      </w:r>
      <w:r>
        <w:tab/>
      </w:r>
      <w:r>
        <w:tab/>
      </w:r>
      <w:r>
        <w:tab/>
      </w:r>
      <w:r>
        <w:tab/>
      </w:r>
      <w:r>
        <w:tab/>
      </w:r>
      <w:r>
        <w:tab/>
      </w:r>
      <w:r>
        <w:tab/>
      </w:r>
      <w:r>
        <w:tab/>
      </w:r>
      <w:r>
        <w:br w:type="page"/>
      </w:r>
    </w:p>
    <w:p>
      <w:pPr>
        <w:jc w:val="center"/>
        <w:rPr>
          <w:rFonts w:hint="eastAsia" w:ascii="宋体" w:hAnsi="宋体" w:eastAsia="宋体" w:cs="宋体"/>
          <w:sz w:val="20"/>
          <w:szCs w:val="22"/>
        </w:rPr>
      </w:pPr>
      <w:r>
        <w:rPr>
          <w:rFonts w:hint="eastAsia" w:ascii="宋体" w:hAnsi="宋体" w:eastAsia="宋体" w:cs="宋体"/>
          <w:sz w:val="20"/>
          <w:szCs w:val="22"/>
        </w:rPr>
        <w:object>
          <v:shape id="_x0000_i1032" o:spt="75" type="#_x0000_t75" style="height:218.8pt;width:441.95pt;" o:ole="t" filled="f" o:preferrelative="t" stroked="f" coordsize="21600,21600">
            <v:path/>
            <v:fill on="f" focussize="0,0"/>
            <v:stroke on="f"/>
            <v:imagedata r:id="rId36" o:title=""/>
            <o:lock v:ext="edit" aspectratio="f"/>
            <w10:wrap type="none"/>
            <w10:anchorlock/>
          </v:shape>
          <o:OLEObject Type="Embed" ProgID="Excel.Sheet.8" ShapeID="_x0000_i1032" DrawAspect="Content" ObjectID="_1468075732" r:id="rId35">
            <o:LockedField>false</o:LockedField>
          </o:OLEObject>
        </w:object>
      </w:r>
    </w:p>
    <w:p>
      <w:pPr>
        <w:rPr>
          <w:rFonts w:hint="eastAsia" w:ascii="宋体" w:hAnsi="宋体" w:eastAsia="宋体" w:cs="宋体"/>
          <w:sz w:val="20"/>
          <w:szCs w:val="22"/>
          <w:lang w:eastAsia="zh-CN"/>
        </w:rPr>
      </w:pPr>
      <w:r>
        <w:rPr>
          <w:rFonts w:hint="eastAsia" w:ascii="宋体" w:hAnsi="宋体" w:eastAsia="宋体" w:cs="宋体"/>
          <w:sz w:val="20"/>
          <w:szCs w:val="22"/>
        </w:rPr>
        <w:t>注：本表反映部门本年度政府性基金预算财政拨款收入、支出及结转结余情况。</w:t>
      </w:r>
      <w:r>
        <w:rPr>
          <w:rFonts w:hint="eastAsia" w:ascii="宋体" w:hAnsi="宋体" w:eastAsia="宋体" w:cs="宋体"/>
          <w:sz w:val="20"/>
          <w:szCs w:val="22"/>
          <w:lang w:eastAsia="zh-CN"/>
        </w:rPr>
        <w:t>我单位无</w:t>
      </w:r>
      <w:r>
        <w:rPr>
          <w:rFonts w:hint="eastAsia" w:ascii="宋体" w:hAnsi="宋体" w:eastAsia="宋体" w:cs="宋体"/>
          <w:sz w:val="20"/>
          <w:szCs w:val="22"/>
        </w:rPr>
        <w:t>政府性基金预算财政拨款</w:t>
      </w:r>
      <w:r>
        <w:rPr>
          <w:rFonts w:hint="eastAsia" w:ascii="宋体" w:hAnsi="宋体" w:eastAsia="宋体" w:cs="宋体"/>
          <w:sz w:val="20"/>
          <w:szCs w:val="22"/>
          <w:lang w:eastAsia="zh-CN"/>
        </w:rPr>
        <w:t>情况，故空表列示。</w:t>
      </w: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rPr>
          <w:rFonts w:hint="eastAsia" w:ascii="宋体" w:hAnsi="宋体" w:eastAsia="宋体" w:cs="宋体"/>
          <w:sz w:val="20"/>
          <w:szCs w:val="22"/>
          <w:lang w:eastAsia="zh-CN"/>
        </w:rPr>
      </w:pPr>
    </w:p>
    <w:p>
      <w:pPr>
        <w:jc w:val="center"/>
        <w:rPr>
          <w:rFonts w:hint="eastAsia" w:ascii="宋体" w:hAnsi="宋体" w:eastAsia="宋体" w:cs="宋体"/>
        </w:rPr>
      </w:pPr>
      <w:r>
        <w:rPr>
          <w:rFonts w:hint="eastAsia" w:ascii="宋体" w:hAnsi="宋体" w:eastAsia="宋体" w:cs="宋体"/>
        </w:rPr>
        <w:object>
          <v:shape id="_x0000_i1033" o:spt="75" type="#_x0000_t75" style="height:226.5pt;width:356.25pt;" o:ole="t" filled="f" o:preferrelative="t" stroked="f" coordsize="21600,21600">
            <v:path/>
            <v:fill on="f" focussize="0,0"/>
            <v:stroke on="f"/>
            <v:imagedata r:id="rId38" o:title=""/>
            <o:lock v:ext="edit" aspectratio="f"/>
            <w10:wrap type="none"/>
            <w10:anchorlock/>
          </v:shape>
          <o:OLEObject Type="Embed" ProgID="Excel.Sheet.8" ShapeID="_x0000_i1033" DrawAspect="Content" ObjectID="_1468075733" r:id="rId37">
            <o:LockedField>false</o:LockedField>
          </o:OLEObject>
        </w:object>
      </w:r>
    </w:p>
    <w:p>
      <w:pPr>
        <w:rPr>
          <w:rFonts w:hint="eastAsia" w:ascii="宋体" w:hAnsi="宋体" w:eastAsia="宋体" w:cs="宋体"/>
          <w:sz w:val="20"/>
          <w:szCs w:val="22"/>
          <w:lang w:eastAsia="zh-CN"/>
        </w:rPr>
      </w:pPr>
      <w:r>
        <w:rPr>
          <w:rFonts w:hint="eastAsia" w:ascii="宋体" w:hAnsi="宋体" w:eastAsia="宋体" w:cs="宋体"/>
        </w:rPr>
        <w:t>注：本表反映部门本年度国有资本经营预算财政拨款收入、支出及结转结余情况。</w:t>
      </w:r>
      <w:r>
        <w:rPr>
          <w:rFonts w:hint="eastAsia" w:ascii="宋体" w:hAnsi="宋体" w:eastAsia="宋体" w:cs="宋体"/>
          <w:sz w:val="20"/>
          <w:szCs w:val="22"/>
          <w:lang w:eastAsia="zh-CN"/>
        </w:rPr>
        <w:t>我单位无</w:t>
      </w:r>
      <w:r>
        <w:rPr>
          <w:rFonts w:hint="eastAsia" w:ascii="宋体" w:hAnsi="宋体" w:eastAsia="宋体" w:cs="宋体"/>
        </w:rPr>
        <w:t>国有资本经营预算财政拨款</w:t>
      </w:r>
      <w:r>
        <w:rPr>
          <w:rFonts w:hint="eastAsia" w:ascii="宋体" w:hAnsi="宋体" w:eastAsia="宋体" w:cs="宋体"/>
          <w:sz w:val="20"/>
          <w:szCs w:val="22"/>
          <w:lang w:eastAsia="zh-CN"/>
        </w:rPr>
        <w:t>情况，故空表列示。</w:t>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sectPr>
          <w:pgSz w:w="11906" w:h="16838"/>
          <w:pgMar w:top="1984" w:right="1531" w:bottom="2098" w:left="1531" w:header="851" w:footer="992" w:gutter="0"/>
          <w:cols w:space="425"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Arial Black">
    <w:panose1 w:val="020B0A04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61A05"/>
    <w:rsid w:val="0018668E"/>
    <w:rsid w:val="001B73D2"/>
    <w:rsid w:val="001C34D6"/>
    <w:rsid w:val="001E62BF"/>
    <w:rsid w:val="00293E7B"/>
    <w:rsid w:val="002D1F4F"/>
    <w:rsid w:val="00366D90"/>
    <w:rsid w:val="003D678E"/>
    <w:rsid w:val="00475F92"/>
    <w:rsid w:val="006256C7"/>
    <w:rsid w:val="00646633"/>
    <w:rsid w:val="007551D8"/>
    <w:rsid w:val="008007E9"/>
    <w:rsid w:val="00801F66"/>
    <w:rsid w:val="008358C1"/>
    <w:rsid w:val="0092241E"/>
    <w:rsid w:val="009334BF"/>
    <w:rsid w:val="00C4447E"/>
    <w:rsid w:val="00EE75CF"/>
    <w:rsid w:val="00FB14AD"/>
    <w:rsid w:val="028C423A"/>
    <w:rsid w:val="03105BD2"/>
    <w:rsid w:val="058B71E0"/>
    <w:rsid w:val="07FE19F4"/>
    <w:rsid w:val="09796EB6"/>
    <w:rsid w:val="0DCF4D80"/>
    <w:rsid w:val="0E9E67B5"/>
    <w:rsid w:val="0EA325C9"/>
    <w:rsid w:val="0EB74960"/>
    <w:rsid w:val="12464CC8"/>
    <w:rsid w:val="13151F6A"/>
    <w:rsid w:val="172B1D6F"/>
    <w:rsid w:val="17FE46D7"/>
    <w:rsid w:val="19632455"/>
    <w:rsid w:val="1C157763"/>
    <w:rsid w:val="1D6E134A"/>
    <w:rsid w:val="1DAF134D"/>
    <w:rsid w:val="1DCC731B"/>
    <w:rsid w:val="21BB4805"/>
    <w:rsid w:val="22F14CB2"/>
    <w:rsid w:val="24636A98"/>
    <w:rsid w:val="256B1720"/>
    <w:rsid w:val="29096D3C"/>
    <w:rsid w:val="2A1F2881"/>
    <w:rsid w:val="2A4741B8"/>
    <w:rsid w:val="2F07462D"/>
    <w:rsid w:val="2FB96948"/>
    <w:rsid w:val="32572374"/>
    <w:rsid w:val="341934F3"/>
    <w:rsid w:val="34C45458"/>
    <w:rsid w:val="35294689"/>
    <w:rsid w:val="35C83C42"/>
    <w:rsid w:val="38751F29"/>
    <w:rsid w:val="3BAB5A61"/>
    <w:rsid w:val="3BD30F8D"/>
    <w:rsid w:val="3C34573A"/>
    <w:rsid w:val="3DA21C7E"/>
    <w:rsid w:val="3EE25214"/>
    <w:rsid w:val="42995A5C"/>
    <w:rsid w:val="43BB348A"/>
    <w:rsid w:val="4B8C6F9E"/>
    <w:rsid w:val="4D1F418F"/>
    <w:rsid w:val="4EA87ECC"/>
    <w:rsid w:val="517806AF"/>
    <w:rsid w:val="5D0C63C4"/>
    <w:rsid w:val="5DAA3367"/>
    <w:rsid w:val="5F5C1B78"/>
    <w:rsid w:val="65440E2E"/>
    <w:rsid w:val="6D1B59F3"/>
    <w:rsid w:val="6EE44B6E"/>
    <w:rsid w:val="701C188D"/>
    <w:rsid w:val="70DF170F"/>
    <w:rsid w:val="72DD4246"/>
    <w:rsid w:val="73D824BD"/>
    <w:rsid w:val="77BE590F"/>
    <w:rsid w:val="7DCC56F9"/>
    <w:rsid w:val="7F4B6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6">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12.emf"/><Relationship Id="rId37" Type="http://schemas.openxmlformats.org/officeDocument/2006/relationships/oleObject" Target="embeddings/oleObject9.bin"/><Relationship Id="rId36" Type="http://schemas.openxmlformats.org/officeDocument/2006/relationships/image" Target="media/image11.emf"/><Relationship Id="rId35" Type="http://schemas.openxmlformats.org/officeDocument/2006/relationships/oleObject" Target="embeddings/oleObject8.bin"/><Relationship Id="rId34" Type="http://schemas.openxmlformats.org/officeDocument/2006/relationships/image" Target="media/image10.emf"/><Relationship Id="rId33" Type="http://schemas.openxmlformats.org/officeDocument/2006/relationships/oleObject" Target="embeddings/oleObject7.bin"/><Relationship Id="rId32" Type="http://schemas.openxmlformats.org/officeDocument/2006/relationships/image" Target="media/image9.emf"/><Relationship Id="rId31" Type="http://schemas.openxmlformats.org/officeDocument/2006/relationships/oleObject" Target="embeddings/oleObject6.bin"/><Relationship Id="rId30" Type="http://schemas.openxmlformats.org/officeDocument/2006/relationships/image" Target="media/image8.e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7.emf"/><Relationship Id="rId27" Type="http://schemas.openxmlformats.org/officeDocument/2006/relationships/oleObject" Target="embeddings/oleObject4.bin"/><Relationship Id="rId26" Type="http://schemas.openxmlformats.org/officeDocument/2006/relationships/image" Target="media/image6.emf"/><Relationship Id="rId25" Type="http://schemas.openxmlformats.org/officeDocument/2006/relationships/oleObject" Target="embeddings/oleObject3.bin"/><Relationship Id="rId24" Type="http://schemas.openxmlformats.org/officeDocument/2006/relationships/image" Target="media/image5.emf"/><Relationship Id="rId23" Type="http://schemas.openxmlformats.org/officeDocument/2006/relationships/oleObject" Target="embeddings/oleObject2.bin"/><Relationship Id="rId22" Type="http://schemas.openxmlformats.org/officeDocument/2006/relationships/image" Target="media/image4.emf"/><Relationship Id="rId21" Type="http://schemas.openxmlformats.org/officeDocument/2006/relationships/oleObject" Target="embeddings/oleObject1.bin"/><Relationship Id="rId20" Type="http://schemas.openxmlformats.org/officeDocument/2006/relationships/image" Target="media/image3.bmp"/><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2.GI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2019</a:t>
            </a:r>
            <a:r>
              <a:rPr altLang="en-US"/>
              <a:t>年</a:t>
            </a:r>
            <a:r>
              <a:rPr lang="en-US" altLang="zh-CN"/>
              <a:t>--2020</a:t>
            </a:r>
            <a:r>
              <a:rPr altLang="en-US"/>
              <a:t>年</a:t>
            </a:r>
            <a:r>
              <a:t>收支总计对比情况（图</a:t>
            </a:r>
            <a:r>
              <a:rPr lang="en-US" altLang="zh-CN"/>
              <a:t>1</a:t>
            </a:r>
            <a:r>
              <a:t>）</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delete val="1"/>
          </c:dLbls>
          <c:cat>
            <c:strRef>
              <c:f>Sheet1!$A$2:$A$3</c:f>
              <c:strCache>
                <c:ptCount val="2"/>
                <c:pt idx="0">
                  <c:v>2019年</c:v>
                </c:pt>
                <c:pt idx="1">
                  <c:v>2020年</c:v>
                </c:pt>
              </c:strCache>
            </c:strRef>
          </c:cat>
          <c:val>
            <c:numRef>
              <c:f>Sheet1!$B$2:$B$3</c:f>
              <c:numCache>
                <c:formatCode>General</c:formatCode>
                <c:ptCount val="2"/>
                <c:pt idx="0">
                  <c:v>1368.15</c:v>
                </c:pt>
                <c:pt idx="1">
                  <c:v>1410.67</c:v>
                </c:pt>
              </c:numCache>
            </c:numRef>
          </c:val>
        </c:ser>
        <c:dLbls>
          <c:showLegendKey val="0"/>
          <c:showVal val="0"/>
          <c:showCatName val="0"/>
          <c:showSerName val="0"/>
          <c:showPercent val="0"/>
          <c:showBubbleSize val="0"/>
        </c:dLbls>
        <c:gapWidth val="150"/>
        <c:overlap val="0"/>
        <c:axId val="852747387"/>
        <c:axId val="735447292"/>
      </c:barChart>
      <c:catAx>
        <c:axId val="8527473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47292"/>
        <c:crosses val="autoZero"/>
        <c:auto val="1"/>
        <c:lblAlgn val="ctr"/>
        <c:lblOffset val="100"/>
        <c:noMultiLvlLbl val="0"/>
      </c:catAx>
      <c:valAx>
        <c:axId val="7354472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274738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sz="1600" b="1"/>
              <a:t>图</a:t>
            </a:r>
            <a:r>
              <a:rPr lang="en-US" altLang="zh-CN" sz="1600" b="1"/>
              <a:t>2</a:t>
            </a:r>
            <a:r>
              <a:rPr altLang="en-US" sz="1600" b="1"/>
              <a:t>：支出决算构成情况（按支出性质）</a:t>
            </a:r>
            <a:endParaRPr altLang="en-US" sz="1600" b="1"/>
          </a:p>
        </c:rich>
      </c:tx>
      <c:layout>
        <c:manualLayout>
          <c:xMode val="edge"/>
          <c:yMode val="edge"/>
          <c:x val="0.133594488720789"/>
          <c:y val="0.0634786288616166"/>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spPr>
            <a:scene3d>
              <a:camera prst="orthographicFront"/>
              <a:lightRig rig="threePt" dir="t"/>
            </a:scene3d>
            <a:sp3d contourW="19050"/>
          </c:spPr>
          <c:explosion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c:spPr>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c:spPr>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c:spPr>
          </c:dPt>
          <c:dLbls>
            <c:dLbl>
              <c:idx val="0"/>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1"/>
                      </a:solidFill>
                      <a:effectLst/>
                      <a:latin typeface="+mn-lt"/>
                      <a:ea typeface="+mn-ea"/>
                      <a:cs typeface="+mn-cs"/>
                    </a:defRPr>
                  </a:pPr>
                </a:p>
              </c:txPr>
              <c:dLblPos val="inEnd"/>
              <c:showLegendKey val="0"/>
              <c:showVal val="0"/>
              <c:showCatName val="1"/>
              <c:showSerName val="0"/>
              <c:showPercent val="0"/>
              <c:showBubbleSize val="0"/>
              <c:extLst>
                <c:ext xmlns:c15="http://schemas.microsoft.com/office/drawing/2012/chart" uri="{CE6537A1-D6FC-4f65-9D91-7224C49458BB}"/>
              </c:extLst>
            </c:dLbl>
            <c:dLbl>
              <c:idx val="1"/>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2"/>
                      </a:solidFill>
                      <a:effectLst/>
                      <a:latin typeface="+mn-lt"/>
                      <a:ea typeface="+mn-ea"/>
                      <a:cs typeface="+mn-cs"/>
                    </a:defRPr>
                  </a:pPr>
                </a:p>
              </c:txPr>
              <c:dLblPos val="inEnd"/>
              <c:showLegendKey val="0"/>
              <c:showVal val="0"/>
              <c:showCatName val="1"/>
              <c:showSerName val="0"/>
              <c:showPercent val="0"/>
              <c:showBubbleSize val="0"/>
              <c:extLst>
                <c:ext xmlns:c15="http://schemas.microsoft.com/office/drawing/2012/chart" uri="{CE6537A1-D6FC-4f65-9D91-7224C49458BB}"/>
              </c:extLst>
            </c:dLbl>
            <c:dLbl>
              <c:idx val="2"/>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3"/>
                      </a:solidFill>
                      <a:effectLst/>
                      <a:latin typeface="+mn-lt"/>
                      <a:ea typeface="+mn-ea"/>
                      <a:cs typeface="+mn-cs"/>
                    </a:defRPr>
                  </a:pPr>
                </a:p>
              </c:txPr>
              <c:dLblPos val="inEnd"/>
              <c:showLegendKey val="0"/>
              <c:showVal val="0"/>
              <c:showCatName val="1"/>
              <c:showSerName val="0"/>
              <c:showPercent val="0"/>
              <c:showBubbleSize val="0"/>
              <c:extLst>
                <c:ext xmlns:c15="http://schemas.microsoft.com/office/drawing/2012/chart" uri="{CE6537A1-D6FC-4f65-9D91-7224C49458BB}"/>
              </c:extLst>
            </c:dLbl>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1"/>
                    </a:solidFill>
                    <a:effectLst/>
                    <a:latin typeface="+mn-lt"/>
                    <a:ea typeface="+mn-ea"/>
                    <a:cs typeface="+mn-cs"/>
                  </a:defRPr>
                </a:pPr>
              </a:p>
            </c:txPr>
            <c:dLblPos val="in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Sheet1!$A$2:$A$4</c:f>
              <c:strCache>
                <c:ptCount val="3"/>
                <c:pt idx="0">
                  <c:v>项目支出22.04%</c:v>
                </c:pt>
                <c:pt idx="1">
                  <c:v>基本支出77.96%</c:v>
                </c:pt>
                <c:pt idx="2">
                  <c:v>经营支出0%</c:v>
                </c:pt>
              </c:strCache>
            </c:strRef>
          </c:cat>
          <c:val>
            <c:numRef>
              <c:f>Sheet1!$B$2:$B$4</c:f>
              <c:numCache>
                <c:formatCode>General</c:formatCode>
                <c:ptCount val="3"/>
                <c:pt idx="0">
                  <c:v>310.97</c:v>
                </c:pt>
                <c:pt idx="1">
                  <c:v>1099.69</c:v>
                </c:pt>
                <c:pt idx="2">
                  <c:v>0</c:v>
                </c:pt>
              </c:numCache>
            </c:numRef>
          </c:val>
        </c:ser>
        <c:dLbls>
          <c:showLegendKey val="0"/>
          <c:showVal val="0"/>
          <c:showCatName val="1"/>
          <c:showSerName val="0"/>
          <c:showPercent val="0"/>
          <c:showBubbleSize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图3：财政拨款收支对比情况</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cap="none" spc="0" normalizeH="0" baseline="0">
                    <a:solidFill>
                      <a:schemeClr val="tx1"/>
                    </a:solidFill>
                    <a:uFill>
                      <a:solidFill>
                        <a:schemeClr val="bg1"/>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2019年度收入</c:v>
                </c:pt>
                <c:pt idx="1">
                  <c:v>2020年度收入</c:v>
                </c:pt>
                <c:pt idx="2">
                  <c:v>2019年度支出</c:v>
                </c:pt>
                <c:pt idx="3">
                  <c:v>2020年度支出</c:v>
                </c:pt>
              </c:strCache>
            </c:strRef>
          </c:cat>
          <c:val>
            <c:numRef>
              <c:f>Sheet1!$B$2:$B$5</c:f>
              <c:numCache>
                <c:formatCode>General</c:formatCode>
                <c:ptCount val="4"/>
                <c:pt idx="0">
                  <c:v>1368.15</c:v>
                </c:pt>
                <c:pt idx="1">
                  <c:v>1410.67</c:v>
                </c:pt>
                <c:pt idx="2">
                  <c:v>1368.15</c:v>
                </c:pt>
                <c:pt idx="3">
                  <c:v>1410.67</c:v>
                </c:pt>
              </c:numCache>
            </c:numRef>
          </c:val>
        </c:ser>
        <c:dLbls>
          <c:showLegendKey val="0"/>
          <c:showVal val="1"/>
          <c:showCatName val="0"/>
          <c:showSerName val="0"/>
          <c:showPercent val="0"/>
          <c:showBubbleSize val="0"/>
        </c:dLbls>
        <c:gapWidth val="75"/>
        <c:overlap val="0"/>
        <c:axId val="570155007"/>
        <c:axId val="722441418"/>
      </c:barChart>
      <c:catAx>
        <c:axId val="570155007"/>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722441418"/>
        <c:crosses val="autoZero"/>
        <c:auto val="1"/>
        <c:lblAlgn val="ctr"/>
        <c:lblOffset val="100"/>
        <c:noMultiLvlLbl val="0"/>
      </c:catAx>
      <c:valAx>
        <c:axId val="72244141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57015500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legendEntry>
      <c:layout>
        <c:manualLayout>
          <c:xMode val="edge"/>
          <c:yMode val="edge"/>
          <c:x val="0.0623086344151868"/>
          <c:y val="0.889529520295203"/>
          <c:w val="0.818279240661359"/>
          <c:h val="0.102167896678967"/>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56705450091856"/>
          <c:y val="0.0714944649446494"/>
          <c:w val="0.869932639314146"/>
          <c:h val="0.706734317343173"/>
        </c:manualLayout>
      </c:layout>
      <c:barChart>
        <c:barDir val="col"/>
        <c:grouping val="clustered"/>
        <c:varyColors val="0"/>
        <c:ser>
          <c:idx val="0"/>
          <c:order val="0"/>
          <c:tx>
            <c:strRef>
              <c:f>Sheet1!$B$1</c:f>
              <c:strCache>
                <c:ptCount val="1"/>
                <c:pt idx="0">
                  <c:v>图4：财政拨款收支预决算对比情况</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cap="none" spc="0" normalizeH="0" baseline="0">
                    <a:solidFill>
                      <a:schemeClr val="tx1"/>
                    </a:solidFill>
                    <a:uFill>
                      <a:solidFill>
                        <a:schemeClr val="bg1"/>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收入预算数</c:v>
                </c:pt>
                <c:pt idx="1">
                  <c:v>收入决算数</c:v>
                </c:pt>
                <c:pt idx="2">
                  <c:v>支出预算数</c:v>
                </c:pt>
                <c:pt idx="3">
                  <c:v>支出决算数</c:v>
                </c:pt>
              </c:strCache>
            </c:strRef>
          </c:cat>
          <c:val>
            <c:numRef>
              <c:f>Sheet1!$B$2:$B$5</c:f>
              <c:numCache>
                <c:formatCode>General</c:formatCode>
                <c:ptCount val="4"/>
                <c:pt idx="0">
                  <c:v>1739.54</c:v>
                </c:pt>
                <c:pt idx="1">
                  <c:v>1410.67</c:v>
                </c:pt>
                <c:pt idx="2">
                  <c:v>1739.54</c:v>
                </c:pt>
                <c:pt idx="3">
                  <c:v>1410.67</c:v>
                </c:pt>
              </c:numCache>
            </c:numRef>
          </c:val>
        </c:ser>
        <c:dLbls>
          <c:showLegendKey val="0"/>
          <c:showVal val="1"/>
          <c:showCatName val="0"/>
          <c:showSerName val="0"/>
          <c:showPercent val="0"/>
          <c:showBubbleSize val="0"/>
        </c:dLbls>
        <c:gapWidth val="75"/>
        <c:overlap val="0"/>
        <c:axId val="570155007"/>
        <c:axId val="722441418"/>
      </c:barChart>
      <c:catAx>
        <c:axId val="570155007"/>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722441418"/>
        <c:crosses val="autoZero"/>
        <c:auto val="1"/>
        <c:lblAlgn val="ctr"/>
        <c:lblOffset val="100"/>
        <c:noMultiLvlLbl val="0"/>
      </c:catAx>
      <c:valAx>
        <c:axId val="72244141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57015500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legendEntry>
      <c:layout>
        <c:manualLayout>
          <c:xMode val="edge"/>
          <c:yMode val="edge"/>
          <c:x val="0.0623086344151868"/>
          <c:y val="0.889529520295203"/>
          <c:w val="0.818279240661359"/>
          <c:h val="0.102167896678967"/>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sz="1500" b="0"/>
              <a:t>图5：财政拨款支出决算结构（按功能分类）</a:t>
            </a:r>
            <a:endParaRPr sz="1500" b="0"/>
          </a:p>
        </c:rich>
      </c:tx>
      <c:layout>
        <c:manualLayout>
          <c:xMode val="edge"/>
          <c:yMode val="edge"/>
          <c:x val="0.175279931093885"/>
          <c:y val="0.00583203732503888"/>
        </c:manualLayout>
      </c:layout>
      <c:overlay val="0"/>
      <c:spPr>
        <a:noFill/>
        <a:ln>
          <a:noFill/>
        </a:ln>
        <a:effectLst/>
      </c:spPr>
    </c:title>
    <c:autoTitleDeleted val="0"/>
    <c:plotArea>
      <c:layout/>
      <c:pieChart>
        <c:varyColors val="1"/>
        <c:ser>
          <c:idx val="0"/>
          <c:order val="0"/>
          <c:tx>
            <c:strRef>
              <c:f>Sheet1!$B$1</c:f>
              <c:strCache>
                <c:ptCount val="1"/>
                <c:pt idx="0">
                  <c:v>图5：财政拨款支出决算结构（按功能分类）</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1216.4</c:v>
                </c:pt>
                <c:pt idx="1">
                  <c:v>112.88</c:v>
                </c:pt>
                <c:pt idx="2">
                  <c:v>28.54</c:v>
                </c:pt>
                <c:pt idx="3">
                  <c:v>52.85</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9"/>
    <customShpInfo spid="_x0000_s1048"/>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1741</Words>
  <Characters>9930</Characters>
  <Lines>82</Lines>
  <Paragraphs>23</Paragraphs>
  <TotalTime>0</TotalTime>
  <ScaleCrop>false</ScaleCrop>
  <LinksUpToDate>false</LinksUpToDate>
  <CharactersWithSpaces>11648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2021-10-14T08:38:08Z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65FA352BAB5146309CB066C800874C19</vt:lpwstr>
  </property>
</Properties>
</file>