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55FC9">
      <w:pPr>
        <w:sectPr>
          <w:headerReference r:id="rId3" w:type="even"/>
          <w:type w:val="continuous"/>
          <w:pgSz w:w="11906" w:h="16838"/>
          <w:pgMar w:top="0" w:right="0" w:bottom="0" w:left="0" w:header="851" w:footer="992" w:gutter="0"/>
          <w:cols w:space="425" w:num="1"/>
          <w:titlePg/>
          <w:docGrid w:type="lines" w:linePitch="312" w:charSpace="0"/>
        </w:sectPr>
      </w:pPr>
      <w:r>
        <w:pict>
          <v:shape id="文本框 10" o:spid="_x0000_s1118" o:spt="202" type="#_x0000_t202" style="position:absolute;left:0pt;margin-left:106.25pt;margin-top:693.55pt;height:79.95pt;width:404.15pt;z-index:251665408;mso-width-relative:page;mso-height-relative:page;" filled="f" stroked="f" coordsize="21600,21600" o:gfxdata="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KL2WSzZAAAADgEAAA8AAAAAAAAAAQAgAAAAIgAAAGRycy9kb3ducmV2LnhtbFBLAQIU&#10;ABQAAAAIAIdO4kBjjE5+uQEAAGsDAAAOAAAAAAAAAAEAIAAAACgBAABkcnMvZTJvRG9jLnhtbFBL&#10;BQYAAAAABgAGAFkBAABTBQAAAAA=&#10;">
            <v:path/>
            <v:fill on="f" focussize="0,0"/>
            <v:stroke on="f"/>
            <v:imagedata o:title=""/>
            <o:lock v:ext="edit" aspectratio="f"/>
            <v:textbox style="mso-fit-shape-to-text:t;">
              <w:txbxContent>
                <w:p w14:paraId="4BFDA45A">
                  <w:pPr>
                    <w:jc w:val="center"/>
                    <w:rPr>
                      <w:rFonts w:ascii="楷体_GB2312" w:hAnsi="楷体_GB2312" w:eastAsia="楷体_GB2312" w:cs="楷体_GB2312"/>
                      <w:color w:val="000000"/>
                      <w:kern w:val="0"/>
                      <w:sz w:val="44"/>
                      <w:szCs w:val="44"/>
                    </w:rPr>
                  </w:pPr>
                  <w:r>
                    <w:rPr>
                      <w:rFonts w:hint="eastAsia" w:ascii="楷体_GB2312" w:hAnsi="楷体_GB2312" w:eastAsia="楷体_GB2312" w:cs="楷体_GB2312"/>
                      <w:color w:val="000000"/>
                      <w:kern w:val="0"/>
                      <w:sz w:val="44"/>
                      <w:szCs w:val="44"/>
                    </w:rPr>
                    <w:t>二〇二〇年</w:t>
                  </w:r>
                  <w:r>
                    <w:rPr>
                      <w:rFonts w:hint="eastAsia" w:ascii="楷体_GB2312" w:hAnsi="楷体_GB2312" w:eastAsia="楷体_GB2312" w:cs="楷体_GB2312"/>
                      <w:color w:val="000000"/>
                      <w:kern w:val="0"/>
                      <w:sz w:val="44"/>
                      <w:szCs w:val="44"/>
                      <w:lang w:eastAsia="zh-CN"/>
                    </w:rPr>
                    <w:t>九</w:t>
                  </w:r>
                  <w:r>
                    <w:rPr>
                      <w:rFonts w:hint="eastAsia" w:ascii="楷体_GB2312" w:hAnsi="楷体_GB2312" w:eastAsia="楷体_GB2312" w:cs="楷体_GB2312"/>
                      <w:color w:val="000000"/>
                      <w:kern w:val="0"/>
                      <w:sz w:val="44"/>
                      <w:szCs w:val="44"/>
                    </w:rPr>
                    <w:t>月</w:t>
                  </w:r>
                </w:p>
              </w:txbxContent>
            </v:textbox>
          </v:shape>
        </w:pict>
      </w:r>
      <w:r>
        <w:pict>
          <v:shape id="椭圆 8" o:spid="_x0000_s1125" o:spt="3" type="#_x0000_t3" style="position:absolute;left:0pt;margin-left:53.5pt;margin-top:232.45pt;height:121.95pt;width:121.95pt;z-index:251662336;v-text-anchor:middle;mso-width-relative:page;mso-height-relative:page;" fillcolor="#FFFFFF" filled="t" stroked="f" coordsize="21600,21600" o:gfxdata="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UesZGNoAAAALAQAADwAAAAAAAAABACAAAAAiAAAA&#10;ZHJzL2Rvd25yZXYueG1sUEsBAhQAFAAAAAgAh07iQBBg6DzMAQAAkwMAAA4AAAAAAAAAAQAgAAAA&#10;KQEAAGRycy9lMm9Eb2MueG1sUEsFBgAAAAAGAAYAWQEAAGcFAAAAAA==&#10;">
            <v:path/>
            <v:fill on="t" focussize="0,0"/>
            <v:stroke on="f" weight="1pt"/>
            <v:imagedata o:title=""/>
            <o:lock v:ext="edit" aspectratio="f"/>
            <v:textbox>
              <w:txbxContent>
                <w:p w14:paraId="43351E59">
                  <w:pPr>
                    <w:jc w:val="center"/>
                  </w:pPr>
                </w:p>
              </w:txbxContent>
            </v:textbox>
          </v:shape>
        </w:pict>
      </w:r>
      <w:r>
        <w:pict>
          <v:rect id="矩形 14" o:spid="_x0000_s1126" o:spt="1" style="position:absolute;left:0pt;margin-left:33.6pt;margin-top:256.75pt;height:69.6pt;width:160.65pt;z-index:251667456;mso-width-relative:page;mso-height-relative:page;" filled="f" stroked="f" coordsize="21600,21600" o:gfxdata="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GpV&#10;qbnZAAAACgEAAA8AAAAAAAAAAQAgAAAAIgAAAGRycy9kb3ducmV2LnhtbFBLAQIUABQAAAAIAIdO&#10;4kAE7FKEsAEAAF0DAAAOAAAAAAAAAAEAIAAAACgBAABkcnMvZTJvRG9jLnhtbFBLBQYAAAAABgAG&#10;AFkBAABKBQAAAAA=&#10;">
            <v:path/>
            <v:fill on="f" focussize="0,0"/>
            <v:stroke on="f"/>
            <v:imagedata o:title=""/>
            <o:lock v:ext="edit" aspectratio="f"/>
            <v:textbox style="mso-fit-shape-to-text:t;">
              <w:txbxContent>
                <w:p w14:paraId="2C08DC7C">
                  <w:pPr>
                    <w:spacing w:line="360" w:lineRule="auto"/>
                    <w:jc w:val="center"/>
                    <w:rPr>
                      <w:kern w:val="0"/>
                      <w:sz w:val="28"/>
                      <w:szCs w:val="28"/>
                    </w:rPr>
                  </w:pPr>
                  <w:r>
                    <w:rPr>
                      <w:rFonts w:ascii="Yu Gothic UI Semibold" w:hAnsi="Yu Gothic UI Semibold" w:eastAsia="宋体"/>
                      <w:color w:val="FFFFFF"/>
                      <w:kern w:val="24"/>
                      <w:sz w:val="72"/>
                      <w:szCs w:val="72"/>
                    </w:rPr>
                    <w:t>2019</w:t>
                  </w:r>
                </w:p>
              </w:txbxContent>
            </v:textbox>
          </v:rect>
        </w:pict>
      </w:r>
      <w:r>
        <w:pict>
          <v:shape id="椭圆 9" o:spid="_x0000_s1127" o:spt="3" type="#_x0000_t3" style="position:absolute;left:0pt;margin-left:62.2pt;margin-top:242.75pt;height:103.45pt;width:103.45pt;z-index:251666432;v-text-anchor:middle;mso-width-relative:page;mso-height-relative:page;" fillcolor="#1F2959" filled="t" stroked="f" coordsize="21600,21600" o:gfxdata="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ec/fE2wAAAAsBAAAPAAAAAAAAAAEAIAAAACIA&#10;AABkcnMvZG93bnJldi54bWxQSwECFAAUAAAACACHTuJA5n2pRM0BAACUAwAADgAAAAAAAAABACAA&#10;AAAqAQAAZHJzL2Uyb0RvYy54bWxQSwUGAAAAAAYABgBZAQAAaQUAAAAA&#10;">
            <v:path/>
            <v:fill on="t" focussize="0,0"/>
            <v:stroke on="f" weight="1pt"/>
            <v:imagedata o:title=""/>
            <o:lock v:ext="edit" aspectratio="f"/>
            <v:textbox>
              <w:txbxContent>
                <w:p w14:paraId="791A612E">
                  <w:pPr>
                    <w:jc w:val="center"/>
                  </w:pPr>
                </w:p>
              </w:txbxContent>
            </v:textbox>
          </v:shape>
        </w:pict>
      </w:r>
      <w:r>
        <w:pict>
          <v:group id="组合 13" o:spid="_x0000_s1121" o:spt="203" style="position:absolute;left:0pt;margin-left:1.25pt;margin-top:821.7pt;height:21.45pt;width:595.25pt;z-index:251663360;mso-width-relative:page;mso-height-relative:page;" coordorigin="1483,16692" coordsize="11905,429203" o:gfxdata="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01yfJdoAAAAMAQAADwAAAAAAAAABACAAAAAiAAAAZHJzL2Rvd25yZXYueG1s&#10;UEsBAhQAFAAAAAgAh07iQLVMhI9oAgAAYgYAAA4AAAAAAAAAAQAgAAAAKQEAAGRycy9lMm9Eb2Mu&#10;eG1sUEsFBgAAAAAGAAYAWQEAAAMGAAAAAA==&#10;">
            <o:lock v:ext="edit" aspectratio="f"/>
            <v:rect id="矩形 6" o:spid="_x0000_s1119" o:spt="1" style="position:absolute;left:1483;top:16692;height:428;width:1125;v-text-anchor:middle;" fillcolor="#FDBC11" filled="t" stroked="f" coordsize="21600,21600" o:gfxdata="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bf6Vq8AAAA&#10;2gAAAA8AAAAAAAAAAQAgAAAAIgAAAGRycy9kb3ducmV2LnhtbFBLAQIUABQAAAAIAIdO4kAzLwWe&#10;OwAAADkAAAAQAAAAAAAAAAEAIAAAAAsBAABkcnMvc2hhcGV4bWwueG1sUEsFBgAAAAAGAAYAWwEA&#10;ALUDAAAAAA==&#10;">
              <v:path/>
              <v:fill on="t" focussize="0,0"/>
              <v:stroke on="f" weight="1pt"/>
              <v:imagedata o:title=""/>
              <o:lock v:ext="edit" aspectratio="f"/>
            </v:rect>
            <v:rect id="矩形 7" o:spid="_x0000_s1120" o:spt="1" style="position:absolute;left:2608;top:16693;height:428;width:10780;v-text-anchor:middle;" fillcolor="#1F2959" filled="t" stroked="f" coordsize="21600,21600" o:gfxdata="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jIUwugAAANoA&#10;AAAPAAAAAAAAAAEAIAAAACIAAABkcnMvZG93bnJldi54bWxQSwECFAAUAAAACACHTuJAMy8FnjsA&#10;AAA5AAAAEAAAAAAAAAABACAAAAAJAQAAZHJzL3NoYXBleG1sLnhtbFBLBQYAAAAABgAGAFsBAACz&#10;AwAAAAA=&#10;">
              <v:path/>
              <v:fill on="t" focussize="0,0"/>
              <v:stroke on="f" weight="1pt"/>
              <v:imagedata o:title=""/>
              <o:lock v:ext="edit" aspectratio="f"/>
            </v:rect>
          </v:group>
        </w:pict>
      </w:r>
      <w:r>
        <w:pict>
          <v:rect id="矩形 11" o:spid="_x0000_s1128" o:spt="1" style="position:absolute;left:0pt;margin-left:184.75pt;margin-top:286.6pt;height:31.25pt;width:339.65pt;mso-wrap-style:none;z-index:251664384;mso-width-relative:page;mso-height-relative:page;" filled="f" stroked="f" coordsize="21600,21600" o:gfxdata="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WZBfR2wAAAAwBAAAPAAAAAAAAAAEAIAAAACIAAABkcnMvZG93bnJldi54bWxQSwEC&#10;FAAUAAAACACHTuJAsGbtX7gBAABoAwAADgAAAAAAAAABACAAAAAqAQAAZHJzL2Uyb0RvYy54bWxQ&#10;SwUGAAAAAAYABgBZAQAAVAUAAAAA&#10;">
            <v:path/>
            <v:fill on="f" focussize="0,0"/>
            <v:stroke on="f"/>
            <v:imagedata o:title=""/>
            <o:lock v:ext="edit" aspectratio="f"/>
            <v:textbox style="mso-fit-shape-to-text:t;">
              <w:txbxContent>
                <w:p w14:paraId="49439FA4"/>
              </w:txbxContent>
            </v:textbox>
          </v:rect>
        </w:pict>
      </w:r>
    </w:p>
    <w:p w14:paraId="011B28D4"/>
    <w:p w14:paraId="65AA7B60">
      <w:pPr>
        <w:jc w:val="center"/>
        <w:rPr>
          <w:rFonts w:ascii="黑体" w:hAnsi="黑体" w:eastAsia="黑体" w:cs="黑体"/>
          <w:sz w:val="56"/>
          <w:szCs w:val="72"/>
        </w:rPr>
      </w:pPr>
    </w:p>
    <w:p w14:paraId="6234D5EB">
      <w:pPr>
        <w:jc w:val="center"/>
        <w:rPr>
          <w:rFonts w:ascii="黑体" w:hAnsi="黑体" w:eastAsia="黑体" w:cs="黑体"/>
          <w:sz w:val="56"/>
          <w:szCs w:val="72"/>
        </w:rPr>
      </w:pPr>
      <w:r>
        <w:pict>
          <v:group id="组合 16" o:spid="_x0000_s1124" o:spt="203" style="position:absolute;left:0pt;margin-left:-114.3pt;margin-top:29.2pt;height:69.6pt;width:600.25pt;z-index:-251655168;mso-width-relative:page;mso-height-relative:page;" coordorigin="13622,-66719" coordsize="12005,1392046" o:gfxdata="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AdqLYM2gAAAAoBAAAPAAAAAAAAAAEAIAAAACIAAABkcnMvZG93bnJldi54&#10;bWxQSwECFAAUAAAACACHTuJAk0kQq6MCAABQBgAADgAAAAAAAAABACAAAAApAQAAZHJzL2Uyb0Rv&#10;Yy54bWxQSwUGAAAAAAYABgBZAQAAPgYAAAAA&#10;">
            <o:lock v:ext="edit" aspectratio="f"/>
            <v:rect id="矩形 5" o:spid="_x0000_s1122" o:spt="1" style="position:absolute;left:13622;top:283;height:6170;width:12005;v-text-anchor:middle;" fillcolor="#FDBC11" filled="t" stroked="f" coordsize="21600,21600" o:gfxdata="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k2cS65AAAA2gAA&#10;AA8AAAAAAAAAAQAgAAAAIgAAAGRycy9kb3ducmV2LnhtbFBLAQIUABQAAAAIAIdO4kAzLwWeOwAA&#10;ADkAAAAQAAAAAAAAAAEAIAAAAAgBAABkcnMvc2hhcGV4bWwueG1sUEsFBgAAAAAGAAYAWwEAALID&#10;AAAAAA==&#10;">
              <v:path/>
              <v:fill on="t" focussize="0,0"/>
              <v:stroke on="f" weight="1pt"/>
              <v:imagedata o:title=""/>
              <o:lock v:ext="edit" aspectratio="f"/>
            </v:rect>
            <v:shape id="文本框 18" o:spid="_x0000_s1123" o:spt="202" type="#_x0000_t202" style="position:absolute;left:17229;top:-66719;height:1392046;width:8083;"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path/>
              <v:fill on="f" focussize="0,0"/>
              <v:stroke on="f"/>
              <v:imagedata o:title=""/>
              <o:lock v:ext="edit" aspectratio="f"/>
              <v:textbox style="mso-fit-shape-to-text:t;">
                <w:txbxContent>
                  <w:p w14:paraId="3FCFB432">
                    <w:pPr>
                      <w:jc w:val="left"/>
                      <w:rPr>
                        <w:color w:val="000000"/>
                        <w:kern w:val="0"/>
                        <w:sz w:val="92"/>
                        <w:szCs w:val="92"/>
                      </w:rPr>
                    </w:pPr>
                    <w:r>
                      <w:rPr>
                        <w:rFonts w:hint="eastAsia" w:ascii="思源黑体 HW Bold" w:hAnsi="思源黑体 HW Bold" w:eastAsia="思源黑体 HW Bold"/>
                        <w:color w:val="000000"/>
                        <w:kern w:val="24"/>
                        <w:sz w:val="92"/>
                        <w:szCs w:val="92"/>
                      </w:rPr>
                      <w:t>部门决算公开文本</w:t>
                    </w:r>
                  </w:p>
                </w:txbxContent>
              </v:textbox>
            </v:shape>
          </v:group>
        </w:pict>
      </w:r>
    </w:p>
    <w:p w14:paraId="34D207F9">
      <w:pPr>
        <w:rPr>
          <w:rFonts w:ascii="黑体" w:hAnsi="Times New Roman" w:eastAsia="黑体"/>
          <w:sz w:val="48"/>
          <w:szCs w:val="48"/>
        </w:rPr>
      </w:pPr>
      <w:r>
        <w:rPr>
          <w:rFonts w:ascii="黑体" w:hAnsi="Times New Roman" w:eastAsia="黑体"/>
          <w:sz w:val="48"/>
          <w:szCs w:val="48"/>
        </w:rPr>
        <w:br w:type="page"/>
      </w:r>
    </w:p>
    <w:p w14:paraId="10860C9A">
      <w:pPr>
        <w:tabs>
          <w:tab w:val="left" w:pos="2728"/>
        </w:tabs>
        <w:rPr>
          <w:rFonts w:ascii="黑体" w:hAnsi="Times New Roman" w:eastAsia="黑体"/>
          <w:sz w:val="48"/>
          <w:szCs w:val="48"/>
        </w:rPr>
      </w:pPr>
      <w:r>
        <w:rPr>
          <w:rFonts w:ascii="黑体" w:hAnsi="Times New Roman" w:eastAsia="黑体"/>
          <w:sz w:val="48"/>
          <w:szCs w:val="48"/>
        </w:rPr>
        <w:tab/>
      </w:r>
    </w:p>
    <w:p w14:paraId="1BBB4473">
      <w:pPr>
        <w:tabs>
          <w:tab w:val="left" w:pos="2728"/>
        </w:tabs>
        <w:rPr>
          <w:rFonts w:ascii="黑体" w:hAnsi="Times New Roman" w:eastAsia="黑体"/>
          <w:sz w:val="48"/>
          <w:szCs w:val="48"/>
        </w:rPr>
      </w:pPr>
      <w:r>
        <w:rPr>
          <w:rFonts w:ascii="黑体" w:hAnsi="Times New Roman" w:eastAsia="黑体"/>
          <w:sz w:val="48"/>
          <w:szCs w:val="48"/>
        </w:rPr>
        <w:tab/>
      </w:r>
    </w:p>
    <w:p w14:paraId="36124718">
      <w:pPr>
        <w:tabs>
          <w:tab w:val="left" w:pos="2728"/>
        </w:tabs>
        <w:rPr>
          <w:rFonts w:ascii="黑体" w:hAnsi="Times New Roman" w:eastAsia="黑体"/>
          <w:sz w:val="48"/>
          <w:szCs w:val="48"/>
        </w:rPr>
      </w:pPr>
    </w:p>
    <w:p w14:paraId="53385ED1">
      <w:pPr>
        <w:rPr>
          <w:rFonts w:ascii="黑体" w:hAnsi="黑体" w:eastAsia="黑体" w:cs="黑体"/>
          <w:b/>
          <w:bCs/>
          <w:sz w:val="72"/>
          <w:szCs w:val="96"/>
        </w:rPr>
      </w:pPr>
      <w:r>
        <w:rPr>
          <w:rFonts w:ascii="黑体" w:hAnsi="黑体" w:eastAsia="黑体" w:cs="黑体"/>
          <w:b/>
          <w:bCs/>
          <w:sz w:val="72"/>
          <w:szCs w:val="96"/>
        </w:rPr>
        <w:t>2019</w:t>
      </w:r>
      <w:r>
        <w:rPr>
          <w:rFonts w:hint="eastAsia" w:ascii="黑体" w:hAnsi="黑体" w:eastAsia="黑体" w:cs="黑体"/>
          <w:b/>
          <w:bCs/>
          <w:sz w:val="72"/>
          <w:szCs w:val="96"/>
        </w:rPr>
        <w:t>年度部门决算公开文本</w:t>
      </w:r>
    </w:p>
    <w:p w14:paraId="027B6E1A">
      <w:pPr>
        <w:spacing w:line="360" w:lineRule="auto"/>
        <w:jc w:val="center"/>
        <w:rPr>
          <w:rFonts w:ascii="黑体" w:hAnsi="黑体" w:eastAsia="黑体" w:cs="黑体"/>
          <w:sz w:val="56"/>
          <w:szCs w:val="72"/>
        </w:rPr>
      </w:pPr>
    </w:p>
    <w:p w14:paraId="1CA69EC2">
      <w:pPr>
        <w:spacing w:line="600" w:lineRule="auto"/>
        <w:jc w:val="center"/>
        <w:rPr>
          <w:rFonts w:ascii="黑体" w:hAnsi="黑体" w:eastAsia="黑体" w:cs="黑体"/>
          <w:sz w:val="56"/>
          <w:szCs w:val="72"/>
        </w:rPr>
      </w:pPr>
    </w:p>
    <w:p w14:paraId="2D6D82CF">
      <w:pPr>
        <w:spacing w:line="600" w:lineRule="auto"/>
        <w:jc w:val="center"/>
        <w:rPr>
          <w:rFonts w:ascii="黑体" w:hAnsi="黑体" w:eastAsia="黑体" w:cs="黑体"/>
          <w:sz w:val="56"/>
          <w:szCs w:val="72"/>
        </w:rPr>
      </w:pPr>
    </w:p>
    <w:p w14:paraId="668300E3">
      <w:pPr>
        <w:spacing w:line="600" w:lineRule="auto"/>
        <w:jc w:val="center"/>
        <w:rPr>
          <w:rFonts w:ascii="黑体" w:hAnsi="黑体" w:eastAsia="黑体" w:cs="黑体"/>
          <w:sz w:val="56"/>
          <w:szCs w:val="72"/>
        </w:rPr>
      </w:pPr>
    </w:p>
    <w:p w14:paraId="15F5A7E6">
      <w:pPr>
        <w:spacing w:line="600" w:lineRule="auto"/>
        <w:jc w:val="center"/>
        <w:rPr>
          <w:rFonts w:ascii="黑体" w:hAnsi="黑体" w:eastAsia="黑体" w:cs="黑体"/>
          <w:sz w:val="56"/>
          <w:szCs w:val="72"/>
        </w:rPr>
      </w:pPr>
    </w:p>
    <w:p w14:paraId="6C118A92">
      <w:pPr>
        <w:spacing w:line="480" w:lineRule="auto"/>
        <w:jc w:val="center"/>
        <w:rPr>
          <w:rFonts w:ascii="黑体" w:hAnsi="黑体" w:eastAsia="黑体" w:cs="黑体"/>
          <w:sz w:val="56"/>
          <w:szCs w:val="72"/>
        </w:rPr>
      </w:pPr>
    </w:p>
    <w:p w14:paraId="755E29D5">
      <w:pPr>
        <w:spacing w:line="480" w:lineRule="auto"/>
        <w:rPr>
          <w:rFonts w:ascii="黑体" w:hAnsi="黑体" w:eastAsia="黑体" w:cs="黑体"/>
          <w:sz w:val="56"/>
          <w:szCs w:val="72"/>
        </w:rPr>
      </w:pPr>
    </w:p>
    <w:p w14:paraId="5FC8C332">
      <w:pPr>
        <w:snapToGrid w:val="0"/>
        <w:spacing w:line="480" w:lineRule="auto"/>
        <w:jc w:val="center"/>
        <w:rPr>
          <w:rFonts w:ascii="黑体" w:hAnsi="黑体" w:eastAsia="黑体" w:cs="黑体"/>
          <w:sz w:val="56"/>
          <w:szCs w:val="72"/>
        </w:rPr>
      </w:pPr>
    </w:p>
    <w:p w14:paraId="4C80D7C1">
      <w:pPr>
        <w:snapToGrid w:val="0"/>
        <w:jc w:val="center"/>
        <w:rPr>
          <w:rFonts w:ascii="楷体_GB2312" w:hAnsi="楷体_GB2312" w:eastAsia="楷体_GB2312" w:cs="楷体_GB2312"/>
          <w:color w:val="000000"/>
          <w:kern w:val="0"/>
          <w:sz w:val="44"/>
          <w:szCs w:val="44"/>
        </w:rPr>
      </w:pPr>
      <w:r>
        <w:rPr>
          <w:rFonts w:hint="eastAsia" w:ascii="楷体_GB2312" w:hAnsi="楷体_GB2312" w:eastAsia="楷体_GB2312" w:cs="楷体_GB2312"/>
          <w:color w:val="000000"/>
          <w:kern w:val="0"/>
          <w:sz w:val="44"/>
          <w:szCs w:val="44"/>
        </w:rPr>
        <w:t>阜平县信访局</w:t>
      </w:r>
    </w:p>
    <w:p w14:paraId="1F02D4FB">
      <w:pPr>
        <w:snapToGrid w:val="0"/>
        <w:jc w:val="center"/>
        <w:rPr>
          <w:rFonts w:ascii="楷体_GB2312" w:hAnsi="楷体_GB2312" w:eastAsia="楷体_GB2312" w:cs="楷体_GB2312"/>
          <w:color w:val="000000"/>
          <w:kern w:val="0"/>
          <w:sz w:val="44"/>
          <w:szCs w:val="44"/>
        </w:rPr>
        <w:sectPr>
          <w:headerReference r:id="rId5" w:type="first"/>
          <w:footerReference r:id="rId6" w:type="first"/>
          <w:headerReference r:id="rId4" w:type="default"/>
          <w:type w:val="continuous"/>
          <w:pgSz w:w="11906" w:h="16838"/>
          <w:pgMar w:top="2041" w:right="1531" w:bottom="2041" w:left="1531" w:header="851" w:footer="992" w:gutter="0"/>
          <w:cols w:space="0" w:num="1"/>
          <w:titlePg/>
          <w:docGrid w:type="lines" w:linePitch="312" w:charSpace="0"/>
        </w:sectPr>
      </w:pPr>
      <w:r>
        <w:rPr>
          <w:rFonts w:hint="eastAsia" w:ascii="楷体_GB2312" w:hAnsi="楷体_GB2312" w:eastAsia="楷体_GB2312" w:cs="楷体_GB2312"/>
          <w:color w:val="000000"/>
          <w:kern w:val="0"/>
          <w:sz w:val="44"/>
          <w:szCs w:val="44"/>
        </w:rPr>
        <w:t>二〇二〇年九月</w:t>
      </w:r>
    </w:p>
    <w:p w14:paraId="151F5593">
      <w:pPr>
        <w:tabs>
          <w:tab w:val="left" w:pos="2728"/>
        </w:tabs>
        <w:rPr>
          <w:rFonts w:ascii="黑体" w:hAnsi="Times New Roman" w:eastAsia="黑体"/>
          <w:sz w:val="48"/>
          <w:szCs w:val="48"/>
        </w:rPr>
      </w:pPr>
    </w:p>
    <w:p w14:paraId="43710DD1">
      <w:pPr>
        <w:tabs>
          <w:tab w:val="left" w:pos="2728"/>
        </w:tabs>
        <w:jc w:val="center"/>
        <w:rPr>
          <w:rFonts w:ascii="黑体" w:hAnsi="Times New Roman" w:eastAsia="黑体"/>
          <w:sz w:val="48"/>
          <w:szCs w:val="48"/>
        </w:rPr>
      </w:pPr>
      <w:r>
        <w:rPr>
          <w:rFonts w:hint="eastAsia" w:ascii="黑体" w:hAnsi="Times New Roman" w:eastAsia="黑体"/>
          <w:sz w:val="48"/>
          <w:szCs w:val="48"/>
        </w:rPr>
        <w:t>目</w:t>
      </w:r>
      <w:r>
        <w:rPr>
          <w:rFonts w:hint="eastAsia" w:ascii="黑体" w:hAnsi="Times New Roman" w:eastAsia="黑体"/>
          <w:sz w:val="48"/>
          <w:szCs w:val="48"/>
          <w:lang w:val="en-US" w:eastAsia="zh-CN"/>
        </w:rPr>
        <w:t xml:space="preserve">   </w:t>
      </w:r>
      <w:r>
        <w:rPr>
          <w:rFonts w:hint="eastAsia" w:ascii="黑体" w:hAnsi="Times New Roman" w:eastAsia="黑体"/>
          <w:sz w:val="48"/>
          <w:szCs w:val="48"/>
        </w:rPr>
        <w:t>录</w:t>
      </w:r>
    </w:p>
    <w:p w14:paraId="094D0D49">
      <w:pPr>
        <w:widowControl/>
        <w:spacing w:after="160" w:line="580" w:lineRule="exact"/>
        <w:ind w:firstLine="640" w:firstLineChars="200"/>
        <w:rPr>
          <w:rFonts w:ascii="Times New Roman" w:hAnsi="Times New Roman" w:eastAsia="黑体"/>
          <w:sz w:val="32"/>
          <w:szCs w:val="32"/>
        </w:rPr>
      </w:pPr>
    </w:p>
    <w:p w14:paraId="6A8CB09F">
      <w:pPr>
        <w:widowControl/>
        <w:spacing w:after="160" w:line="580" w:lineRule="exact"/>
        <w:ind w:firstLine="640" w:firstLineChars="200"/>
        <w:rPr>
          <w:rFonts w:ascii="Times New Roman" w:hAnsi="Times New Roman" w:eastAsia="仿宋_GB2312"/>
          <w:sz w:val="24"/>
          <w:szCs w:val="32"/>
        </w:rPr>
      </w:pPr>
      <w:r>
        <w:rPr>
          <w:rFonts w:hint="eastAsia" w:ascii="Times New Roman" w:hAnsi="Times New Roman" w:eastAsia="黑体"/>
          <w:sz w:val="32"/>
          <w:szCs w:val="32"/>
        </w:rPr>
        <w:t>第一部分 部门概况</w:t>
      </w:r>
    </w:p>
    <w:p w14:paraId="551CD90F">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一、部门职责</w:t>
      </w:r>
    </w:p>
    <w:p w14:paraId="7EECC505">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二、机构设置</w:t>
      </w:r>
    </w:p>
    <w:p w14:paraId="6AF29EC5">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第二部分</w:t>
      </w:r>
      <w:r>
        <w:rPr>
          <w:rFonts w:ascii="Times New Roman" w:hAnsi="Times New Roman" w:eastAsia="黑体"/>
          <w:sz w:val="32"/>
          <w:szCs w:val="32"/>
        </w:rPr>
        <w:t xml:space="preserve">   2019</w:t>
      </w:r>
      <w:r>
        <w:rPr>
          <w:rFonts w:hint="eastAsia" w:ascii="Times New Roman" w:hAnsi="Times New Roman" w:eastAsia="黑体"/>
          <w:sz w:val="32"/>
          <w:szCs w:val="32"/>
        </w:rPr>
        <w:t>年部门决算情况说明</w:t>
      </w:r>
    </w:p>
    <w:p w14:paraId="795F09F2">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一、收入支出决算总体情况说明</w:t>
      </w:r>
    </w:p>
    <w:p w14:paraId="2187DF91">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二、收入决算情况说明</w:t>
      </w:r>
    </w:p>
    <w:p w14:paraId="2DBC2D2D">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三、支出决算情况说明</w:t>
      </w:r>
    </w:p>
    <w:p w14:paraId="4E701E62">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四、财政拨款收入支出决算总体情况说明</w:t>
      </w:r>
    </w:p>
    <w:p w14:paraId="469F381F">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五、一般公共预算</w:t>
      </w:r>
      <w:r>
        <w:rPr>
          <w:rFonts w:ascii="Times New Roman" w:hAnsi="Times New Roman" w:eastAsia="仿宋_GB2312"/>
          <w:sz w:val="32"/>
          <w:szCs w:val="32"/>
        </w:rPr>
        <w:t>“</w:t>
      </w:r>
      <w:r>
        <w:rPr>
          <w:rFonts w:hint="eastAsia" w:ascii="Times New Roman" w:hAnsi="Times New Roman" w:eastAsia="仿宋_GB2312"/>
          <w:sz w:val="32"/>
          <w:szCs w:val="32"/>
        </w:rPr>
        <w:t>三公</w:t>
      </w:r>
      <w:r>
        <w:rPr>
          <w:rFonts w:ascii="Times New Roman" w:hAnsi="Times New Roman" w:eastAsia="仿宋_GB2312"/>
          <w:sz w:val="32"/>
          <w:szCs w:val="32"/>
        </w:rPr>
        <w:t>”</w:t>
      </w:r>
      <w:r>
        <w:rPr>
          <w:rFonts w:hint="eastAsia" w:ascii="Times New Roman" w:hAnsi="Times New Roman" w:eastAsia="仿宋_GB2312"/>
          <w:sz w:val="32"/>
          <w:szCs w:val="32"/>
        </w:rPr>
        <w:t>经费支出决算情况说明</w:t>
      </w:r>
    </w:p>
    <w:p w14:paraId="7AFB869D">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六、预算绩效情况说明</w:t>
      </w:r>
    </w:p>
    <w:p w14:paraId="57F9C926">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七、其他重要事项的说明</w:t>
      </w:r>
    </w:p>
    <w:p w14:paraId="49B26BB1">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第三部分 名词解释</w:t>
      </w:r>
    </w:p>
    <w:p w14:paraId="5B2C2BD9">
      <w:pPr>
        <w:widowControl/>
        <w:spacing w:after="160" w:line="580" w:lineRule="exact"/>
        <w:ind w:firstLine="640" w:firstLineChars="200"/>
        <w:rPr>
          <w:rFonts w:ascii="Times New Roman" w:hAnsi="Times New Roman" w:eastAsia="仿宋_GB2312"/>
          <w:sz w:val="20"/>
          <w:szCs w:val="32"/>
        </w:rPr>
      </w:pPr>
      <w:r>
        <w:rPr>
          <w:rFonts w:hint="eastAsia" w:ascii="Times New Roman" w:hAnsi="Times New Roman" w:eastAsia="黑体"/>
          <w:sz w:val="32"/>
          <w:szCs w:val="32"/>
        </w:rPr>
        <w:t>第四部分</w:t>
      </w:r>
      <w:r>
        <w:rPr>
          <w:rFonts w:ascii="Times New Roman" w:hAnsi="Times New Roman" w:eastAsia="黑体"/>
          <w:sz w:val="32"/>
          <w:szCs w:val="32"/>
        </w:rPr>
        <w:t xml:space="preserve">  2019</w:t>
      </w:r>
      <w:r>
        <w:rPr>
          <w:rFonts w:hint="eastAsia" w:ascii="Times New Roman" w:hAnsi="Times New Roman" w:eastAsia="黑体"/>
          <w:sz w:val="32"/>
          <w:szCs w:val="32"/>
        </w:rPr>
        <w:t>年度部门决算报表</w:t>
      </w:r>
    </w:p>
    <w:p w14:paraId="4F904BC3">
      <w:pPr>
        <w:widowControl/>
        <w:spacing w:after="160" w:line="580" w:lineRule="exact"/>
        <w:ind w:firstLine="640" w:firstLineChars="200"/>
        <w:rPr>
          <w:rFonts w:ascii="Times New Roman" w:hAnsi="Times New Roman" w:eastAsia="黑体"/>
          <w:sz w:val="32"/>
          <w:szCs w:val="32"/>
        </w:rPr>
      </w:pPr>
    </w:p>
    <w:p w14:paraId="78E8D19F">
      <w:pPr>
        <w:widowControl/>
        <w:spacing w:after="160" w:line="580" w:lineRule="exact"/>
        <w:ind w:firstLine="640" w:firstLineChars="200"/>
        <w:rPr>
          <w:rFonts w:ascii="Times New Roman" w:hAnsi="Times New Roman" w:eastAsia="黑体"/>
          <w:sz w:val="32"/>
          <w:szCs w:val="32"/>
        </w:rPr>
        <w:sectPr>
          <w:headerReference r:id="rId8" w:type="first"/>
          <w:footerReference r:id="rId10" w:type="first"/>
          <w:headerReference r:id="rId7" w:type="default"/>
          <w:footerReference r:id="rId9" w:type="default"/>
          <w:type w:val="continuous"/>
          <w:pgSz w:w="11906" w:h="16838"/>
          <w:pgMar w:top="2041" w:right="1531" w:bottom="2041" w:left="1531" w:header="851" w:footer="992" w:gutter="0"/>
          <w:cols w:space="0" w:num="1"/>
          <w:titlePg/>
          <w:docGrid w:type="lines" w:linePitch="312" w:charSpace="0"/>
        </w:sectPr>
      </w:pPr>
    </w:p>
    <w:p w14:paraId="08CB7361">
      <w:pPr>
        <w:widowControl/>
        <w:spacing w:line="580" w:lineRule="exact"/>
        <w:ind w:firstLine="640" w:firstLineChars="200"/>
        <w:rPr>
          <w:rFonts w:eastAsia="黑体"/>
          <w:sz w:val="32"/>
          <w:szCs w:val="32"/>
        </w:rPr>
      </w:pPr>
    </w:p>
    <w:p w14:paraId="2AD4D2E1">
      <w:r>
        <w:pict>
          <v:shape id="_x0000_s1053" o:spid="_x0000_s1053" o:spt="202" type="#_x0000_t202" style="position:absolute;left:0pt;margin-left:-85.7pt;margin-top:80.7pt;height:263.1pt;width:613.65pt;z-index:251659264;v-text-anchor:middle;mso-width-relative:page;mso-height-relative:page;" fillcolor="#FFD966" filled="t" stroked="t" coordsize="21600,21600">
            <v:path/>
            <v:fill type="pattern" on="t" focussize="0,0"/>
            <v:stroke weight="1pt" color="#FFD966" joinstyle="round"/>
            <v:imagedata o:title=""/>
            <o:lock v:ext="edit"/>
            <v:textbox>
              <w:txbxContent>
                <w:p w14:paraId="2BC53504">
                  <w:pPr>
                    <w:widowControl/>
                    <w:jc w:val="center"/>
                    <w:rPr>
                      <w:rFonts w:ascii="黑体" w:hAnsi="黑体" w:eastAsia="黑体" w:cs="黑体"/>
                      <w:color w:val="000000"/>
                      <w:sz w:val="96"/>
                      <w:szCs w:val="96"/>
                    </w:rPr>
                  </w:pPr>
                  <w:r>
                    <w:rPr>
                      <w:rFonts w:hint="eastAsia" w:ascii="黑体" w:hAnsi="黑体" w:eastAsia="黑体" w:cs="黑体"/>
                      <w:color w:val="000000"/>
                      <w:sz w:val="96"/>
                      <w:szCs w:val="96"/>
                    </w:rPr>
                    <w:t>第一部分部门概况</w:t>
                  </w:r>
                </w:p>
              </w:txbxContent>
            </v:textbox>
          </v:shape>
        </w:pict>
      </w:r>
    </w:p>
    <w:p w14:paraId="42D433A9"/>
    <w:p w14:paraId="759C14C2"/>
    <w:p w14:paraId="6B93CF23"/>
    <w:p w14:paraId="44756E00"/>
    <w:p w14:paraId="4E8CCD5B"/>
    <w:p w14:paraId="1713F343"/>
    <w:p w14:paraId="6062273B"/>
    <w:p w14:paraId="26A19DE1"/>
    <w:p w14:paraId="08DA2C4D"/>
    <w:p w14:paraId="3442FA36"/>
    <w:p w14:paraId="22E008C7"/>
    <w:p w14:paraId="2C345B6F"/>
    <w:p w14:paraId="240C5E0F"/>
    <w:p w14:paraId="61B078A5"/>
    <w:p w14:paraId="02323E04"/>
    <w:p w14:paraId="68DE6438"/>
    <w:p w14:paraId="579DD2E1"/>
    <w:p w14:paraId="37298957"/>
    <w:p w14:paraId="24D013EB">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14:paraId="54511AE6">
      <w:pPr>
        <w:pStyle w:val="14"/>
        <w:widowControl/>
        <w:ind w:firstLine="640" w:firstLineChars="200"/>
        <w:rPr>
          <w:rFonts w:ascii="仿宋_GB2312" w:hAnsi="仿宋" w:eastAsia="仿宋_GB2312" w:cs="仿宋_GB2312"/>
          <w:sz w:val="32"/>
          <w:szCs w:val="32"/>
        </w:rPr>
      </w:pPr>
      <w:r>
        <w:rPr>
          <w:rFonts w:hint="eastAsia" w:ascii="仿宋_GB2312" w:hAnsi="仿宋" w:eastAsia="仿宋_GB2312"/>
          <w:sz w:val="32"/>
          <w:szCs w:val="32"/>
        </w:rPr>
        <w:t>根据中共阜平县委办公室《关于印发阜平县信访局职能配置内设机构和人员编制规定的通知》（阜办字[2019]15号），阜平县信访局部门职责是：</w:t>
      </w:r>
    </w:p>
    <w:p w14:paraId="2D141EF9">
      <w:pPr>
        <w:ind w:firstLine="640" w:firstLineChars="200"/>
        <w:rPr>
          <w:rFonts w:ascii="仿宋_GB2312" w:hAnsi="仿宋" w:eastAsia="仿宋_GB2312"/>
          <w:sz w:val="32"/>
          <w:szCs w:val="32"/>
        </w:rPr>
      </w:pPr>
      <w:r>
        <w:rPr>
          <w:rFonts w:hint="eastAsia" w:ascii="仿宋_GB2312" w:hAnsi="仿宋" w:eastAsia="仿宋_GB2312"/>
          <w:sz w:val="32"/>
          <w:szCs w:val="32"/>
        </w:rPr>
        <w:t>（一）提出全县信访工作思路，拟订信访工作规范性文件。</w:t>
      </w:r>
    </w:p>
    <w:p w14:paraId="3D830276">
      <w:pPr>
        <w:ind w:firstLine="640" w:firstLineChars="200"/>
        <w:rPr>
          <w:rFonts w:ascii="仿宋_GB2312" w:hAnsi="仿宋" w:eastAsia="仿宋_GB2312"/>
          <w:sz w:val="32"/>
          <w:szCs w:val="32"/>
        </w:rPr>
      </w:pPr>
      <w:r>
        <w:rPr>
          <w:rFonts w:hint="eastAsia" w:ascii="仿宋_GB2312" w:hAnsi="仿宋" w:eastAsia="仿宋_GB2312"/>
          <w:sz w:val="32"/>
          <w:szCs w:val="32"/>
        </w:rPr>
        <w:t>（二）办理人民群众来信，接待群众来访，受理群众网上投诉，协调督办信访案件解决，承办县长电子信箱日常工作，负责人民群众建议征集工作。</w:t>
      </w:r>
    </w:p>
    <w:p w14:paraId="39DC1D4F">
      <w:pPr>
        <w:ind w:firstLine="640" w:firstLineChars="200"/>
        <w:rPr>
          <w:rFonts w:ascii="仿宋_GB2312" w:hAnsi="仿宋" w:eastAsia="仿宋_GB2312"/>
          <w:sz w:val="32"/>
          <w:szCs w:val="32"/>
        </w:rPr>
      </w:pPr>
      <w:r>
        <w:rPr>
          <w:rFonts w:hint="eastAsia" w:ascii="仿宋_GB2312" w:hAnsi="仿宋" w:eastAsia="仿宋_GB2312"/>
          <w:sz w:val="32"/>
          <w:szCs w:val="32"/>
        </w:rPr>
        <w:t>（三）调查研究和综合分析全县信访形势及信访工作状况，总结推广各地各部门信访工作经验，提出改进和加强信访工作的意见和建议。</w:t>
      </w:r>
    </w:p>
    <w:p w14:paraId="213FC350">
      <w:pPr>
        <w:ind w:firstLine="640" w:firstLineChars="200"/>
        <w:rPr>
          <w:rFonts w:ascii="仿宋_GB2312" w:hAnsi="仿宋" w:eastAsia="仿宋_GB2312"/>
          <w:sz w:val="32"/>
          <w:szCs w:val="32"/>
        </w:rPr>
      </w:pPr>
      <w:r>
        <w:rPr>
          <w:rFonts w:hint="eastAsia" w:ascii="仿宋_GB2312" w:hAnsi="仿宋" w:eastAsia="仿宋_GB2312"/>
          <w:sz w:val="32"/>
          <w:szCs w:val="32"/>
        </w:rPr>
        <w:t>（四）参与组织、协调、指导全县社会治安综合治理和维护社会政治稳定工作，协调保障国家和省、市、县重大政治活动顺利进行，参与处理影响社会政治稳定的突发性、群体性事件。</w:t>
      </w:r>
    </w:p>
    <w:p w14:paraId="2EDFB73E">
      <w:pPr>
        <w:ind w:firstLine="640" w:firstLineChars="200"/>
        <w:rPr>
          <w:rFonts w:ascii="仿宋_GB2312" w:hAnsi="仿宋" w:eastAsia="仿宋_GB2312"/>
          <w:sz w:val="32"/>
          <w:szCs w:val="32"/>
        </w:rPr>
      </w:pPr>
      <w:r>
        <w:rPr>
          <w:rFonts w:hint="eastAsia" w:ascii="仿宋_GB2312" w:hAnsi="仿宋" w:eastAsia="仿宋_GB2312"/>
          <w:sz w:val="32"/>
          <w:szCs w:val="32"/>
        </w:rPr>
        <w:t>（五）督促检查和指导各乡镇党委、政府和县直部门的信访工作。对乡镇党委、政府和县直有关部门信访工作年度责任目标进行考核，对全县社会治安综合治理和维护社会政治稳定年度责任目标中有关信访工作进行考核。</w:t>
      </w:r>
    </w:p>
    <w:p w14:paraId="3CD204A8">
      <w:pPr>
        <w:ind w:firstLine="640" w:firstLineChars="200"/>
        <w:rPr>
          <w:rFonts w:ascii="仿宋_GB2312" w:hAnsi="仿宋" w:eastAsia="仿宋_GB2312"/>
          <w:sz w:val="32"/>
          <w:szCs w:val="32"/>
        </w:rPr>
      </w:pPr>
      <w:r>
        <w:rPr>
          <w:rFonts w:hint="eastAsia" w:ascii="仿宋_GB2312" w:hAnsi="仿宋" w:eastAsia="仿宋_GB2312"/>
          <w:sz w:val="32"/>
          <w:szCs w:val="32"/>
        </w:rPr>
        <w:t>（六）协助国家和省、市信访局处理阜平县群众进京、赴省、</w:t>
      </w:r>
    </w:p>
    <w:p w14:paraId="5CCCFDAD">
      <w:pPr>
        <w:rPr>
          <w:rFonts w:ascii="仿宋_GB2312" w:hAnsi="仿宋" w:eastAsia="仿宋_GB2312"/>
          <w:sz w:val="32"/>
          <w:szCs w:val="32"/>
        </w:rPr>
      </w:pPr>
      <w:r>
        <w:rPr>
          <w:rFonts w:hint="eastAsia" w:ascii="仿宋_GB2312" w:hAnsi="仿宋" w:eastAsia="仿宋_GB2312"/>
          <w:sz w:val="32"/>
          <w:szCs w:val="32"/>
        </w:rPr>
        <w:t>到市上访工作，综合协调处理跨地区、跨部门、跨行业的重要信访问题，协助公安机关维护县委、县政府机关正常工作秩序。</w:t>
      </w:r>
    </w:p>
    <w:p w14:paraId="2377F3ED">
      <w:pPr>
        <w:ind w:firstLine="640" w:firstLineChars="200"/>
        <w:rPr>
          <w:rFonts w:ascii="仿宋_GB2312" w:hAnsi="仿宋" w:eastAsia="仿宋_GB2312"/>
          <w:sz w:val="32"/>
          <w:szCs w:val="32"/>
        </w:rPr>
      </w:pPr>
      <w:r>
        <w:rPr>
          <w:rFonts w:hint="eastAsia" w:ascii="仿宋_GB2312" w:hAnsi="仿宋" w:eastAsia="仿宋_GB2312"/>
          <w:sz w:val="32"/>
          <w:szCs w:val="32"/>
        </w:rPr>
        <w:t>（七）负责县级领导和县直部门领导公开接访、包联案件和重点信访事项会商的组织协调工作。</w:t>
      </w:r>
    </w:p>
    <w:p w14:paraId="4F2FB952">
      <w:pPr>
        <w:ind w:firstLine="640" w:firstLineChars="200"/>
        <w:rPr>
          <w:rFonts w:ascii="仿宋_GB2312" w:hAnsi="仿宋" w:eastAsia="仿宋_GB2312"/>
          <w:sz w:val="32"/>
          <w:szCs w:val="32"/>
        </w:rPr>
      </w:pPr>
      <w:r>
        <w:rPr>
          <w:rFonts w:hint="eastAsia" w:ascii="仿宋_GB2312" w:hAnsi="仿宋" w:eastAsia="仿宋_GB2312"/>
          <w:sz w:val="32"/>
          <w:szCs w:val="32"/>
        </w:rPr>
        <w:t>（八）承担阜平县信访工作联席会议的日常工作，督促落实联席会议决定的事项。</w:t>
      </w:r>
    </w:p>
    <w:p w14:paraId="66DC9E59">
      <w:pPr>
        <w:widowControl/>
        <w:spacing w:line="580" w:lineRule="exact"/>
        <w:ind w:firstLine="640" w:firstLineChars="200"/>
        <w:rPr>
          <w:rFonts w:ascii="仿宋_GB2312" w:hAnsi="仿宋" w:eastAsia="仿宋_GB2312" w:cs="ArialUnicodeMS"/>
          <w:kern w:val="0"/>
          <w:sz w:val="32"/>
          <w:szCs w:val="32"/>
        </w:rPr>
      </w:pPr>
      <w:r>
        <w:rPr>
          <w:rFonts w:hint="eastAsia" w:ascii="仿宋_GB2312" w:hAnsi="仿宋" w:eastAsia="仿宋_GB2312"/>
          <w:sz w:val="32"/>
          <w:szCs w:val="32"/>
        </w:rPr>
        <w:t>（九）完成国家、省、市信访局和县委、县政府交办的其他任务。</w:t>
      </w:r>
    </w:p>
    <w:p w14:paraId="3F4D5624">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14:paraId="6D3A2659">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从决算编报单位构成看，纳入</w:t>
      </w:r>
      <w:r>
        <w:rPr>
          <w:rFonts w:ascii="仿宋_GB2312" w:hAnsi="Calibri" w:eastAsia="仿宋_GB2312" w:cs="ArialUnicodeMS"/>
          <w:kern w:val="0"/>
          <w:sz w:val="32"/>
          <w:szCs w:val="32"/>
        </w:rPr>
        <w:t xml:space="preserve">2019 </w:t>
      </w:r>
      <w:r>
        <w:rPr>
          <w:rFonts w:hint="eastAsia" w:ascii="仿宋_GB2312" w:hAnsi="Calibri" w:eastAsia="仿宋_GB2312" w:cs="ArialUnicodeMS"/>
          <w:kern w:val="0"/>
          <w:sz w:val="32"/>
          <w:szCs w:val="32"/>
        </w:rPr>
        <w:t>年度本部门决算汇编范围的独立核算单位（以下简称“单位”）共1个，</w:t>
      </w:r>
      <w:r>
        <w:rPr>
          <w:rFonts w:hint="eastAsia" w:ascii="仿宋" w:hAnsi="仿宋" w:eastAsia="仿宋" w:cs="仿宋_GB2312"/>
          <w:sz w:val="32"/>
          <w:szCs w:val="32"/>
        </w:rPr>
        <w:t>人员编制共7名，实有人数16人（其中在职8人，退休8人）</w:t>
      </w:r>
      <w:r>
        <w:rPr>
          <w:rFonts w:hint="eastAsia" w:ascii="仿宋_GB2312" w:hAnsi="Calibri" w:eastAsia="仿宋_GB2312" w:cs="ArialUnicodeMS"/>
          <w:kern w:val="0"/>
          <w:sz w:val="32"/>
          <w:szCs w:val="32"/>
        </w:rPr>
        <w:t>具体情况如下：</w:t>
      </w:r>
    </w:p>
    <w:tbl>
      <w:tblPr>
        <w:tblStyle w:val="6"/>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7EB59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254874A1">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308ECF54">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5F0EEAB5">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59F23F72">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2815E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4FBAB641">
            <w:pPr>
              <w:spacing w:line="560" w:lineRule="exact"/>
              <w:jc w:val="center"/>
              <w:rPr>
                <w:rFonts w:ascii="仿宋_GB2312" w:hAnsi="Calibri" w:eastAsia="仿宋_GB2312" w:cs="ArialUnicodeMS"/>
                <w:kern w:val="0"/>
                <w:sz w:val="28"/>
                <w:szCs w:val="28"/>
              </w:rPr>
            </w:pPr>
            <w:r>
              <w:rPr>
                <w:rFonts w:ascii="仿宋_GB2312" w:hAnsi="Calibri" w:eastAsia="仿宋_GB2312" w:cs="ArialUnicodeMS"/>
                <w:kern w:val="0"/>
                <w:sz w:val="28"/>
                <w:szCs w:val="28"/>
              </w:rPr>
              <w:t>1</w:t>
            </w:r>
          </w:p>
        </w:tc>
        <w:tc>
          <w:tcPr>
            <w:tcW w:w="3485" w:type="dxa"/>
          </w:tcPr>
          <w:p w14:paraId="45CD4003">
            <w:pPr>
              <w:spacing w:line="560" w:lineRule="exact"/>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阜平县信访局</w:t>
            </w:r>
            <w:r>
              <w:rPr>
                <w:rFonts w:ascii="仿宋_GB2312" w:hAnsi="Calibri" w:eastAsia="仿宋_GB2312" w:cs="ArialUnicodeMS"/>
                <w:kern w:val="0"/>
                <w:sz w:val="28"/>
                <w:szCs w:val="28"/>
              </w:rPr>
              <w:t>(</w:t>
            </w:r>
            <w:r>
              <w:rPr>
                <w:rFonts w:hint="eastAsia" w:ascii="仿宋_GB2312" w:hAnsi="Calibri" w:eastAsia="仿宋_GB2312" w:cs="ArialUnicodeMS"/>
                <w:kern w:val="0"/>
                <w:sz w:val="28"/>
                <w:szCs w:val="28"/>
              </w:rPr>
              <w:t>本级</w:t>
            </w:r>
            <w:r>
              <w:rPr>
                <w:rFonts w:ascii="仿宋_GB2312" w:hAnsi="Calibri" w:eastAsia="仿宋_GB2312" w:cs="ArialUnicodeMS"/>
                <w:kern w:val="0"/>
                <w:sz w:val="28"/>
                <w:szCs w:val="28"/>
              </w:rPr>
              <w:t>)</w:t>
            </w:r>
          </w:p>
        </w:tc>
        <w:tc>
          <w:tcPr>
            <w:tcW w:w="2445" w:type="dxa"/>
          </w:tcPr>
          <w:p w14:paraId="0588D2D4">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行政单位</w:t>
            </w:r>
          </w:p>
        </w:tc>
        <w:tc>
          <w:tcPr>
            <w:tcW w:w="2665" w:type="dxa"/>
          </w:tcPr>
          <w:p w14:paraId="6A37A7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财政拨款</w:t>
            </w:r>
          </w:p>
        </w:tc>
      </w:tr>
      <w:tr w14:paraId="053C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80" w:type="dxa"/>
            <w:gridSpan w:val="4"/>
            <w:tcBorders>
              <w:left w:val="nil"/>
              <w:bottom w:val="nil"/>
              <w:right w:val="nil"/>
            </w:tcBorders>
          </w:tcPr>
          <w:p w14:paraId="26C2661E">
            <w:pPr>
              <w:spacing w:line="560" w:lineRule="exact"/>
              <w:ind w:firstLine="560" w:firstLineChars="200"/>
              <w:jc w:val="left"/>
              <w:rPr>
                <w:rFonts w:ascii="仿宋_GB2312" w:hAnsi="Calibri" w:eastAsia="仿宋_GB2312" w:cs="ArialUnicodeMS"/>
                <w:kern w:val="0"/>
                <w:sz w:val="28"/>
                <w:szCs w:val="28"/>
              </w:rPr>
            </w:pPr>
          </w:p>
        </w:tc>
      </w:tr>
    </w:tbl>
    <w:p w14:paraId="752A5A95">
      <w:pPr>
        <w:widowControl/>
        <w:spacing w:after="160" w:line="580" w:lineRule="exact"/>
        <w:ind w:firstLine="640" w:firstLineChars="200"/>
        <w:rPr>
          <w:rFonts w:ascii="Times New Roman" w:hAnsi="Times New Roman" w:eastAsia="黑体"/>
          <w:sz w:val="32"/>
          <w:szCs w:val="32"/>
        </w:rPr>
      </w:pPr>
    </w:p>
    <w:p w14:paraId="261336C2">
      <w:pPr>
        <w:widowControl/>
        <w:spacing w:after="160" w:line="580" w:lineRule="exact"/>
        <w:ind w:firstLine="640" w:firstLineChars="200"/>
        <w:rPr>
          <w:rFonts w:ascii="Times New Roman" w:hAnsi="Times New Roman" w:eastAsia="黑体"/>
          <w:sz w:val="32"/>
          <w:szCs w:val="32"/>
        </w:rPr>
      </w:pPr>
    </w:p>
    <w:p w14:paraId="57EFB0E6">
      <w:pPr>
        <w:widowControl/>
        <w:spacing w:after="160" w:line="580" w:lineRule="exact"/>
        <w:ind w:firstLine="640" w:firstLineChars="200"/>
        <w:rPr>
          <w:rFonts w:ascii="Times New Roman" w:hAnsi="Times New Roman" w:eastAsia="黑体"/>
          <w:sz w:val="32"/>
          <w:szCs w:val="32"/>
        </w:rPr>
      </w:pPr>
    </w:p>
    <w:p w14:paraId="1E76F1B0">
      <w:pPr>
        <w:widowControl/>
        <w:spacing w:after="160" w:line="580" w:lineRule="exact"/>
        <w:ind w:firstLine="640" w:firstLineChars="200"/>
        <w:rPr>
          <w:rFonts w:ascii="Times New Roman" w:hAnsi="Times New Roman" w:eastAsia="黑体"/>
          <w:sz w:val="32"/>
          <w:szCs w:val="32"/>
        </w:rPr>
        <w:sectPr>
          <w:pgSz w:w="11906" w:h="16838"/>
          <w:pgMar w:top="2041" w:right="1531" w:bottom="2041" w:left="1531" w:header="851" w:footer="992" w:gutter="0"/>
          <w:pgNumType w:fmt="numberInDash" w:start="1"/>
          <w:cols w:space="0" w:num="1"/>
          <w:titlePg/>
          <w:docGrid w:type="lines" w:linePitch="312" w:charSpace="0"/>
        </w:sectPr>
      </w:pPr>
    </w:p>
    <w:p w14:paraId="48641A5B">
      <w:pPr>
        <w:widowControl/>
        <w:spacing w:after="160" w:line="580" w:lineRule="exact"/>
        <w:ind w:firstLine="640" w:firstLineChars="200"/>
        <w:rPr>
          <w:rFonts w:ascii="Times New Roman" w:hAnsi="Times New Roman" w:eastAsia="黑体"/>
          <w:sz w:val="32"/>
          <w:szCs w:val="32"/>
        </w:rPr>
        <w:sectPr>
          <w:type w:val="continuous"/>
          <w:pgSz w:w="11906" w:h="16838"/>
          <w:pgMar w:top="2041" w:right="1531" w:bottom="2041" w:left="1531" w:header="851" w:footer="992" w:gutter="0"/>
          <w:pgNumType w:fmt="numberInDash"/>
          <w:cols w:space="0" w:num="1"/>
          <w:titlePg/>
          <w:docGrid w:type="lines" w:linePitch="312" w:charSpace="0"/>
        </w:sectPr>
      </w:pPr>
    </w:p>
    <w:p w14:paraId="480725F6">
      <w:pPr>
        <w:widowControl/>
        <w:spacing w:after="160" w:line="580" w:lineRule="exact"/>
        <w:ind w:firstLine="420" w:firstLineChars="200"/>
        <w:rPr>
          <w:rFonts w:ascii="Times New Roman" w:hAnsi="Times New Roman" w:eastAsia="黑体"/>
          <w:sz w:val="32"/>
          <w:szCs w:val="32"/>
        </w:rPr>
        <w:sectPr>
          <w:pgSz w:w="11906" w:h="16838"/>
          <w:pgMar w:top="2041" w:right="1531" w:bottom="2041" w:left="1531" w:header="851" w:footer="992" w:gutter="0"/>
          <w:pgNumType w:fmt="numberInDash"/>
          <w:cols w:space="0" w:num="1"/>
          <w:titlePg/>
          <w:docGrid w:type="lines" w:linePitch="312" w:charSpace="0"/>
        </w:sectPr>
      </w:pPr>
      <w:r>
        <w:pict>
          <v:shape id="_x0000_s1061" o:spid="_x0000_s1061" o:spt="202" type="#_x0000_t202" style="position:absolute;left:0pt;margin-left:-85.7pt;margin-top:238.15pt;height:173.25pt;width:613.65pt;z-index:251659264;mso-width-relative:page;mso-height-relative:page;" filled="f" stroked="f" coordsize="21600,21600">
            <v:path/>
            <v:fill on="f" focussize="0,0"/>
            <v:stroke on="f" weight="0.5pt" joinstyle="miter"/>
            <v:imagedata o:title=""/>
            <o:lock v:ext="edit"/>
            <v:textbox>
              <w:txbxContent>
                <w:p w14:paraId="78654376">
                  <w:pPr>
                    <w:widowControl/>
                    <w:jc w:val="center"/>
                    <w:rPr>
                      <w:rFonts w:ascii="黑体" w:hAnsi="黑体" w:eastAsia="黑体" w:cs="黑体"/>
                      <w:color w:val="000000"/>
                      <w:sz w:val="96"/>
                      <w:szCs w:val="96"/>
                    </w:rPr>
                  </w:pPr>
                </w:p>
                <w:p w14:paraId="4F725CDA">
                  <w:pPr>
                    <w:widowControl/>
                    <w:jc w:val="center"/>
                    <w:rPr>
                      <w:rFonts w:ascii="黑体" w:hAnsi="黑体" w:eastAsia="黑体" w:cs="黑体"/>
                      <w:color w:val="000000"/>
                      <w:sz w:val="96"/>
                      <w:szCs w:val="96"/>
                    </w:rPr>
                  </w:pPr>
                </w:p>
              </w:txbxContent>
            </v:textbox>
          </v:shape>
        </w:pict>
      </w:r>
    </w:p>
    <w:p w14:paraId="0E487255">
      <w:pPr>
        <w:widowControl/>
        <w:spacing w:line="580" w:lineRule="exact"/>
        <w:ind w:firstLine="640" w:firstLineChars="200"/>
        <w:rPr>
          <w:rFonts w:eastAsia="黑体"/>
          <w:sz w:val="32"/>
          <w:szCs w:val="32"/>
        </w:rPr>
      </w:pPr>
    </w:p>
    <w:p w14:paraId="2413BB6F">
      <w:pPr>
        <w:jc w:val="center"/>
        <w:rPr>
          <w:rFonts w:ascii="黑体" w:hAnsi="黑体" w:eastAsia="黑体" w:cs="黑体"/>
          <w:sz w:val="56"/>
          <w:szCs w:val="72"/>
        </w:rPr>
      </w:pPr>
    </w:p>
    <w:p w14:paraId="39A23BB4">
      <w:pPr>
        <w:jc w:val="center"/>
        <w:rPr>
          <w:rFonts w:ascii="黑体" w:hAnsi="黑体" w:eastAsia="黑体" w:cs="黑体"/>
          <w:sz w:val="56"/>
          <w:szCs w:val="72"/>
        </w:rPr>
      </w:pPr>
    </w:p>
    <w:p w14:paraId="77BAC984">
      <w:pPr>
        <w:jc w:val="center"/>
        <w:rPr>
          <w:rFonts w:ascii="黑体" w:hAnsi="黑体" w:eastAsia="黑体" w:cs="黑体"/>
          <w:sz w:val="56"/>
          <w:szCs w:val="72"/>
        </w:rPr>
      </w:pPr>
      <w:r>
        <w:pict>
          <v:shape id="_x0000_s1062" o:spid="_x0000_s1062" o:spt="202" type="#_x0000_t202" style="position:absolute;left:0pt;margin-left:-90.8pt;margin-top:4.35pt;height:263.1pt;width:613.65pt;z-index:251659264;v-text-anchor:middle;mso-width-relative:page;mso-height-relative:page;" fillcolor="#FFD966" filled="t" stroked="t" coordsize="21600,21600">
            <v:path/>
            <v:fill type="pattern" on="t" focussize="0,0"/>
            <v:stroke weight="0.5pt" color="#FFD966" joinstyle="round"/>
            <v:imagedata o:title=""/>
            <o:lock v:ext="edit"/>
            <v:textbox>
              <w:txbxContent>
                <w:p w14:paraId="11C3D69F">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第二部分</w:t>
                  </w:r>
                </w:p>
                <w:p w14:paraId="0FCB51F7">
                  <w:pPr>
                    <w:widowControl/>
                    <w:jc w:val="center"/>
                    <w:rPr>
                      <w:rFonts w:ascii="黑体" w:hAnsi="黑体" w:eastAsia="黑体" w:cs="黑体"/>
                      <w:color w:val="000000"/>
                      <w:sz w:val="90"/>
                      <w:szCs w:val="90"/>
                    </w:rPr>
                  </w:pPr>
                  <w:r>
                    <w:rPr>
                      <w:rFonts w:ascii="黑体" w:hAnsi="黑体" w:eastAsia="黑体" w:cs="黑体"/>
                      <w:color w:val="000000"/>
                      <w:sz w:val="90"/>
                      <w:szCs w:val="90"/>
                    </w:rPr>
                    <w:t>2019</w:t>
                  </w:r>
                  <w:r>
                    <w:rPr>
                      <w:rFonts w:hint="eastAsia" w:ascii="黑体" w:hAnsi="黑体" w:eastAsia="黑体" w:cs="黑体"/>
                      <w:color w:val="000000"/>
                      <w:sz w:val="90"/>
                      <w:szCs w:val="90"/>
                    </w:rPr>
                    <w:t>年部门决算情况说明</w:t>
                  </w:r>
                </w:p>
                <w:p w14:paraId="4857555C"/>
              </w:txbxContent>
            </v:textbox>
          </v:shape>
        </w:pict>
      </w:r>
    </w:p>
    <w:p w14:paraId="5C8ABEAB">
      <w:pPr>
        <w:jc w:val="center"/>
        <w:rPr>
          <w:rFonts w:ascii="黑体" w:hAnsi="黑体" w:eastAsia="黑体" w:cs="黑体"/>
          <w:sz w:val="56"/>
          <w:szCs w:val="72"/>
        </w:rPr>
      </w:pPr>
    </w:p>
    <w:p w14:paraId="0E36487D">
      <w:pPr>
        <w:jc w:val="center"/>
        <w:rPr>
          <w:rFonts w:ascii="黑体" w:hAnsi="黑体" w:eastAsia="黑体" w:cs="黑体"/>
          <w:sz w:val="56"/>
          <w:szCs w:val="72"/>
        </w:rPr>
      </w:pPr>
    </w:p>
    <w:p w14:paraId="43A701CA">
      <w:pPr>
        <w:jc w:val="center"/>
        <w:rPr>
          <w:rFonts w:ascii="黑体" w:hAnsi="黑体" w:eastAsia="黑体" w:cs="黑体"/>
          <w:sz w:val="56"/>
          <w:szCs w:val="72"/>
        </w:rPr>
      </w:pPr>
    </w:p>
    <w:p w14:paraId="6A0E0D17">
      <w:pPr>
        <w:jc w:val="center"/>
        <w:rPr>
          <w:rFonts w:ascii="黑体" w:hAnsi="黑体" w:eastAsia="黑体" w:cs="黑体"/>
          <w:sz w:val="56"/>
          <w:szCs w:val="72"/>
        </w:rPr>
      </w:pPr>
    </w:p>
    <w:p w14:paraId="2C8C1788">
      <w:pPr>
        <w:jc w:val="center"/>
        <w:rPr>
          <w:rFonts w:ascii="黑体" w:hAnsi="黑体" w:eastAsia="黑体" w:cs="黑体"/>
          <w:sz w:val="56"/>
          <w:szCs w:val="72"/>
        </w:rPr>
      </w:pPr>
    </w:p>
    <w:p w14:paraId="36748EEB">
      <w:pPr>
        <w:jc w:val="center"/>
        <w:rPr>
          <w:rFonts w:ascii="黑体" w:hAnsi="黑体" w:eastAsia="黑体" w:cs="黑体"/>
          <w:sz w:val="56"/>
          <w:szCs w:val="72"/>
        </w:rPr>
      </w:pPr>
    </w:p>
    <w:p w14:paraId="39EF615A">
      <w:pPr>
        <w:jc w:val="center"/>
        <w:rPr>
          <w:rFonts w:ascii="黑体" w:hAnsi="黑体" w:eastAsia="黑体" w:cs="黑体"/>
          <w:sz w:val="56"/>
          <w:szCs w:val="72"/>
        </w:rPr>
      </w:pPr>
    </w:p>
    <w:p w14:paraId="0059FB47">
      <w:pPr>
        <w:jc w:val="center"/>
        <w:rPr>
          <w:rFonts w:ascii="黑体" w:hAnsi="黑体" w:eastAsia="黑体" w:cs="黑体"/>
          <w:sz w:val="56"/>
          <w:szCs w:val="72"/>
        </w:rPr>
      </w:pPr>
    </w:p>
    <w:p w14:paraId="73E3CB92">
      <w:pPr>
        <w:jc w:val="center"/>
        <w:rPr>
          <w:rFonts w:ascii="黑体" w:hAnsi="黑体" w:eastAsia="黑体" w:cs="黑体"/>
          <w:sz w:val="56"/>
          <w:szCs w:val="72"/>
        </w:rPr>
      </w:pPr>
    </w:p>
    <w:p w14:paraId="75A9DBB6">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一、收入</w:t>
      </w:r>
      <w:r>
        <w:rPr>
          <w:rFonts w:hint="eastAsia" w:ascii="黑体" w:hAnsi="Cambria" w:eastAsia="黑体" w:cs="黑体"/>
          <w:kern w:val="0"/>
          <w:sz w:val="32"/>
          <w:szCs w:val="32"/>
        </w:rPr>
        <w:t>支出</w:t>
      </w:r>
      <w:r>
        <w:rPr>
          <w:rFonts w:hint="eastAsia" w:ascii="黑体" w:hAnsi="Calibri" w:eastAsia="黑体"/>
          <w:sz w:val="32"/>
          <w:szCs w:val="32"/>
        </w:rPr>
        <w:t>决算总体情况说明</w:t>
      </w:r>
    </w:p>
    <w:p w14:paraId="650DB22D">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年度收入总计（含结转和结余）</w:t>
      </w:r>
      <w:r>
        <w:rPr>
          <w:rFonts w:ascii="仿宋_GB2312" w:hAnsi="Times New Roman" w:eastAsia="仿宋_GB2312" w:cs="DengXian-Regular"/>
          <w:sz w:val="32"/>
          <w:szCs w:val="32"/>
        </w:rPr>
        <w:t>509.54</w:t>
      </w:r>
      <w:r>
        <w:rPr>
          <w:rFonts w:hint="eastAsia" w:ascii="仿宋_GB2312" w:hAnsi="Times New Roman" w:eastAsia="仿宋_GB2312" w:cs="DengXian-Regular"/>
          <w:sz w:val="32"/>
          <w:szCs w:val="32"/>
        </w:rPr>
        <w:t>万元。与</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年度决算相比，收入增加</w:t>
      </w:r>
      <w:r>
        <w:rPr>
          <w:rFonts w:ascii="仿宋_GB2312" w:hAnsi="Times New Roman" w:eastAsia="仿宋_GB2312" w:cs="DengXian-Regular"/>
          <w:sz w:val="32"/>
          <w:szCs w:val="32"/>
        </w:rPr>
        <w:t>232.54</w:t>
      </w:r>
      <w:r>
        <w:rPr>
          <w:rFonts w:hint="eastAsia" w:ascii="仿宋_GB2312" w:hAnsi="Times New Roman" w:eastAsia="仿宋_GB2312" w:cs="DengXian-Regular"/>
          <w:sz w:val="32"/>
          <w:szCs w:val="32"/>
        </w:rPr>
        <w:t>万元，增长</w:t>
      </w:r>
      <w:r>
        <w:rPr>
          <w:rFonts w:ascii="仿宋_GB2312" w:hAnsi="Times New Roman" w:eastAsia="仿宋_GB2312" w:cs="DengXian-Regular"/>
          <w:sz w:val="32"/>
          <w:szCs w:val="32"/>
        </w:rPr>
        <w:t>83.95%</w:t>
      </w:r>
      <w:r>
        <w:rPr>
          <w:rFonts w:hint="eastAsia" w:ascii="仿宋_GB2312" w:hAnsi="Times New Roman" w:eastAsia="仿宋_GB2312" w:cs="DengXian-Regular"/>
          <w:sz w:val="32"/>
          <w:szCs w:val="32"/>
        </w:rPr>
        <w:t>，主要原因一是本年度人员增加，保险基数调高，一般公共预算财政拨款人员经费增多；二是本年度增加了政府性基金拨款收入。支出总计（含结转和结余）</w:t>
      </w:r>
      <w:r>
        <w:rPr>
          <w:rFonts w:ascii="仿宋_GB2312" w:hAnsi="Times New Roman" w:eastAsia="仿宋_GB2312" w:cs="DengXian-Regular"/>
          <w:sz w:val="32"/>
          <w:szCs w:val="32"/>
        </w:rPr>
        <w:t>232.54</w:t>
      </w:r>
      <w:r>
        <w:rPr>
          <w:rFonts w:hint="eastAsia" w:ascii="仿宋_GB2312" w:hAnsi="Times New Roman" w:eastAsia="仿宋_GB2312" w:cs="DengXian-Regular"/>
          <w:sz w:val="32"/>
          <w:szCs w:val="32"/>
        </w:rPr>
        <w:t>万元。与</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年度决算相比，支出增加</w:t>
      </w:r>
      <w:r>
        <w:rPr>
          <w:rFonts w:ascii="仿宋_GB2312" w:hAnsi="Times New Roman" w:eastAsia="仿宋_GB2312" w:cs="DengXian-Regular"/>
          <w:sz w:val="32"/>
          <w:szCs w:val="32"/>
        </w:rPr>
        <w:t>232.54</w:t>
      </w:r>
      <w:r>
        <w:rPr>
          <w:rFonts w:hint="eastAsia" w:ascii="仿宋_GB2312" w:hAnsi="Times New Roman" w:eastAsia="仿宋_GB2312" w:cs="DengXian-Regular"/>
          <w:sz w:val="32"/>
          <w:szCs w:val="32"/>
        </w:rPr>
        <w:t>万元，增长</w:t>
      </w:r>
      <w:r>
        <w:rPr>
          <w:rFonts w:ascii="仿宋_GB2312" w:hAnsi="Times New Roman" w:eastAsia="仿宋_GB2312" w:cs="DengXian-Regular"/>
          <w:sz w:val="32"/>
          <w:szCs w:val="32"/>
        </w:rPr>
        <w:t>83.95%</w:t>
      </w:r>
      <w:r>
        <w:rPr>
          <w:rFonts w:hint="eastAsia" w:ascii="仿宋_GB2312" w:hAnsi="Times New Roman" w:eastAsia="仿宋_GB2312" w:cs="DengXian-Regular"/>
          <w:sz w:val="32"/>
          <w:szCs w:val="32"/>
        </w:rPr>
        <w:t>，主要原因一是本年度人员增加，保险基数调高，一般公共预算财政拨款人员经费支出增多；二是本年度增加了政府性基金拨款支出。</w:t>
      </w:r>
    </w:p>
    <w:p w14:paraId="02D3595B">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二、收入决算情况说明</w:t>
      </w:r>
    </w:p>
    <w:p w14:paraId="050A46C8">
      <w:pPr>
        <w:adjustRightInd w:val="0"/>
        <w:snapToGrid w:val="0"/>
        <w:spacing w:line="580" w:lineRule="exact"/>
        <w:ind w:firstLine="640" w:firstLineChars="200"/>
        <w:rPr>
          <w:rFonts w:ascii="仿宋_GB2312" w:hAnsi="Times New Roman" w:eastAsia="仿宋_GB2312" w:cs="DengXian-Regular"/>
          <w:sz w:val="32"/>
          <w:szCs w:val="32"/>
          <w:highlight w:val="yellow"/>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年度本年收入合计</w:t>
      </w:r>
      <w:r>
        <w:rPr>
          <w:rFonts w:ascii="仿宋_GB2312" w:hAnsi="Times New Roman" w:eastAsia="仿宋_GB2312" w:cs="DengXian-Regular"/>
          <w:sz w:val="32"/>
          <w:szCs w:val="32"/>
        </w:rPr>
        <w:t>509.54</w:t>
      </w:r>
      <w:r>
        <w:rPr>
          <w:rFonts w:hint="eastAsia" w:ascii="仿宋_GB2312" w:hAnsi="Times New Roman" w:eastAsia="仿宋_GB2312" w:cs="DengXian-Regular"/>
          <w:sz w:val="32"/>
          <w:szCs w:val="32"/>
        </w:rPr>
        <w:t>万元，其中：财政拨款收入</w:t>
      </w:r>
      <w:r>
        <w:rPr>
          <w:rFonts w:ascii="仿宋_GB2312" w:hAnsi="Times New Roman" w:eastAsia="仿宋_GB2312" w:cs="DengXian-Regular"/>
          <w:sz w:val="32"/>
          <w:szCs w:val="32"/>
        </w:rPr>
        <w:t>509.54</w:t>
      </w:r>
      <w:r>
        <w:rPr>
          <w:rFonts w:hint="eastAsia" w:ascii="仿宋_GB2312" w:hAnsi="Times New Roman" w:eastAsia="仿宋_GB2312" w:cs="DengXian-Regular"/>
          <w:sz w:val="32"/>
          <w:szCs w:val="32"/>
        </w:rPr>
        <w:t>万元，占</w:t>
      </w:r>
      <w:r>
        <w:rPr>
          <w:rFonts w:ascii="仿宋_GB2312" w:hAnsi="Times New Roman" w:eastAsia="仿宋_GB2312" w:cs="DengXian-Regular"/>
          <w:sz w:val="32"/>
          <w:szCs w:val="32"/>
        </w:rPr>
        <w:t>100%</w:t>
      </w:r>
      <w:r>
        <w:rPr>
          <w:rFonts w:hint="eastAsia" w:ascii="仿宋_GB2312" w:hAnsi="Times New Roman" w:eastAsia="仿宋_GB2312" w:cs="DengXian-Regular"/>
          <w:sz w:val="32"/>
          <w:szCs w:val="32"/>
        </w:rPr>
        <w:t>；事业收入</w:t>
      </w:r>
      <w:r>
        <w:rPr>
          <w:rFonts w:ascii="仿宋_GB2312" w:hAnsi="Times New Roman" w:eastAsia="仿宋_GB2312" w:cs="DengXian-Regular"/>
          <w:sz w:val="32"/>
          <w:szCs w:val="32"/>
        </w:rPr>
        <w:t>0</w:t>
      </w:r>
      <w:r>
        <w:rPr>
          <w:rFonts w:hint="eastAsia" w:ascii="仿宋_GB2312" w:hAnsi="Times New Roman" w:eastAsia="仿宋_GB2312" w:cs="DengXian-Regular"/>
          <w:sz w:val="32"/>
          <w:szCs w:val="32"/>
        </w:rPr>
        <w:t>万元，占</w:t>
      </w:r>
      <w:r>
        <w:rPr>
          <w:rFonts w:ascii="仿宋_GB2312" w:hAnsi="Times New Roman" w:eastAsia="仿宋_GB2312" w:cs="DengXian-Regular"/>
          <w:sz w:val="32"/>
          <w:szCs w:val="32"/>
        </w:rPr>
        <w:t>0%</w:t>
      </w:r>
      <w:r>
        <w:rPr>
          <w:rFonts w:hint="eastAsia" w:ascii="仿宋_GB2312" w:hAnsi="Times New Roman" w:eastAsia="仿宋_GB2312" w:cs="DengXian-Regular"/>
          <w:sz w:val="32"/>
          <w:szCs w:val="32"/>
        </w:rPr>
        <w:t>；经营收入</w:t>
      </w:r>
      <w:r>
        <w:rPr>
          <w:rFonts w:ascii="仿宋_GB2312" w:hAnsi="Times New Roman" w:eastAsia="仿宋_GB2312" w:cs="DengXian-Regular"/>
          <w:sz w:val="32"/>
          <w:szCs w:val="32"/>
        </w:rPr>
        <w:t>0</w:t>
      </w:r>
      <w:r>
        <w:rPr>
          <w:rFonts w:hint="eastAsia" w:ascii="仿宋_GB2312" w:hAnsi="Times New Roman" w:eastAsia="仿宋_GB2312" w:cs="DengXian-Regular"/>
          <w:sz w:val="32"/>
          <w:szCs w:val="32"/>
        </w:rPr>
        <w:t>万元，占</w:t>
      </w:r>
      <w:r>
        <w:rPr>
          <w:rFonts w:ascii="仿宋_GB2312" w:hAnsi="Times New Roman" w:eastAsia="仿宋_GB2312" w:cs="DengXian-Regular"/>
          <w:sz w:val="32"/>
          <w:szCs w:val="32"/>
        </w:rPr>
        <w:t>0%</w:t>
      </w:r>
      <w:r>
        <w:rPr>
          <w:rFonts w:hint="eastAsia" w:ascii="仿宋_GB2312" w:hAnsi="Times New Roman" w:eastAsia="仿宋_GB2312" w:cs="DengXian-Regular"/>
          <w:sz w:val="32"/>
          <w:szCs w:val="32"/>
        </w:rPr>
        <w:t>；其他收入</w:t>
      </w:r>
      <w:r>
        <w:rPr>
          <w:rFonts w:ascii="仿宋_GB2312" w:hAnsi="Times New Roman" w:eastAsia="仿宋_GB2312" w:cs="DengXian-Regular"/>
          <w:sz w:val="32"/>
          <w:szCs w:val="32"/>
        </w:rPr>
        <w:t>0</w:t>
      </w:r>
      <w:r>
        <w:rPr>
          <w:rFonts w:hint="eastAsia" w:ascii="仿宋_GB2312" w:hAnsi="Times New Roman" w:eastAsia="仿宋_GB2312" w:cs="DengXian-Regular"/>
          <w:sz w:val="32"/>
          <w:szCs w:val="32"/>
        </w:rPr>
        <w:t>万元，占</w:t>
      </w:r>
      <w:r>
        <w:rPr>
          <w:rFonts w:ascii="仿宋_GB2312" w:hAnsi="Times New Roman" w:eastAsia="仿宋_GB2312" w:cs="DengXian-Regular"/>
          <w:sz w:val="32"/>
          <w:szCs w:val="32"/>
        </w:rPr>
        <w:t>0%</w:t>
      </w:r>
      <w:r>
        <w:rPr>
          <w:rFonts w:hint="eastAsia" w:ascii="仿宋_GB2312" w:hAnsi="Times New Roman" w:eastAsia="仿宋_GB2312" w:cs="DengXian-Regular"/>
          <w:sz w:val="32"/>
          <w:szCs w:val="32"/>
        </w:rPr>
        <w:t>。</w:t>
      </w:r>
    </w:p>
    <w:p w14:paraId="2521578B">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三、支出决算情况说明</w:t>
      </w:r>
    </w:p>
    <w:p w14:paraId="5A69FC1E">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年度本年支出合计</w:t>
      </w:r>
      <w:r>
        <w:rPr>
          <w:rFonts w:ascii="仿宋_GB2312" w:hAnsi="Times New Roman" w:eastAsia="仿宋_GB2312" w:cs="DengXian-Regular"/>
          <w:sz w:val="32"/>
          <w:szCs w:val="32"/>
        </w:rPr>
        <w:t>509.54</w:t>
      </w:r>
      <w:r>
        <w:rPr>
          <w:rFonts w:hint="eastAsia" w:ascii="仿宋_GB2312" w:hAnsi="Times New Roman" w:eastAsia="仿宋_GB2312" w:cs="DengXian-Regular"/>
          <w:sz w:val="32"/>
          <w:szCs w:val="32"/>
        </w:rPr>
        <w:t>万元，其中：基本支出</w:t>
      </w:r>
      <w:r>
        <w:rPr>
          <w:rFonts w:ascii="仿宋_GB2312" w:hAnsi="Times New Roman" w:eastAsia="仿宋_GB2312" w:cs="DengXian-Regular"/>
          <w:sz w:val="32"/>
          <w:szCs w:val="32"/>
        </w:rPr>
        <w:t>104.62</w:t>
      </w:r>
      <w:r>
        <w:rPr>
          <w:rFonts w:hint="eastAsia" w:ascii="仿宋_GB2312" w:hAnsi="Times New Roman" w:eastAsia="仿宋_GB2312" w:cs="DengXian-Regular"/>
          <w:sz w:val="32"/>
          <w:szCs w:val="32"/>
        </w:rPr>
        <w:t>万元，占</w:t>
      </w:r>
      <w:r>
        <w:rPr>
          <w:rFonts w:ascii="仿宋_GB2312" w:hAnsi="Times New Roman" w:eastAsia="仿宋_GB2312" w:cs="DengXian-Regular"/>
          <w:sz w:val="32"/>
          <w:szCs w:val="32"/>
        </w:rPr>
        <w:t>20.53%</w:t>
      </w:r>
      <w:r>
        <w:rPr>
          <w:rFonts w:hint="eastAsia" w:ascii="仿宋_GB2312" w:hAnsi="Times New Roman" w:eastAsia="仿宋_GB2312" w:cs="DengXian-Regular"/>
          <w:sz w:val="32"/>
          <w:szCs w:val="32"/>
        </w:rPr>
        <w:t>；项目支出</w:t>
      </w:r>
      <w:r>
        <w:rPr>
          <w:rFonts w:ascii="仿宋_GB2312" w:hAnsi="Times New Roman" w:eastAsia="仿宋_GB2312" w:cs="DengXian-Regular"/>
          <w:sz w:val="32"/>
          <w:szCs w:val="32"/>
        </w:rPr>
        <w:t>404.92</w:t>
      </w:r>
      <w:r>
        <w:rPr>
          <w:rFonts w:hint="eastAsia" w:ascii="仿宋_GB2312" w:hAnsi="Times New Roman" w:eastAsia="仿宋_GB2312" w:cs="DengXian-Regular"/>
          <w:sz w:val="32"/>
          <w:szCs w:val="32"/>
        </w:rPr>
        <w:t>万元，占</w:t>
      </w:r>
      <w:r>
        <w:rPr>
          <w:rFonts w:ascii="仿宋_GB2312" w:hAnsi="Times New Roman" w:eastAsia="仿宋_GB2312" w:cs="DengXian-Regular"/>
          <w:sz w:val="32"/>
          <w:szCs w:val="32"/>
        </w:rPr>
        <w:t>79.47%</w:t>
      </w:r>
      <w:r>
        <w:rPr>
          <w:rFonts w:hint="eastAsia" w:ascii="仿宋_GB2312" w:hAnsi="Times New Roman" w:eastAsia="仿宋_GB2312" w:cs="DengXian-Regular"/>
          <w:sz w:val="32"/>
          <w:szCs w:val="32"/>
        </w:rPr>
        <w:t>；经营支出</w:t>
      </w:r>
      <w:r>
        <w:rPr>
          <w:rFonts w:ascii="仿宋_GB2312" w:hAnsi="Times New Roman" w:eastAsia="仿宋_GB2312" w:cs="DengXian-Regular"/>
          <w:sz w:val="32"/>
          <w:szCs w:val="32"/>
        </w:rPr>
        <w:t>0</w:t>
      </w:r>
      <w:r>
        <w:rPr>
          <w:rFonts w:hint="eastAsia" w:ascii="仿宋_GB2312" w:hAnsi="Times New Roman" w:eastAsia="仿宋_GB2312" w:cs="DengXian-Regular"/>
          <w:sz w:val="32"/>
          <w:szCs w:val="32"/>
        </w:rPr>
        <w:t>万元，占</w:t>
      </w:r>
      <w:r>
        <w:rPr>
          <w:rFonts w:ascii="仿宋_GB2312" w:hAnsi="Times New Roman" w:eastAsia="仿宋_GB2312" w:cs="DengXian-Regular"/>
          <w:sz w:val="32"/>
          <w:szCs w:val="32"/>
        </w:rPr>
        <w:t>0%</w:t>
      </w:r>
      <w:r>
        <w:rPr>
          <w:rFonts w:hint="eastAsia" w:ascii="仿宋_GB2312" w:hAnsi="Times New Roman" w:eastAsia="仿宋_GB2312" w:cs="DengXian-Regular"/>
          <w:sz w:val="32"/>
          <w:szCs w:val="32"/>
        </w:rPr>
        <w:t>。</w:t>
      </w:r>
    </w:p>
    <w:p w14:paraId="546AB57F">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四、</w:t>
      </w:r>
      <w:r>
        <w:rPr>
          <w:rFonts w:hint="eastAsia" w:ascii="黑体" w:hAnsi="Cambria" w:eastAsia="黑体" w:cs="黑体"/>
          <w:kern w:val="0"/>
          <w:sz w:val="32"/>
          <w:szCs w:val="32"/>
        </w:rPr>
        <w:t>财政</w:t>
      </w:r>
      <w:r>
        <w:rPr>
          <w:rFonts w:hint="eastAsia" w:ascii="黑体" w:hAnsi="Calibri" w:eastAsia="黑体"/>
          <w:sz w:val="32"/>
          <w:szCs w:val="32"/>
        </w:rPr>
        <w:t>拨款收入支出决算总体情况说明</w:t>
      </w:r>
    </w:p>
    <w:p w14:paraId="028C0DA3">
      <w:pPr>
        <w:snapToGrid w:val="0"/>
        <w:spacing w:line="58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（一）财政拨款收支与</w:t>
      </w:r>
      <w:r>
        <w:rPr>
          <w:rFonts w:ascii="楷体_GB2312" w:hAnsi="Times New Roman" w:eastAsia="楷体_GB2312" w:cs="DengXian-Bold"/>
          <w:b/>
          <w:bCs/>
          <w:sz w:val="32"/>
          <w:szCs w:val="32"/>
        </w:rPr>
        <w:t xml:space="preserve">2018 </w:t>
      </w:r>
      <w:r>
        <w:rPr>
          <w:rFonts w:hint="eastAsia" w:ascii="楷体_GB2312" w:hAnsi="Times New Roman" w:eastAsia="楷体_GB2312" w:cs="DengXian-Bold"/>
          <w:b/>
          <w:bCs/>
          <w:sz w:val="32"/>
          <w:szCs w:val="32"/>
        </w:rPr>
        <w:t>年度决算对比情况</w:t>
      </w:r>
    </w:p>
    <w:p w14:paraId="4A661128">
      <w:pPr>
        <w:adjustRightInd w:val="0"/>
        <w:snapToGrid w:val="0"/>
        <w:spacing w:line="580" w:lineRule="exact"/>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rPr>
        <w:t>本部门2019年度</w:t>
      </w:r>
      <w:r>
        <w:rPr>
          <w:rFonts w:hint="eastAsia" w:ascii="仿宋_GB2312" w:hAnsi="Times New Roman" w:eastAsia="仿宋_GB2312" w:cs="DengXian-Regular"/>
          <w:sz w:val="32"/>
          <w:szCs w:val="32"/>
          <w:lang w:eastAsia="zh-CN"/>
        </w:rPr>
        <w:t>财政拨款本年收入</w:t>
      </w:r>
      <w:r>
        <w:rPr>
          <w:rFonts w:hint="eastAsia" w:ascii="仿宋_GB2312" w:hAnsi="Times New Roman" w:eastAsia="仿宋_GB2312" w:cs="DengXian-Regular"/>
          <w:sz w:val="32"/>
          <w:szCs w:val="32"/>
          <w:lang w:val="en-US" w:eastAsia="zh-CN"/>
        </w:rPr>
        <w:t>509.54万元，比</w:t>
      </w:r>
      <w:r>
        <w:rPr>
          <w:rFonts w:hint="eastAsia" w:ascii="仿宋_GB2312" w:hAnsi="Times New Roman" w:eastAsia="仿宋_GB2312" w:cs="DengXian-Regular"/>
          <w:sz w:val="32"/>
          <w:szCs w:val="32"/>
        </w:rPr>
        <w:t>2018年度增加232.54万元，增长83.95%，主要原因一是本年度人员增加，保险基数调高，一般公共预算财政拨款人员经费收入增多；二是本年度增加了政府性基金拨款收入；本年支出509.54万元，增加232.54万元，增长83.95%，主要原因一是本年度人员增加，保险基数调高，一般公共预算财政拨款人员经费支出增多；二是本年度增加了政府性基金拨款支出。</w:t>
      </w:r>
      <w:r>
        <w:rPr>
          <w:rFonts w:hint="eastAsia" w:ascii="仿宋_GB2312" w:hAnsi="Times New Roman" w:eastAsia="仿宋_GB2312" w:cs="DengXian-Regular"/>
          <w:sz w:val="32"/>
          <w:szCs w:val="32"/>
          <w:lang w:eastAsia="zh-CN"/>
        </w:rPr>
        <w:t>具体情况如下：</w:t>
      </w:r>
    </w:p>
    <w:p w14:paraId="14504868">
      <w:pPr>
        <w:numPr>
          <w:ilvl w:val="0"/>
          <w:numId w:val="1"/>
        </w:numPr>
        <w:adjustRightInd w:val="0"/>
        <w:snapToGrid w:val="0"/>
        <w:spacing w:line="580" w:lineRule="exact"/>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lang w:val="en-US" w:eastAsia="zh-CN"/>
        </w:rPr>
        <w:t>一般公共预算财政拨款本年收入348.87万元，比上年增加71.87万元，增长25.95%，主要原因是</w:t>
      </w:r>
      <w:r>
        <w:rPr>
          <w:rFonts w:hint="eastAsia" w:ascii="仿宋_GB2312" w:hAnsi="Times New Roman" w:eastAsia="仿宋_GB2312" w:cs="DengXian-Regular"/>
          <w:sz w:val="32"/>
          <w:szCs w:val="32"/>
        </w:rPr>
        <w:t>本年度人员增加，保险基数调高</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一般公共预算财政拨款人员经费</w:t>
      </w:r>
      <w:r>
        <w:rPr>
          <w:rFonts w:hint="eastAsia" w:ascii="仿宋_GB2312" w:hAnsi="Times New Roman" w:eastAsia="仿宋_GB2312" w:cs="DengXian-Regular"/>
          <w:sz w:val="32"/>
          <w:szCs w:val="32"/>
          <w:lang w:eastAsia="zh-CN"/>
        </w:rPr>
        <w:t>收入</w:t>
      </w:r>
      <w:r>
        <w:rPr>
          <w:rFonts w:hint="eastAsia" w:ascii="仿宋_GB2312" w:hAnsi="Times New Roman" w:eastAsia="仿宋_GB2312" w:cs="DengXian-Regular"/>
          <w:sz w:val="32"/>
          <w:szCs w:val="32"/>
        </w:rPr>
        <w:t>增多</w:t>
      </w:r>
      <w:r>
        <w:rPr>
          <w:rFonts w:hint="eastAsia" w:ascii="仿宋_GB2312" w:hAnsi="Times New Roman" w:eastAsia="仿宋_GB2312" w:cs="DengXian-Regular"/>
          <w:sz w:val="32"/>
          <w:szCs w:val="32"/>
          <w:lang w:eastAsia="zh-CN"/>
        </w:rPr>
        <w:t>。本年支出</w:t>
      </w:r>
      <w:r>
        <w:rPr>
          <w:rFonts w:hint="eastAsia" w:ascii="仿宋_GB2312" w:hAnsi="Times New Roman" w:eastAsia="仿宋_GB2312" w:cs="DengXian-Regular"/>
          <w:sz w:val="32"/>
          <w:szCs w:val="32"/>
          <w:lang w:val="en-US" w:eastAsia="zh-CN"/>
        </w:rPr>
        <w:t>348.87万元，比上年增加71.87万元，增长25.95%，主要原因是</w:t>
      </w:r>
      <w:r>
        <w:rPr>
          <w:rFonts w:hint="eastAsia" w:ascii="仿宋_GB2312" w:hAnsi="Times New Roman" w:eastAsia="仿宋_GB2312" w:cs="DengXian-Regular"/>
          <w:sz w:val="32"/>
          <w:szCs w:val="32"/>
        </w:rPr>
        <w:t>本年度人员增加，保险基数调高，一般公共预算财政拨款人员经费支出增多</w:t>
      </w:r>
      <w:r>
        <w:rPr>
          <w:rFonts w:hint="eastAsia" w:ascii="仿宋_GB2312" w:hAnsi="Times New Roman" w:eastAsia="仿宋_GB2312" w:cs="DengXian-Regular"/>
          <w:sz w:val="32"/>
          <w:szCs w:val="32"/>
          <w:lang w:eastAsia="zh-CN"/>
        </w:rPr>
        <w:t>。</w:t>
      </w:r>
    </w:p>
    <w:p w14:paraId="2642BEFB">
      <w:pPr>
        <w:numPr>
          <w:ilvl w:val="0"/>
          <w:numId w:val="1"/>
        </w:numPr>
        <w:adjustRightInd w:val="0"/>
        <w:snapToGrid w:val="0"/>
        <w:spacing w:line="580" w:lineRule="exact"/>
        <w:ind w:firstLine="640" w:firstLineChars="200"/>
        <w:rPr>
          <w:rFonts w:hint="default" w:ascii="仿宋_GB2312" w:hAnsi="Times New Roman" w:eastAsia="仿宋_GB2312" w:cs="DengXian-Regular"/>
          <w:sz w:val="32"/>
          <w:szCs w:val="32"/>
          <w:lang w:val="en-US"/>
        </w:rPr>
      </w:pPr>
      <w:r>
        <w:rPr>
          <w:rFonts w:hint="eastAsia" w:ascii="仿宋_GB2312" w:hAnsi="Times New Roman" w:eastAsia="仿宋_GB2312" w:cs="DengXian-Regular"/>
          <w:sz w:val="32"/>
          <w:szCs w:val="32"/>
          <w:lang w:eastAsia="zh-CN"/>
        </w:rPr>
        <w:t>政府性基金预算财政拨款本年收入</w:t>
      </w:r>
      <w:r>
        <w:rPr>
          <w:rFonts w:hint="eastAsia" w:ascii="仿宋_GB2312" w:hAnsi="Times New Roman" w:eastAsia="仿宋_GB2312" w:cs="DengXian-Regular"/>
          <w:sz w:val="32"/>
          <w:szCs w:val="32"/>
          <w:lang w:val="en-US" w:eastAsia="zh-CN"/>
        </w:rPr>
        <w:t xml:space="preserve">160.67万元，比上年增加160.67万元，主要原因是增加了群众工作中心改扩建项目工程款尾款收入，本年度支出160.67万元，比上年增加160.67万元，主要原因是增加了群众工作中心改扩建项目工程款尾款支出。  </w:t>
      </w:r>
    </w:p>
    <w:p w14:paraId="0CD32908">
      <w:pPr>
        <w:snapToGrid w:val="0"/>
        <w:spacing w:line="580" w:lineRule="exact"/>
        <w:ind w:firstLine="643" w:firstLineChars="200"/>
        <w:rPr>
          <w:rFonts w:ascii="仿宋_GB2312" w:hAnsi="Times New Roman" w:eastAsia="仿宋_GB2312" w:cs="DengXian-Regular"/>
          <w:sz w:val="32"/>
          <w:szCs w:val="32"/>
          <w:highlight w:val="yellow"/>
        </w:rPr>
      </w:pPr>
      <w:r>
        <w:rPr>
          <w:rFonts w:hint="eastAsia" w:ascii="楷体_GB2312" w:hAnsi="Times New Roman" w:eastAsia="楷体_GB2312" w:cs="DengXian-Bold"/>
          <w:b/>
          <w:bCs/>
          <w:sz w:val="32"/>
          <w:szCs w:val="32"/>
        </w:rPr>
        <w:t>（二）财政拨款收支与年初预算数对比情况</w:t>
      </w:r>
    </w:p>
    <w:p w14:paraId="7F355BBC">
      <w:pPr>
        <w:adjustRightInd w:val="0"/>
        <w:snapToGrid w:val="0"/>
        <w:spacing w:line="580" w:lineRule="exact"/>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w:t>
      </w:r>
      <w:r>
        <w:rPr>
          <w:rFonts w:hint="eastAsia" w:ascii="仿宋_GB2312" w:hAnsi="Times New Roman" w:eastAsia="仿宋_GB2312" w:cs="DengXian-Regular"/>
          <w:sz w:val="32"/>
          <w:szCs w:val="32"/>
          <w:lang w:eastAsia="zh-CN"/>
        </w:rPr>
        <w:t>财政拨款本年收入</w:t>
      </w:r>
      <w:r>
        <w:rPr>
          <w:rFonts w:ascii="仿宋_GB2312" w:hAnsi="Times New Roman" w:eastAsia="仿宋_GB2312" w:cs="DengXian-Regular"/>
          <w:sz w:val="32"/>
          <w:szCs w:val="32"/>
        </w:rPr>
        <w:t>509.54</w:t>
      </w:r>
      <w:r>
        <w:rPr>
          <w:rFonts w:hint="eastAsia" w:ascii="仿宋_GB2312" w:hAnsi="Times New Roman" w:eastAsia="仿宋_GB2312" w:cs="DengXian-Regular"/>
          <w:sz w:val="32"/>
          <w:szCs w:val="32"/>
        </w:rPr>
        <w:t>万元，完成年初预算的316.36%,比年初预算增加348.48万元，决算数大于预算数主要原因是追加了维稳经费项目预算和政府性基金预算；本年支出509.54万元，完成年初预算的316.36%,比年初预算增加348.48万元，决算数大于预算数主要原因是追加了维稳经费项目支出和政府性基金支出。</w:t>
      </w:r>
      <w:r>
        <w:rPr>
          <w:rFonts w:hint="eastAsia" w:ascii="仿宋_GB2312" w:hAnsi="Times New Roman" w:eastAsia="仿宋_GB2312" w:cs="DengXian-Regular"/>
          <w:sz w:val="32"/>
          <w:szCs w:val="32"/>
          <w:lang w:eastAsia="zh-CN"/>
        </w:rPr>
        <w:t>具体情况如下：</w:t>
      </w:r>
    </w:p>
    <w:p w14:paraId="799CB6E7">
      <w:pPr>
        <w:numPr>
          <w:ilvl w:val="0"/>
          <w:numId w:val="0"/>
        </w:numPr>
        <w:adjustRightInd w:val="0"/>
        <w:snapToGrid w:val="0"/>
        <w:spacing w:line="580" w:lineRule="exact"/>
        <w:ind w:firstLine="640" w:firstLineChars="200"/>
        <w:rPr>
          <w:rFonts w:hint="eastAsia" w:ascii="仿宋_GB2312" w:hAnsi="Times New Roman" w:eastAsia="仿宋_GB2312" w:cs="DengXian-Regular"/>
          <w:sz w:val="32"/>
          <w:szCs w:val="32"/>
          <w:lang w:val="en-US" w:eastAsia="zh-CN"/>
        </w:rPr>
      </w:pPr>
      <w:r>
        <w:rPr>
          <w:rFonts w:hint="eastAsia" w:ascii="仿宋_GB2312" w:hAnsi="Times New Roman" w:eastAsia="仿宋_GB2312" w:cs="DengXian-Regular"/>
          <w:sz w:val="32"/>
          <w:szCs w:val="32"/>
          <w:lang w:val="en-US" w:eastAsia="zh-CN"/>
        </w:rPr>
        <w:t>1、一般公共预算财政拨款本年收入完成年初预算216.61%，比年初预算增加187.81万元，主要是</w:t>
      </w:r>
      <w:r>
        <w:rPr>
          <w:rFonts w:hint="eastAsia" w:ascii="仿宋_GB2312" w:hAnsi="Times New Roman" w:eastAsia="仿宋_GB2312" w:cs="DengXian-Regular"/>
          <w:sz w:val="32"/>
          <w:szCs w:val="32"/>
        </w:rPr>
        <w:t>本年度人员增加，保险基数调高，一般公共预算财政拨款人员经费</w:t>
      </w:r>
      <w:r>
        <w:rPr>
          <w:rFonts w:hint="eastAsia" w:ascii="仿宋_GB2312" w:hAnsi="Times New Roman" w:eastAsia="仿宋_GB2312" w:cs="DengXian-Regular"/>
          <w:sz w:val="32"/>
          <w:szCs w:val="32"/>
          <w:lang w:eastAsia="zh-CN"/>
        </w:rPr>
        <w:t>收入</w:t>
      </w:r>
      <w:r>
        <w:rPr>
          <w:rFonts w:hint="eastAsia" w:ascii="仿宋_GB2312" w:hAnsi="Times New Roman" w:eastAsia="仿宋_GB2312" w:cs="DengXian-Regular"/>
          <w:sz w:val="32"/>
          <w:szCs w:val="32"/>
        </w:rPr>
        <w:t>增多</w:t>
      </w:r>
      <w:r>
        <w:rPr>
          <w:rFonts w:hint="eastAsia" w:ascii="仿宋_GB2312" w:hAnsi="Times New Roman" w:eastAsia="仿宋_GB2312" w:cs="DengXian-Regular"/>
          <w:sz w:val="32"/>
          <w:szCs w:val="32"/>
          <w:lang w:val="en-US" w:eastAsia="zh-CN"/>
        </w:rPr>
        <w:t>；支出完成年初预算216.61%，比年初预算增加187.81万元，主要是</w:t>
      </w:r>
      <w:r>
        <w:rPr>
          <w:rFonts w:hint="eastAsia" w:ascii="仿宋_GB2312" w:hAnsi="Times New Roman" w:eastAsia="仿宋_GB2312" w:cs="DengXian-Regular"/>
          <w:sz w:val="32"/>
          <w:szCs w:val="32"/>
        </w:rPr>
        <w:t>本年度人员增加，保险基数调高，一般公共预算财政拨款人员经费</w:t>
      </w:r>
      <w:r>
        <w:rPr>
          <w:rFonts w:hint="eastAsia" w:ascii="仿宋_GB2312" w:hAnsi="Times New Roman" w:eastAsia="仿宋_GB2312" w:cs="DengXian-Regular"/>
          <w:sz w:val="32"/>
          <w:szCs w:val="32"/>
          <w:lang w:eastAsia="zh-CN"/>
        </w:rPr>
        <w:t>支出</w:t>
      </w:r>
      <w:r>
        <w:rPr>
          <w:rFonts w:hint="eastAsia" w:ascii="仿宋_GB2312" w:hAnsi="Times New Roman" w:eastAsia="仿宋_GB2312" w:cs="DengXian-Regular"/>
          <w:sz w:val="32"/>
          <w:szCs w:val="32"/>
        </w:rPr>
        <w:t>增多</w:t>
      </w:r>
      <w:r>
        <w:rPr>
          <w:rFonts w:hint="eastAsia" w:ascii="仿宋_GB2312" w:hAnsi="Times New Roman" w:eastAsia="仿宋_GB2312" w:cs="DengXian-Regular"/>
          <w:sz w:val="32"/>
          <w:szCs w:val="32"/>
          <w:lang w:val="en-US" w:eastAsia="zh-CN"/>
        </w:rPr>
        <w:t>。</w:t>
      </w:r>
    </w:p>
    <w:p w14:paraId="151D3CEE">
      <w:pPr>
        <w:numPr>
          <w:ilvl w:val="0"/>
          <w:numId w:val="0"/>
        </w:numPr>
        <w:adjustRightInd w:val="0"/>
        <w:snapToGrid w:val="0"/>
        <w:spacing w:line="580" w:lineRule="exact"/>
        <w:ind w:firstLine="640" w:firstLineChars="200"/>
        <w:rPr>
          <w:rFonts w:hint="default" w:ascii="仿宋_GB2312" w:hAnsi="Times New Roman" w:eastAsia="仿宋_GB2312" w:cs="DengXian-Regular"/>
          <w:sz w:val="32"/>
          <w:szCs w:val="32"/>
          <w:lang w:val="en-US"/>
        </w:rPr>
      </w:pPr>
      <w:r>
        <w:rPr>
          <w:rFonts w:hint="eastAsia" w:ascii="仿宋_GB2312" w:hAnsi="Times New Roman" w:eastAsia="仿宋_GB2312" w:cs="DengXian-Regular"/>
          <w:sz w:val="32"/>
          <w:szCs w:val="32"/>
          <w:lang w:val="en-US" w:eastAsia="zh-CN"/>
        </w:rPr>
        <w:t xml:space="preserve">2、政府性基金预算财政拨款本年收入160.67万元，比年初预算增加160.67万元，主要是增加了群众工作中心改扩建项目工程款尾款收入；支出比年初预算增加160.67万元，主要是增加了群众工作中心改扩建项目工程款尾款支出。  </w:t>
      </w:r>
    </w:p>
    <w:p w14:paraId="28B7428D">
      <w:pPr>
        <w:numPr>
          <w:ilvl w:val="0"/>
          <w:numId w:val="2"/>
        </w:num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财政拨款支出决算结构情况。</w:t>
      </w:r>
    </w:p>
    <w:p w14:paraId="71ECB5B7">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年度财政拨款支出</w:t>
      </w:r>
      <w:r>
        <w:rPr>
          <w:rFonts w:ascii="仿宋_GB2312" w:hAnsi="Times New Roman" w:eastAsia="仿宋_GB2312" w:cs="DengXian-Regular"/>
          <w:sz w:val="32"/>
          <w:szCs w:val="32"/>
        </w:rPr>
        <w:t>509.54</w:t>
      </w:r>
      <w:r>
        <w:rPr>
          <w:rFonts w:hint="eastAsia" w:ascii="仿宋_GB2312" w:hAnsi="Times New Roman" w:eastAsia="仿宋_GB2312" w:cs="DengXian-Regular"/>
          <w:sz w:val="32"/>
          <w:szCs w:val="32"/>
        </w:rPr>
        <w:t>万元，主要用于以下方面：一般公共服务（类）支出</w:t>
      </w:r>
      <w:r>
        <w:rPr>
          <w:rFonts w:ascii="仿宋_GB2312" w:hAnsi="Times New Roman" w:eastAsia="仿宋_GB2312" w:cs="DengXian-Regular"/>
          <w:sz w:val="32"/>
          <w:szCs w:val="32"/>
        </w:rPr>
        <w:t>328.06</w:t>
      </w:r>
      <w:r>
        <w:rPr>
          <w:rFonts w:hint="eastAsia" w:ascii="仿宋_GB2312" w:hAnsi="Times New Roman" w:eastAsia="仿宋_GB2312" w:cs="DengXian-Regular"/>
          <w:sz w:val="32"/>
          <w:szCs w:val="32"/>
        </w:rPr>
        <w:t>万元，占</w:t>
      </w:r>
      <w:r>
        <w:rPr>
          <w:rFonts w:ascii="仿宋_GB2312" w:hAnsi="Times New Roman" w:eastAsia="仿宋_GB2312" w:cs="DengXian-Regular"/>
          <w:sz w:val="32"/>
          <w:szCs w:val="32"/>
        </w:rPr>
        <w:t>64.38%</w:t>
      </w:r>
      <w:r>
        <w:rPr>
          <w:rFonts w:hint="eastAsia" w:ascii="仿宋_GB2312" w:hAnsi="Times New Roman" w:eastAsia="仿宋_GB2312" w:cs="DengXian-Regular"/>
          <w:sz w:val="32"/>
          <w:szCs w:val="32"/>
        </w:rPr>
        <w:t>；社会保障和就业（类）支出</w:t>
      </w:r>
      <w:r>
        <w:rPr>
          <w:rFonts w:ascii="仿宋_GB2312" w:hAnsi="Times New Roman" w:eastAsia="仿宋_GB2312" w:cs="DengXian-Regular"/>
          <w:sz w:val="32"/>
          <w:szCs w:val="32"/>
        </w:rPr>
        <w:t>12.47</w:t>
      </w:r>
      <w:r>
        <w:rPr>
          <w:rFonts w:hint="eastAsia" w:ascii="仿宋_GB2312" w:hAnsi="Times New Roman" w:eastAsia="仿宋_GB2312" w:cs="DengXian-Regular"/>
          <w:sz w:val="32"/>
          <w:szCs w:val="32"/>
        </w:rPr>
        <w:t>万元，占</w:t>
      </w:r>
      <w:r>
        <w:rPr>
          <w:rFonts w:ascii="仿宋_GB2312" w:hAnsi="Times New Roman" w:eastAsia="仿宋_GB2312" w:cs="DengXian-Regular"/>
          <w:sz w:val="32"/>
          <w:szCs w:val="32"/>
        </w:rPr>
        <w:t>2.45%</w:t>
      </w:r>
      <w:r>
        <w:rPr>
          <w:rFonts w:hint="eastAsia" w:ascii="仿宋_GB2312" w:hAnsi="Times New Roman" w:eastAsia="仿宋_GB2312" w:cs="DengXian-Regular"/>
          <w:sz w:val="32"/>
          <w:szCs w:val="32"/>
        </w:rPr>
        <w:t>；卫生健康（类）支出</w:t>
      </w:r>
      <w:r>
        <w:rPr>
          <w:rFonts w:ascii="仿宋_GB2312" w:hAnsi="Times New Roman" w:eastAsia="仿宋_GB2312" w:cs="DengXian-Regular"/>
          <w:sz w:val="32"/>
          <w:szCs w:val="32"/>
        </w:rPr>
        <w:t>2.81</w:t>
      </w:r>
      <w:r>
        <w:rPr>
          <w:rFonts w:hint="eastAsia" w:ascii="仿宋_GB2312" w:hAnsi="Times New Roman" w:eastAsia="仿宋_GB2312" w:cs="DengXian-Regular"/>
          <w:sz w:val="32"/>
          <w:szCs w:val="32"/>
        </w:rPr>
        <w:t>万元，占</w:t>
      </w:r>
      <w:r>
        <w:rPr>
          <w:rFonts w:ascii="仿宋_GB2312" w:hAnsi="Times New Roman" w:eastAsia="仿宋_GB2312" w:cs="DengXian-Regular"/>
          <w:sz w:val="32"/>
          <w:szCs w:val="32"/>
        </w:rPr>
        <w:t>0.55%</w:t>
      </w:r>
      <w:r>
        <w:rPr>
          <w:rFonts w:hint="eastAsia" w:ascii="仿宋_GB2312" w:hAnsi="Times New Roman" w:eastAsia="仿宋_GB2312" w:cs="DengXian-Regular"/>
          <w:sz w:val="32"/>
          <w:szCs w:val="32"/>
        </w:rPr>
        <w:t>；城乡社区（类）支出</w:t>
      </w:r>
      <w:r>
        <w:rPr>
          <w:rFonts w:ascii="仿宋_GB2312" w:hAnsi="Times New Roman" w:eastAsia="仿宋_GB2312" w:cs="DengXian-Regular"/>
          <w:sz w:val="32"/>
          <w:szCs w:val="32"/>
        </w:rPr>
        <w:t>160.67</w:t>
      </w:r>
      <w:r>
        <w:rPr>
          <w:rFonts w:hint="eastAsia" w:ascii="仿宋_GB2312" w:hAnsi="Times New Roman" w:eastAsia="仿宋_GB2312" w:cs="DengXian-Regular"/>
          <w:sz w:val="32"/>
          <w:szCs w:val="32"/>
        </w:rPr>
        <w:t>万元，占</w:t>
      </w:r>
      <w:r>
        <w:rPr>
          <w:rFonts w:ascii="仿宋_GB2312" w:hAnsi="Times New Roman" w:eastAsia="仿宋_GB2312" w:cs="DengXian-Regular"/>
          <w:sz w:val="32"/>
          <w:szCs w:val="32"/>
        </w:rPr>
        <w:t>31.53%</w:t>
      </w:r>
      <w:r>
        <w:rPr>
          <w:rFonts w:hint="eastAsia" w:ascii="仿宋_GB2312" w:hAnsi="Times New Roman" w:eastAsia="仿宋_GB2312" w:cs="DengXian-Regular"/>
          <w:sz w:val="32"/>
          <w:szCs w:val="32"/>
        </w:rPr>
        <w:t>；住房保障（类）支出</w:t>
      </w:r>
      <w:r>
        <w:rPr>
          <w:rFonts w:ascii="仿宋_GB2312" w:hAnsi="Times New Roman" w:eastAsia="仿宋_GB2312" w:cs="DengXian-Regular"/>
          <w:sz w:val="32"/>
          <w:szCs w:val="32"/>
        </w:rPr>
        <w:t>5.52</w:t>
      </w:r>
      <w:r>
        <w:rPr>
          <w:rFonts w:hint="eastAsia" w:ascii="仿宋_GB2312" w:hAnsi="Times New Roman" w:eastAsia="仿宋_GB2312" w:cs="DengXian-Regular"/>
          <w:sz w:val="32"/>
          <w:szCs w:val="32"/>
        </w:rPr>
        <w:t>万元，占</w:t>
      </w:r>
      <w:r>
        <w:rPr>
          <w:rFonts w:ascii="仿宋_GB2312" w:hAnsi="Times New Roman" w:eastAsia="仿宋_GB2312" w:cs="DengXian-Regular"/>
          <w:sz w:val="32"/>
          <w:szCs w:val="32"/>
        </w:rPr>
        <w:t>1.08%</w:t>
      </w:r>
      <w:r>
        <w:rPr>
          <w:rFonts w:hint="eastAsia" w:ascii="仿宋_GB2312" w:hAnsi="Times New Roman" w:eastAsia="仿宋_GB2312" w:cs="DengXian-Regular"/>
          <w:sz w:val="32"/>
          <w:szCs w:val="32"/>
        </w:rPr>
        <w:t>。</w:t>
      </w:r>
    </w:p>
    <w:p w14:paraId="27770E29">
      <w:p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（四）一般公共预算基本支出决算情况说明</w:t>
      </w:r>
    </w:p>
    <w:p w14:paraId="490685B4">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年度财政拨款基本支出</w:t>
      </w:r>
      <w:r>
        <w:rPr>
          <w:rFonts w:ascii="仿宋_GB2312" w:hAnsi="Times New Roman" w:eastAsia="仿宋_GB2312" w:cs="DengXian-Regular"/>
          <w:sz w:val="32"/>
          <w:szCs w:val="32"/>
        </w:rPr>
        <w:t>104.62</w:t>
      </w:r>
      <w:r>
        <w:rPr>
          <w:rFonts w:hint="eastAsia" w:ascii="仿宋_GB2312" w:hAnsi="Times New Roman" w:eastAsia="仿宋_GB2312" w:cs="DengXian-Regular"/>
          <w:sz w:val="32"/>
          <w:szCs w:val="32"/>
        </w:rPr>
        <w:t>万元，其中：人员经费90.96万元，主要包括基本工资、津贴补贴、奖金机关事业单位基本养老保险缴费、职工基本医疗保险缴费、其他社会保障缴费、住房公积金、退休费、抚恤金、生活补助、奖励金；公用经费13.66万元，主要包括办公费、印刷费、邮电费、公务用车运行维护费、其他交通费用、其他商品和服务支出。</w:t>
      </w:r>
    </w:p>
    <w:p w14:paraId="109382B1">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五、一般公共预算“三公”经费支出决算情况说明</w:t>
      </w:r>
    </w:p>
    <w:p w14:paraId="08F40F6B">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年度“三公”经费支出共计4.00万元，完成预算的</w:t>
      </w:r>
      <w:r>
        <w:rPr>
          <w:rFonts w:ascii="仿宋_GB2312" w:hAnsi="Times New Roman" w:eastAsia="仿宋_GB2312" w:cs="DengXian-Regular"/>
          <w:sz w:val="32"/>
          <w:szCs w:val="32"/>
        </w:rPr>
        <w:t>97.56%,</w:t>
      </w:r>
      <w:r>
        <w:rPr>
          <w:rFonts w:hint="eastAsia" w:ascii="仿宋_GB2312" w:hAnsi="Times New Roman" w:eastAsia="仿宋_GB2312" w:cs="DengXian-Regular"/>
          <w:sz w:val="32"/>
          <w:szCs w:val="32"/>
        </w:rPr>
        <w:t>较预算减少</w:t>
      </w:r>
      <w:r>
        <w:rPr>
          <w:rFonts w:ascii="仿宋_GB2312" w:hAnsi="Times New Roman" w:eastAsia="仿宋_GB2312" w:cs="DengXian-Regular"/>
          <w:sz w:val="32"/>
          <w:szCs w:val="32"/>
        </w:rPr>
        <w:t>0.1</w:t>
      </w:r>
      <w:r>
        <w:rPr>
          <w:rFonts w:hint="eastAsia" w:ascii="仿宋_GB2312" w:hAnsi="Times New Roman" w:eastAsia="仿宋_GB2312" w:cs="DengXian-Regular"/>
          <w:sz w:val="32"/>
          <w:szCs w:val="32"/>
        </w:rPr>
        <w:t>0万元，下降</w:t>
      </w:r>
      <w:r>
        <w:rPr>
          <w:rFonts w:ascii="仿宋_GB2312" w:hAnsi="Times New Roman" w:eastAsia="仿宋_GB2312" w:cs="DengXian-Regular"/>
          <w:sz w:val="32"/>
          <w:szCs w:val="32"/>
        </w:rPr>
        <w:t>2.44%</w:t>
      </w:r>
      <w:r>
        <w:rPr>
          <w:rFonts w:hint="eastAsia" w:ascii="仿宋_GB2312" w:hAnsi="Times New Roman" w:eastAsia="仿宋_GB2312" w:cs="DengXian-Regular"/>
          <w:sz w:val="32"/>
          <w:szCs w:val="32"/>
        </w:rPr>
        <w:t>，主要是响应国家号召减少了公务接待费支出；较</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年度减少</w:t>
      </w:r>
      <w:r>
        <w:rPr>
          <w:rFonts w:ascii="仿宋_GB2312" w:hAnsi="Times New Roman" w:eastAsia="仿宋_GB2312" w:cs="DengXian-Regular"/>
          <w:sz w:val="32"/>
          <w:szCs w:val="32"/>
        </w:rPr>
        <w:t>0.</w:t>
      </w:r>
      <w:r>
        <w:rPr>
          <w:rFonts w:hint="eastAsia" w:ascii="仿宋_GB2312" w:hAnsi="Times New Roman" w:eastAsia="仿宋_GB2312" w:cs="DengXian-Regular"/>
          <w:sz w:val="32"/>
          <w:szCs w:val="32"/>
        </w:rPr>
        <w:t>80万元，下降</w:t>
      </w:r>
      <w:r>
        <w:rPr>
          <w:rFonts w:ascii="仿宋_GB2312" w:hAnsi="Times New Roman" w:eastAsia="仿宋_GB2312" w:cs="DengXian-Regular"/>
          <w:sz w:val="32"/>
          <w:szCs w:val="32"/>
        </w:rPr>
        <w:t>16.63%</w:t>
      </w:r>
      <w:r>
        <w:rPr>
          <w:rFonts w:hint="eastAsia" w:ascii="仿宋_GB2312" w:hAnsi="Times New Roman" w:eastAsia="仿宋_GB2312" w:cs="DengXian-Regular"/>
          <w:sz w:val="32"/>
          <w:szCs w:val="32"/>
        </w:rPr>
        <w:t>，主要是响应国家号召减少“三公”经费支出。具体情况如下：</w:t>
      </w:r>
    </w:p>
    <w:p w14:paraId="2DEC3F93">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楷体_GB2312" w:hAnsi="Times New Roman" w:eastAsia="楷体_GB2312" w:cs="DengXian-Bold"/>
          <w:b/>
          <w:bCs/>
          <w:sz w:val="32"/>
          <w:szCs w:val="32"/>
        </w:rPr>
        <w:t>（一）因公出国（境）费支出0万元。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年度因公出国（境）团组</w:t>
      </w:r>
      <w:r>
        <w:rPr>
          <w:rFonts w:ascii="仿宋_GB2312" w:hAnsi="Times New Roman" w:eastAsia="仿宋_GB2312" w:cs="DengXian-Regular"/>
          <w:sz w:val="32"/>
          <w:szCs w:val="32"/>
        </w:rPr>
        <w:t>0</w:t>
      </w:r>
      <w:r>
        <w:rPr>
          <w:rFonts w:hint="eastAsia" w:ascii="仿宋_GB2312" w:hAnsi="Times New Roman" w:eastAsia="仿宋_GB2312" w:cs="DengXian-Regular"/>
          <w:sz w:val="32"/>
          <w:szCs w:val="32"/>
        </w:rPr>
        <w:t>个、共</w:t>
      </w:r>
      <w:r>
        <w:rPr>
          <w:rFonts w:ascii="仿宋_GB2312" w:hAnsi="Times New Roman" w:eastAsia="仿宋_GB2312" w:cs="DengXian-Regular"/>
          <w:sz w:val="32"/>
          <w:szCs w:val="32"/>
        </w:rPr>
        <w:t>0</w:t>
      </w:r>
      <w:r>
        <w:rPr>
          <w:rFonts w:hint="eastAsia" w:ascii="仿宋_GB2312" w:hAnsi="Times New Roman" w:eastAsia="仿宋_GB2312" w:cs="DengXian-Regular"/>
          <w:sz w:val="32"/>
          <w:szCs w:val="32"/>
        </w:rPr>
        <w:t>人参加其他单位组织的因公出国（境）团组</w:t>
      </w:r>
      <w:r>
        <w:rPr>
          <w:rFonts w:ascii="仿宋_GB2312" w:hAnsi="Times New Roman" w:eastAsia="仿宋_GB2312" w:cs="DengXian-Regular"/>
          <w:sz w:val="32"/>
          <w:szCs w:val="32"/>
        </w:rPr>
        <w:t>0</w:t>
      </w:r>
      <w:r>
        <w:rPr>
          <w:rFonts w:hint="eastAsia" w:ascii="仿宋_GB2312" w:hAnsi="Times New Roman" w:eastAsia="仿宋_GB2312" w:cs="DengXian-Regular"/>
          <w:sz w:val="32"/>
          <w:szCs w:val="32"/>
        </w:rPr>
        <w:t>个、无本单位组织的出国（境）团组。因公出国（境）费支出与年初预算0万元持平；与2018年度0万元持平。</w:t>
      </w:r>
    </w:p>
    <w:p w14:paraId="2B4F867F">
      <w:pPr>
        <w:adjustRightInd w:val="0"/>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（二）公务用车购置及运行维护费支出4.00万元。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年度公务用车购置及运行维护费与年初预算持平；较2018年度决算减少</w:t>
      </w:r>
      <w:r>
        <w:rPr>
          <w:rFonts w:ascii="仿宋_GB2312" w:hAnsi="Times New Roman" w:eastAsia="仿宋_GB2312" w:cs="DengXian-Regular"/>
          <w:sz w:val="32"/>
          <w:szCs w:val="32"/>
        </w:rPr>
        <w:t>0.</w:t>
      </w:r>
      <w:r>
        <w:rPr>
          <w:rFonts w:hint="eastAsia" w:ascii="仿宋_GB2312" w:hAnsi="Times New Roman" w:eastAsia="仿宋_GB2312" w:cs="DengXian-Regular"/>
          <w:sz w:val="32"/>
          <w:szCs w:val="32"/>
        </w:rPr>
        <w:t>70万元，下降</w:t>
      </w:r>
      <w:r>
        <w:rPr>
          <w:rFonts w:ascii="仿宋_GB2312" w:hAnsi="Times New Roman" w:eastAsia="仿宋_GB2312" w:cs="DengXian-Regular"/>
          <w:sz w:val="32"/>
          <w:szCs w:val="32"/>
        </w:rPr>
        <w:t>14.86%,</w:t>
      </w:r>
      <w:r>
        <w:rPr>
          <w:rFonts w:hint="eastAsia" w:ascii="仿宋_GB2312" w:hAnsi="Times New Roman" w:eastAsia="仿宋_GB2312" w:cs="DengXian-Regular"/>
          <w:sz w:val="32"/>
          <w:szCs w:val="32"/>
        </w:rPr>
        <w:t>主要是响应国家号召减少“三公”经费支出。</w:t>
      </w:r>
      <w:r>
        <w:rPr>
          <w:rFonts w:hint="eastAsia" w:ascii="仿宋_GB2312" w:hAnsi="Times New Roman" w:eastAsia="仿宋_GB2312" w:cs="DengXian-Bold"/>
          <w:b/>
          <w:bCs/>
          <w:sz w:val="32"/>
          <w:szCs w:val="32"/>
        </w:rPr>
        <w:t>其中：</w:t>
      </w:r>
    </w:p>
    <w:p w14:paraId="115A710C">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仿宋_GB2312" w:hAnsi="Times New Roman" w:eastAsia="仿宋_GB2312" w:cs="DengXian-Regular"/>
          <w:b/>
          <w:sz w:val="32"/>
          <w:szCs w:val="32"/>
        </w:rPr>
        <w:t>公务用车购置费</w:t>
      </w:r>
      <w:r>
        <w:rPr>
          <w:rFonts w:hint="eastAsia" w:ascii="楷体_GB2312" w:hAnsi="Times New Roman" w:eastAsia="楷体_GB2312" w:cs="DengXian-Bold"/>
          <w:b/>
          <w:bCs/>
          <w:sz w:val="32"/>
          <w:szCs w:val="32"/>
        </w:rPr>
        <w:t>0万元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本部门2019年度公务用车购置量0辆，未发生“公务用车购置”经费支出。公务用车购置费支出与年初预算持平；与2018年度决算支出持平。</w:t>
      </w:r>
    </w:p>
    <w:p w14:paraId="28FD930D">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仿宋_GB2312" w:hAnsi="Times New Roman" w:eastAsia="仿宋_GB2312" w:cs="DengXian-Regular"/>
          <w:b/>
          <w:sz w:val="32"/>
          <w:szCs w:val="32"/>
        </w:rPr>
        <w:t>公务用车运行维护费</w:t>
      </w:r>
      <w:r>
        <w:rPr>
          <w:rFonts w:hint="eastAsia" w:ascii="楷体_GB2312" w:hAnsi="Times New Roman" w:eastAsia="楷体_GB2312" w:cs="DengXian-Bold"/>
          <w:b/>
          <w:bCs/>
          <w:sz w:val="32"/>
          <w:szCs w:val="32"/>
        </w:rPr>
        <w:t>4.00万元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本部门2019年度单位公务用车保有量1辆。公车运行维护费支出4.00万元，与年初预算持平；较2018年度决算减少0.70万元，下降14.86%，主要是响应国家号召减少“公务用车运行维护费”经费支出。</w:t>
      </w:r>
    </w:p>
    <w:p w14:paraId="6E7A57ED">
      <w:pPr>
        <w:adjustRightInd w:val="0"/>
        <w:snapToGrid w:val="0"/>
        <w:spacing w:line="580" w:lineRule="exact"/>
        <w:ind w:firstLine="643" w:firstLineChars="200"/>
        <w:rPr>
          <w:rFonts w:ascii="仿宋_GB2312" w:hAnsi="Times New Roman" w:eastAsia="仿宋_GB2312" w:cs="DengXian-Regular"/>
          <w:sz w:val="32"/>
          <w:szCs w:val="32"/>
          <w:highlight w:val="yellow"/>
        </w:rPr>
      </w:pPr>
      <w:r>
        <w:rPr>
          <w:rFonts w:hint="eastAsia" w:ascii="楷体_GB2312" w:hAnsi="Times New Roman" w:eastAsia="楷体_GB2312" w:cs="DengXian-Bold"/>
          <w:b/>
          <w:bCs/>
          <w:sz w:val="32"/>
          <w:szCs w:val="32"/>
        </w:rPr>
        <w:t>（三）公务接待费支出0万元。</w:t>
      </w:r>
      <w:r>
        <w:rPr>
          <w:rFonts w:hint="eastAsia" w:ascii="仿宋_GB2312" w:hAnsi="Times New Roman" w:eastAsia="仿宋_GB2312" w:cs="DengXian-Regular"/>
          <w:sz w:val="32"/>
          <w:szCs w:val="32"/>
        </w:rPr>
        <w:t>本部门2019年度公务接待共0批次、0人次。公务接待费支出较年初预算减少0.10万元，下降100%，主要是响应国家号召减少了公务接待费支出；较2018年度决算减少0.10万元，下降100%,主要是响应国家号召减少了公务接待费支出。</w:t>
      </w:r>
    </w:p>
    <w:p w14:paraId="3A8FB0E1">
      <w:pPr>
        <w:adjustRightInd w:val="0"/>
        <w:snapToGrid w:val="0"/>
        <w:spacing w:line="580" w:lineRule="exact"/>
        <w:ind w:firstLine="640" w:firstLineChars="200"/>
        <w:rPr>
          <w:rFonts w:ascii="黑体" w:hAnsi="Times New Roman" w:eastAsia="黑体"/>
          <w:sz w:val="32"/>
          <w:szCs w:val="40"/>
        </w:rPr>
      </w:pPr>
      <w:r>
        <w:rPr>
          <w:rFonts w:hint="eastAsia" w:ascii="黑体" w:hAnsi="Times New Roman" w:eastAsia="黑体"/>
          <w:sz w:val="32"/>
          <w:szCs w:val="40"/>
        </w:rPr>
        <w:t>六、预算绩效情况说明</w:t>
      </w:r>
    </w:p>
    <w:p w14:paraId="5EE73FD2">
      <w:pPr>
        <w:numPr>
          <w:ilvl w:val="0"/>
          <w:numId w:val="0"/>
        </w:numPr>
        <w:adjustRightInd w:val="0"/>
        <w:snapToGrid w:val="0"/>
        <w:spacing w:line="580" w:lineRule="exact"/>
        <w:ind w:firstLine="643" w:firstLineChars="200"/>
        <w:rPr>
          <w:rFonts w:hint="eastAsia" w:ascii="楷体_GB2312" w:hAnsi="Times New Roman" w:eastAsia="楷体_GB2312" w:cs="DengXian-Bold"/>
          <w:b/>
          <w:bCs/>
          <w:sz w:val="32"/>
          <w:szCs w:val="32"/>
        </w:rPr>
      </w:pPr>
      <w:r>
        <w:rPr>
          <w:rFonts w:hint="eastAsia" w:ascii="楷体_GB2312" w:hAnsi="Times New Roman" w:eastAsia="楷体_GB2312" w:cs="DengXian-Bold"/>
          <w:b/>
          <w:bCs/>
          <w:sz w:val="32"/>
          <w:szCs w:val="32"/>
        </w:rPr>
        <w:t>1.预算绩效管理工作开展情况。</w:t>
      </w:r>
    </w:p>
    <w:p w14:paraId="2F38CE5E">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根据预算绩效管理要求，本部门组织对</w:t>
      </w:r>
      <w:r>
        <w:rPr>
          <w:rFonts w:ascii="仿宋_GB2312" w:hAnsi="仿宋_GB2312" w:eastAsia="仿宋_GB2312" w:cs="仿宋_GB2312"/>
          <w:sz w:val="32"/>
          <w:szCs w:val="32"/>
        </w:rPr>
        <w:t>2019</w:t>
      </w:r>
      <w:r>
        <w:rPr>
          <w:rFonts w:hint="eastAsia" w:ascii="仿宋_GB2312" w:hAnsi="仿宋_GB2312" w:eastAsia="仿宋_GB2312" w:cs="仿宋_GB2312"/>
          <w:sz w:val="32"/>
          <w:szCs w:val="32"/>
        </w:rPr>
        <w:t>年度一般公共预算项目支出全面开展绩效自评，其中一级项目3个，共涉及资金244.25万元，占一般公共预算项目支出总额的100%；组织对2019年度1个政府性基金预算项目支出开展绩效自评，共涉及资金160.67万元，占政府性基金预算项目支出总额的100%。绩效自评覆盖率达到100%。</w:t>
      </w:r>
    </w:p>
    <w:p w14:paraId="6E8F6091">
      <w:pPr>
        <w:numPr>
          <w:ilvl w:val="0"/>
          <w:numId w:val="0"/>
        </w:numPr>
        <w:adjustRightInd w:val="0"/>
        <w:snapToGrid w:val="0"/>
        <w:spacing w:line="580" w:lineRule="exact"/>
        <w:ind w:firstLine="643" w:firstLineChars="200"/>
        <w:rPr>
          <w:rFonts w:hint="eastAsia" w:ascii="楷体_GB2312" w:hAnsi="Times New Roman" w:eastAsia="楷体_GB2312" w:cs="DengXian-Bold"/>
          <w:b/>
          <w:bCs/>
          <w:sz w:val="32"/>
          <w:szCs w:val="32"/>
        </w:rPr>
      </w:pPr>
      <w:r>
        <w:rPr>
          <w:rFonts w:hint="eastAsia" w:ascii="楷体_GB2312" w:hAnsi="Times New Roman" w:eastAsia="楷体_GB2312" w:cs="DengXian-Bold"/>
          <w:b/>
          <w:bCs/>
          <w:sz w:val="32"/>
          <w:szCs w:val="32"/>
        </w:rPr>
        <w:t>2.部门决算中项目绩效自评结果。</w:t>
      </w:r>
    </w:p>
    <w:p w14:paraId="7FA72B5B">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本部门在今年部门决算公开中反映整合资源联合办公项目绩效自评结果。</w:t>
      </w:r>
    </w:p>
    <w:p w14:paraId="487ED97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整合资源联合办公项目自评综述：根据年初设定的绩效目标，整合资源联合办公项目自评得分为100分。全年预算数为25.00万元，执行数为25.00万元，完成预算的100%。项目绩效目标完成情况：</w:t>
      </w:r>
      <w:r>
        <w:rPr>
          <w:rFonts w:hint="eastAsia" w:ascii="楷体" w:hAnsi="楷体" w:eastAsia="楷体" w:cs="仿宋"/>
          <w:sz w:val="32"/>
          <w:szCs w:val="32"/>
        </w:rPr>
        <w:t>一是产出指标完成情况分析：</w:t>
      </w:r>
      <w:r>
        <w:rPr>
          <w:rFonts w:hint="eastAsia" w:ascii="仿宋_GB2312" w:hAnsi="仿宋_GB2312" w:eastAsia="仿宋_GB2312" w:cs="仿宋_GB2312"/>
          <w:sz w:val="32"/>
          <w:szCs w:val="32"/>
        </w:rPr>
        <w:t>（1）数量指标：重大安保任务完成率。协助公安机关维护重点区域的正常工作秩序，负责组织协调、稳控劝返、服务保障我县各类越级访、非访工作，完成的安保任务占任务总数的比率。此指标是检验工作是否到位的重要依据，完成率必须达到100%，2019年此指标全部完成。（2）质量指标：群体性事件成功处置率。处置影响社会政治稳定的各类非访、突发性、群体性事件，成功处置群体性事件数占全部案发数的比率。此指标必须达到95.00%以上，2019年此指标全部完成。</w:t>
      </w:r>
      <w:r>
        <w:rPr>
          <w:rFonts w:hint="eastAsia" w:ascii="楷体" w:hAnsi="楷体" w:eastAsia="楷体" w:cs="仿宋"/>
          <w:sz w:val="32"/>
          <w:szCs w:val="32"/>
        </w:rPr>
        <w:t>二是效果指标完成情况分析：</w:t>
      </w:r>
      <w:r>
        <w:rPr>
          <w:rFonts w:hint="eastAsia" w:ascii="仿宋_GB2312" w:hAnsi="仿宋_GB2312" w:eastAsia="仿宋_GB2312" w:cs="仿宋_GB2312"/>
          <w:sz w:val="32"/>
          <w:szCs w:val="32"/>
        </w:rPr>
        <w:t>（1）社会效益指标：社会稳定水平。通过实施长效值班机制，促进社会信访稳定，不发生进京“非访”，不发生进京集体访，赴省、到市集体访不超过3批次，此指标必须达到95.00%以上，2019年此指标全部完成。</w:t>
      </w:r>
      <w:r>
        <w:rPr>
          <w:rFonts w:hint="eastAsia" w:ascii="楷体" w:hAnsi="楷体" w:eastAsia="楷体" w:cs="仿宋"/>
          <w:sz w:val="32"/>
          <w:szCs w:val="32"/>
        </w:rPr>
        <w:t>三是满意度指标完成情况分析：</w:t>
      </w:r>
      <w:r>
        <w:rPr>
          <w:rFonts w:hint="eastAsia" w:ascii="仿宋_GB2312" w:hAnsi="仿宋_GB2312" w:eastAsia="仿宋_GB2312" w:cs="仿宋_GB2312"/>
          <w:sz w:val="32"/>
          <w:szCs w:val="32"/>
        </w:rPr>
        <w:t>（1）对象满意度指标：群众满意度。来访群众对信访接待工作的满意率，群众满意数量占受访群众总数的比率必须达到85.00%以上，2019年此指标全部完成。（2）服务对象满意度指标：省、市、县委</w:t>
      </w:r>
      <w:r>
        <w:rPr>
          <w:rFonts w:hint="eastAsia" w:ascii="仿宋_GB2312" w:hAnsi="仿宋_GB2312" w:eastAsia="仿宋_GB2312" w:cs="仿宋_GB2312"/>
          <w:sz w:val="32"/>
          <w:szCs w:val="32"/>
          <w:lang w:val="en-US" w:eastAsia="zh-CN"/>
        </w:rPr>
        <w:t>县</w:t>
      </w:r>
      <w:bookmarkStart w:id="0" w:name="_GoBack"/>
      <w:bookmarkEnd w:id="0"/>
      <w:r>
        <w:rPr>
          <w:rFonts w:hint="eastAsia" w:ascii="仿宋_GB2312" w:hAnsi="仿宋_GB2312" w:eastAsia="仿宋_GB2312" w:cs="仿宋_GB2312"/>
          <w:sz w:val="32"/>
          <w:szCs w:val="32"/>
        </w:rPr>
        <w:t>政府满意度。依据省、市、县对信访工作的年度考核指标，我县无重大突发事件发生，不发生影响全县社会稳定大局的事件，此指标必须达到85.00%以上，2019年此指标全部完成。发现的主要问题及原因：我单位维稳经费项目资金严格按照上级要求和各项管理办法执行，资金使用较为合理规范。下一步改进措施：今后需进一步加强项目管理、资金使用、监管等各方面的工作，达到预期的使用绩效。</w:t>
      </w:r>
    </w:p>
    <w:p w14:paraId="68B62402">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3、财政评价项目绩效评价结果。</w:t>
      </w:r>
      <w:r>
        <w:rPr>
          <w:rFonts w:hint="eastAsia" w:ascii="仿宋_GB2312" w:hAnsi="Times New Roman" w:eastAsia="仿宋_GB2312" w:cs="DengXian-Regular"/>
          <w:sz w:val="32"/>
          <w:szCs w:val="32"/>
        </w:rPr>
        <w:t>我单位针对维稳经费等项目开展了自评和审核工作，针对项目的开展、完成情况进行了绩效指标考核，考核率均达到100%，达到了预期指标，完成率较好。为加强绩效自评结果的应用和公开，确保自评结果真实、准确、客观，自评结果在阜平县信访局官方微信公众号公开，接受群众监督。</w:t>
      </w:r>
    </w:p>
    <w:p w14:paraId="598C0187">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七、其他重要事项的说明</w:t>
      </w:r>
    </w:p>
    <w:p w14:paraId="05DFAEC7">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（一）机关运行经费情况</w:t>
      </w:r>
    </w:p>
    <w:p w14:paraId="12A727EA">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年度机关运行经费支出13.66万元，比</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w:t>
      </w:r>
      <w:r>
        <w:rPr>
          <w:rFonts w:hint="eastAsia" w:ascii="仿宋_GB2312" w:hAnsi="仿宋" w:eastAsia="仿宋_GB2312"/>
          <w:sz w:val="32"/>
          <w:szCs w:val="32"/>
        </w:rPr>
        <w:t>增加0.85万元，增长6.64%，主要原因是本年度在职人员增加，车补和通讯费补贴增多</w:t>
      </w:r>
      <w:r>
        <w:rPr>
          <w:rFonts w:hint="eastAsia" w:ascii="仿宋_GB2312" w:hAnsi="Times New Roman" w:eastAsia="仿宋_GB2312" w:cs="DengXian-Regular"/>
          <w:sz w:val="32"/>
          <w:szCs w:val="32"/>
        </w:rPr>
        <w:t>。</w:t>
      </w:r>
      <w:r>
        <w:rPr>
          <w:rFonts w:hint="eastAsia" w:ascii="仿宋_GB2312" w:eastAsia="仿宋_GB2312" w:cs="DengXian-Regular"/>
          <w:sz w:val="32"/>
          <w:szCs w:val="32"/>
        </w:rPr>
        <w:t>本部门</w:t>
      </w:r>
      <w:r>
        <w:rPr>
          <w:rFonts w:ascii="仿宋_GB2312" w:eastAsia="仿宋_GB2312" w:cs="DengXian-Regular"/>
          <w:sz w:val="32"/>
          <w:szCs w:val="32"/>
        </w:rPr>
        <w:t>2019</w:t>
      </w:r>
      <w:r>
        <w:rPr>
          <w:rFonts w:hint="eastAsia" w:ascii="仿宋_GB2312" w:eastAsia="仿宋_GB2312" w:cs="DengXian-Regular"/>
          <w:sz w:val="32"/>
          <w:szCs w:val="32"/>
        </w:rPr>
        <w:t>年度机关运行经费支出</w:t>
      </w:r>
      <w:r>
        <w:rPr>
          <w:rFonts w:hint="eastAsia" w:ascii="仿宋_GB2312" w:hAnsi="Times New Roman" w:eastAsia="仿宋_GB2312" w:cs="DengXian-Regular"/>
          <w:sz w:val="32"/>
          <w:szCs w:val="32"/>
        </w:rPr>
        <w:t>13.66</w:t>
      </w:r>
      <w:r>
        <w:rPr>
          <w:rFonts w:hint="eastAsia" w:ascii="仿宋_GB2312" w:eastAsia="仿宋_GB2312" w:cs="DengXian-Regular"/>
          <w:sz w:val="32"/>
          <w:szCs w:val="32"/>
        </w:rPr>
        <w:t>万元，比年初预算数</w:t>
      </w:r>
      <w:r>
        <w:rPr>
          <w:rFonts w:hint="eastAsia" w:ascii="仿宋_GB2312" w:hAnsi="仿宋" w:eastAsia="仿宋_GB2312"/>
          <w:sz w:val="32"/>
          <w:szCs w:val="32"/>
        </w:rPr>
        <w:t>增加0.85万元，增长6.64%，主要原因是本年度在职人员增加，车补和通讯费补贴增多</w:t>
      </w:r>
      <w:r>
        <w:rPr>
          <w:rFonts w:hint="eastAsia" w:ascii="仿宋_GB2312" w:hAnsi="Times New Roman" w:eastAsia="仿宋_GB2312" w:cs="DengXian-Regular"/>
          <w:sz w:val="32"/>
          <w:szCs w:val="32"/>
        </w:rPr>
        <w:t>。</w:t>
      </w:r>
    </w:p>
    <w:p w14:paraId="326766F9">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（二）政府采购情况</w:t>
      </w:r>
    </w:p>
    <w:p w14:paraId="46176F7A">
      <w:pPr>
        <w:snapToGrid w:val="0"/>
        <w:spacing w:line="580" w:lineRule="exact"/>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政府采购支出总额0万元，从采购类型来看，政府采购货物支出0万元、政府采购工程支出0万元，政府采购服务支出0万元。授予中小企业合同金额0万元，占政府采购支出总额的0%，其中授予小微企业合同金额0万元，占政府采购支出总额的0%。</w:t>
      </w:r>
    </w:p>
    <w:p w14:paraId="6C657198">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（三）国有资产占用情况</w:t>
      </w:r>
    </w:p>
    <w:p w14:paraId="09BF8201">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截至2019年12月31日，本部门共有车辆1辆，与上年相比无变化。其中，副部（省）级及以上领导用车0辆，主要领导干部用车0辆，机要通信用车0辆，应急保障用车0辆，执法执勤用车0辆，特种专业技术用车0辆，离退休干部用车0辆，其他用车1辆，其他用车主要是一般公务用车；</w:t>
      </w:r>
    </w:p>
    <w:p w14:paraId="5311424F">
      <w:pPr>
        <w:adjustRightInd w:val="0"/>
        <w:snapToGrid w:val="0"/>
        <w:spacing w:line="580" w:lineRule="exact"/>
        <w:ind w:firstLine="640" w:firstLineChars="200"/>
        <w:rPr>
          <w:rFonts w:ascii="楷体_GB2312" w:hAnsi="Times New Roman" w:eastAsia="楷体_GB2312" w:cs="DengXian-Bold"/>
          <w:b/>
          <w:sz w:val="32"/>
          <w:szCs w:val="32"/>
        </w:rPr>
      </w:pPr>
      <w:r>
        <w:rPr>
          <w:rFonts w:hint="eastAsia" w:ascii="仿宋_GB2312" w:hAnsi="Times New Roman" w:eastAsia="仿宋_GB2312" w:cs="DengXian-Regular"/>
          <w:sz w:val="32"/>
          <w:szCs w:val="32"/>
        </w:rPr>
        <w:t>单位价值</w:t>
      </w:r>
      <w:r>
        <w:rPr>
          <w:rFonts w:hint="eastAsia" w:ascii="仿宋_GB2312" w:hAnsi="TimesNewRomanPSMT" w:eastAsia="仿宋_GB2312" w:cs="TimesNewRomanPSMT"/>
          <w:sz w:val="32"/>
          <w:szCs w:val="32"/>
        </w:rPr>
        <w:t>50</w:t>
      </w:r>
      <w:r>
        <w:rPr>
          <w:rFonts w:hint="eastAsia" w:ascii="仿宋_GB2312" w:hAnsi="Times New Roman" w:eastAsia="仿宋_GB2312" w:cs="DengXian-Regular"/>
          <w:sz w:val="32"/>
          <w:szCs w:val="32"/>
        </w:rPr>
        <w:t>万元以上通用设备0台（套），和上年相比无变化，单位价值</w:t>
      </w:r>
      <w:r>
        <w:rPr>
          <w:rFonts w:hint="eastAsia" w:ascii="仿宋_GB2312" w:hAnsi="TimesNewRomanPSMT" w:eastAsia="仿宋_GB2312" w:cs="TimesNewRomanPSMT"/>
          <w:sz w:val="32"/>
          <w:szCs w:val="32"/>
        </w:rPr>
        <w:t>100</w:t>
      </w:r>
      <w:r>
        <w:rPr>
          <w:rFonts w:hint="eastAsia" w:ascii="仿宋_GB2312" w:hAnsi="Times New Roman" w:eastAsia="仿宋_GB2312" w:cs="DengXian-Regular"/>
          <w:sz w:val="32"/>
          <w:szCs w:val="32"/>
        </w:rPr>
        <w:t>万元以上专用设备0台（套）和上年相比无变化。</w:t>
      </w:r>
    </w:p>
    <w:p w14:paraId="7E4B7792">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（四）其他需要说明的情况</w:t>
      </w:r>
    </w:p>
    <w:p w14:paraId="1CE17892">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1、会议费</w:t>
      </w:r>
    </w:p>
    <w:p w14:paraId="14B20537">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会议费年初预算安排0万元，实际支出0万元，与年初预算相比无变化；与2018年度决算相比无变化。</w:t>
      </w:r>
    </w:p>
    <w:p w14:paraId="12D917D9">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2、培训费</w:t>
      </w:r>
    </w:p>
    <w:p w14:paraId="776B2100">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年末实际支出培训费0.07万元，与年初预算0万元相比，增加0.07万元，主要原因是年初没有预算培训费支出，年中按照省市要求组织信访局长外出培训产生培训费；与2018年度决算0万元相比，增加0.07万元，原因是今年按照省市要求组织信访局长外出培训产生培训费。</w:t>
      </w:r>
    </w:p>
    <w:p w14:paraId="274B214E">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3、空表列示情况</w:t>
      </w:r>
    </w:p>
    <w:p w14:paraId="577778E0">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本部门2019年度国有资本经营预算财政拨款无收支情况，故“国有资本经营预算财政拨款支出决算”表以空表列示，与年初预算相比无变化；与2018年度决算相比没有变化。</w:t>
      </w:r>
    </w:p>
    <w:p w14:paraId="39C233D5">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4、年初年末结转结余情况</w:t>
      </w:r>
    </w:p>
    <w:p w14:paraId="31A0F780">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本部门2019年度年初、年末结转结余0万元，与年初预算相比无变化；与2018年度决算相比没有变化。</w:t>
      </w:r>
    </w:p>
    <w:p w14:paraId="094CCA18">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 由于决算公开表格中金额数值应当保留两位小数，公开数据为四舍五入计算结果，个别数据合计项与分项之和存在小数点后差额，特此说明。</w:t>
      </w:r>
    </w:p>
    <w:p w14:paraId="30FEB41E">
      <w:pPr>
        <w:spacing w:line="580" w:lineRule="exact"/>
        <w:ind w:firstLine="640" w:firstLineChars="200"/>
        <w:rPr>
          <w:rFonts w:ascii="仿宋_GB2312" w:hAnsi="仿宋" w:eastAsia="仿宋_GB2312"/>
          <w:sz w:val="32"/>
          <w:szCs w:val="32"/>
        </w:rPr>
        <w:sectPr>
          <w:type w:val="continuous"/>
          <w:pgSz w:w="11906" w:h="16838"/>
          <w:pgMar w:top="2098" w:right="1474" w:bottom="1984" w:left="1588" w:header="851" w:footer="992" w:gutter="0"/>
          <w:pgNumType w:fmt="numberInDash"/>
          <w:cols w:space="0" w:num="1"/>
          <w:docGrid w:type="lines" w:linePitch="312" w:charSpace="0"/>
        </w:sectPr>
      </w:pPr>
    </w:p>
    <w:p w14:paraId="063A7716">
      <w:pPr>
        <w:jc w:val="center"/>
        <w:rPr>
          <w:rFonts w:ascii="黑体" w:hAnsi="黑体" w:eastAsia="黑体" w:cs="黑体"/>
          <w:sz w:val="56"/>
          <w:szCs w:val="72"/>
        </w:rPr>
      </w:pPr>
    </w:p>
    <w:p w14:paraId="28B4EED9">
      <w:pPr>
        <w:jc w:val="center"/>
        <w:rPr>
          <w:rFonts w:ascii="黑体" w:hAnsi="黑体" w:eastAsia="黑体" w:cs="黑体"/>
          <w:sz w:val="56"/>
          <w:szCs w:val="72"/>
        </w:rPr>
        <w:sectPr>
          <w:type w:val="continuous"/>
          <w:pgSz w:w="11906" w:h="16838"/>
          <w:pgMar w:top="2041" w:right="1531" w:bottom="2041" w:left="1531" w:header="851" w:footer="992" w:gutter="0"/>
          <w:pgNumType w:fmt="numberInDash"/>
          <w:cols w:space="0" w:num="1"/>
          <w:titlePg/>
          <w:docGrid w:type="lines" w:linePitch="312" w:charSpace="0"/>
        </w:sectPr>
      </w:pPr>
    </w:p>
    <w:p w14:paraId="305519BB">
      <w:pPr>
        <w:rPr>
          <w:rFonts w:ascii="黑体" w:hAnsi="黑体" w:eastAsia="黑体" w:cs="黑体"/>
          <w:sz w:val="56"/>
          <w:szCs w:val="72"/>
        </w:rPr>
        <w:sectPr>
          <w:type w:val="continuous"/>
          <w:pgSz w:w="11906" w:h="16838"/>
          <w:pgMar w:top="2041" w:right="1531" w:bottom="2041" w:left="1531" w:header="851" w:footer="992" w:gutter="0"/>
          <w:pgNumType w:fmt="numberInDash"/>
          <w:cols w:space="0" w:num="1"/>
          <w:titlePg/>
          <w:docGrid w:type="lines" w:linePitch="312" w:charSpace="0"/>
        </w:sectPr>
      </w:pPr>
    </w:p>
    <w:p w14:paraId="350AEAB3">
      <w:pPr>
        <w:rPr>
          <w:rFonts w:ascii="黑体" w:hAnsi="黑体" w:eastAsia="黑体" w:cs="黑体"/>
          <w:sz w:val="56"/>
          <w:szCs w:val="72"/>
        </w:rPr>
      </w:pPr>
    </w:p>
    <w:p w14:paraId="64220871">
      <w:pPr>
        <w:jc w:val="center"/>
        <w:rPr>
          <w:rFonts w:ascii="黑体" w:hAnsi="黑体" w:eastAsia="黑体" w:cs="黑体"/>
          <w:sz w:val="56"/>
          <w:szCs w:val="72"/>
        </w:rPr>
      </w:pPr>
    </w:p>
    <w:p w14:paraId="4D9918A4">
      <w:pPr>
        <w:jc w:val="center"/>
        <w:rPr>
          <w:rFonts w:ascii="黑体" w:hAnsi="黑体" w:eastAsia="黑体" w:cs="黑体"/>
          <w:sz w:val="56"/>
          <w:szCs w:val="72"/>
        </w:rPr>
      </w:pPr>
    </w:p>
    <w:p w14:paraId="6CCF5E65">
      <w:pPr>
        <w:jc w:val="center"/>
        <w:rPr>
          <w:sz w:val="72"/>
        </w:rPr>
      </w:pPr>
      <w:r>
        <w:pict>
          <v:shape id="_x0000_s1088" o:spid="_x0000_s1088" o:spt="202" type="#_x0000_t202" style="position:absolute;left:0pt;margin-left:-80.45pt;margin-top:34.8pt;height:263.1pt;width:613.65pt;z-index:251659264;v-text-anchor:middle;mso-width-relative:page;mso-height-relative:page;" fillcolor="#FFD966" filled="t" stroked="t" coordsize="21600,21600">
            <v:path/>
            <v:fill type="pattern" on="t" focussize="0,0"/>
            <v:stroke weight="0.5pt" color="#FFD966" joinstyle="round"/>
            <v:imagedata o:title=""/>
            <o:lock v:ext="edit"/>
            <v:textbox>
              <w:txbxContent>
                <w:p w14:paraId="40DC9E6B">
                  <w:pPr>
                    <w:widowControl/>
                    <w:jc w:val="center"/>
                  </w:pPr>
                  <w:r>
                    <w:rPr>
                      <w:rFonts w:hint="eastAsia" w:ascii="黑体" w:hAnsi="黑体" w:eastAsia="黑体" w:cs="黑体"/>
                      <w:color w:val="000000"/>
                      <w:sz w:val="90"/>
                      <w:szCs w:val="90"/>
                    </w:rPr>
                    <w:t>第三部分相关名词解释</w:t>
                  </w:r>
                </w:p>
              </w:txbxContent>
            </v:textbox>
          </v:shape>
        </w:pict>
      </w:r>
    </w:p>
    <w:p w14:paraId="341F6AEC"/>
    <w:p w14:paraId="7CB81E80"/>
    <w:p w14:paraId="04E779D5"/>
    <w:p w14:paraId="135B5A4C"/>
    <w:p w14:paraId="0469F209"/>
    <w:p w14:paraId="316682DE"/>
    <w:p w14:paraId="16566B28"/>
    <w:p w14:paraId="7F591641"/>
    <w:p w14:paraId="7B2D8538"/>
    <w:p w14:paraId="4E22630A"/>
    <w:p w14:paraId="4D41FBE6"/>
    <w:p w14:paraId="1C873DC6"/>
    <w:p w14:paraId="155965C9"/>
    <w:p w14:paraId="58B91A7C">
      <w:pPr>
        <w:tabs>
          <w:tab w:val="left" w:pos="886"/>
        </w:tabs>
        <w:jc w:val="left"/>
        <w:sectPr>
          <w:headerReference r:id="rId11" w:type="first"/>
          <w:pgSz w:w="11906" w:h="16838"/>
          <w:pgMar w:top="2041" w:right="1531" w:bottom="2041" w:left="1531" w:header="851" w:footer="992" w:gutter="0"/>
          <w:pgNumType w:fmt="numberInDash"/>
          <w:cols w:space="0" w:num="1"/>
          <w:titlePg/>
          <w:docGrid w:type="lines" w:linePitch="312" w:charSpace="0"/>
        </w:sectPr>
      </w:pPr>
    </w:p>
    <w:p w14:paraId="0AFBC80F">
      <w:pPr>
        <w:widowControl/>
        <w:spacing w:line="560" w:lineRule="exact"/>
        <w:rPr>
          <w:rFonts w:ascii="仿宋_GB2312" w:hAnsi="宋体" w:eastAsia="仿宋_GB2312"/>
          <w:b/>
          <w:bCs/>
          <w:color w:val="000000"/>
          <w:kern w:val="0"/>
          <w:sz w:val="32"/>
          <w:szCs w:val="32"/>
        </w:rPr>
      </w:pPr>
    </w:p>
    <w:p w14:paraId="1B63329E">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（一）财政拨款收入：</w:t>
      </w:r>
      <w:r>
        <w:rPr>
          <w:rFonts w:hint="eastAsia" w:ascii="仿宋_GB2312" w:hAnsi="宋体" w:eastAsia="仿宋_GB2312"/>
          <w:color w:val="000000"/>
          <w:kern w:val="0"/>
          <w:sz w:val="32"/>
          <w:szCs w:val="32"/>
        </w:rPr>
        <w:t>本年度从本级财政部门取得的财政拨款，包括一般公共预算财政拨款和政府性基金预算财政拨款。</w:t>
      </w:r>
    </w:p>
    <w:p w14:paraId="315E452C">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（二）事业收入：</w:t>
      </w:r>
      <w:r>
        <w:rPr>
          <w:rFonts w:hint="eastAsia" w:ascii="仿宋_GB2312" w:hAnsi="宋体" w:eastAsia="仿宋_GB2312"/>
          <w:color w:val="000000"/>
          <w:kern w:val="0"/>
          <w:sz w:val="32"/>
          <w:szCs w:val="32"/>
        </w:rPr>
        <w:t>指事业单位开展专业业务活动及辅助活动所取得的收入。</w:t>
      </w:r>
    </w:p>
    <w:p w14:paraId="1D013E62">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（三）其他收入：</w:t>
      </w:r>
      <w:r>
        <w:rPr>
          <w:rFonts w:hint="eastAsia" w:ascii="仿宋_GB2312" w:hAnsi="宋体" w:eastAsia="仿宋_GB2312"/>
          <w:color w:val="000000"/>
          <w:kern w:val="0"/>
          <w:sz w:val="32"/>
          <w:szCs w:val="32"/>
        </w:rPr>
        <w:t>指除上述“财政拨款收入”“事业收入”“经营收入”等以外的收入。</w:t>
      </w:r>
    </w:p>
    <w:p w14:paraId="4671FFE5">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（四）用事业基金弥补收支差额：</w:t>
      </w:r>
      <w:r>
        <w:rPr>
          <w:rFonts w:hint="eastAsia" w:ascii="仿宋_GB2312" w:hAnsi="宋体" w:eastAsia="仿宋_GB2312"/>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14:paraId="0627CF04">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（五）年初结转和结余：</w:t>
      </w:r>
      <w:r>
        <w:rPr>
          <w:rFonts w:hint="eastAsia" w:ascii="仿宋_GB2312" w:hAnsi="宋体" w:eastAsia="仿宋_GB2312"/>
          <w:color w:val="000000"/>
          <w:kern w:val="0"/>
          <w:sz w:val="32"/>
          <w:szCs w:val="32"/>
        </w:rPr>
        <w:t>指以前年度尚未完成、结转到本年仍按原规定用途继续使用的资金，或项目已完成等产生的结余资金。</w:t>
      </w:r>
    </w:p>
    <w:p w14:paraId="63C39FC5">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（六）结余分配：</w:t>
      </w:r>
      <w:r>
        <w:rPr>
          <w:rFonts w:hint="eastAsia" w:ascii="仿宋_GB2312" w:hAnsi="宋体" w:eastAsia="仿宋_GB2312"/>
          <w:color w:val="000000"/>
          <w:kern w:val="0"/>
          <w:sz w:val="32"/>
          <w:szCs w:val="32"/>
        </w:rPr>
        <w:t>指事业单位按照事业单位会计制度的规定从非财政补助结余中分配的事业基金和职工福利基金等。</w:t>
      </w:r>
    </w:p>
    <w:p w14:paraId="1556563B">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（七）年末结转和结余：</w:t>
      </w:r>
      <w:r>
        <w:rPr>
          <w:rFonts w:hint="eastAsia" w:ascii="仿宋_GB2312" w:hAnsi="宋体" w:eastAsia="仿宋_GB2312"/>
          <w:color w:val="000000"/>
          <w:kern w:val="0"/>
          <w:sz w:val="32"/>
          <w:szCs w:val="32"/>
        </w:rPr>
        <w:t>指单位按有关规定结转到下年或以后年度继续使用的资金，或项目已完成等产生的结余资金。</w:t>
      </w:r>
    </w:p>
    <w:p w14:paraId="586A6023">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（八）基本支出：</w:t>
      </w:r>
      <w:r>
        <w:rPr>
          <w:rFonts w:hint="eastAsia" w:ascii="仿宋_GB2312" w:hAnsi="宋体" w:eastAsia="仿宋_GB2312"/>
          <w:color w:val="000000"/>
          <w:kern w:val="0"/>
          <w:sz w:val="32"/>
          <w:szCs w:val="32"/>
        </w:rPr>
        <w:t>填列单位为保障机构正常运转、完成日常工作任务而发生的各项支出。</w:t>
      </w:r>
    </w:p>
    <w:p w14:paraId="327A45F0">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（九）项目支出：</w:t>
      </w:r>
      <w:r>
        <w:rPr>
          <w:rFonts w:hint="eastAsia" w:ascii="仿宋_GB2312" w:hAnsi="宋体" w:eastAsia="仿宋_GB2312"/>
          <w:color w:val="000000"/>
          <w:kern w:val="0"/>
          <w:sz w:val="32"/>
          <w:szCs w:val="32"/>
        </w:rPr>
        <w:t>填列单位为完成特定的行政工作任务或事业发展目标，在基本支出之外发生的各项支出</w:t>
      </w:r>
    </w:p>
    <w:p w14:paraId="4D828E21">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（十）基本建设支出：</w:t>
      </w:r>
      <w:r>
        <w:rPr>
          <w:rFonts w:hint="eastAsia" w:ascii="仿宋_GB2312" w:hAnsi="宋体" w:eastAsia="仿宋_GB2312"/>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6921F1D2">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（十一）其他资本性支出：</w:t>
      </w:r>
      <w:r>
        <w:rPr>
          <w:rFonts w:hint="eastAsia" w:ascii="仿宋_GB2312" w:hAnsi="宋体" w:eastAsia="仿宋_GB2312"/>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14:paraId="1E92C22C">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（十二）“三公”经费：</w:t>
      </w:r>
      <w:r>
        <w:rPr>
          <w:rFonts w:hint="eastAsia" w:ascii="仿宋_GB2312" w:hAnsi="宋体" w:eastAsia="仿宋_GB2312"/>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66A5DEDF">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（十三）其他交通费用：</w:t>
      </w:r>
      <w:r>
        <w:rPr>
          <w:rFonts w:hint="eastAsia" w:ascii="仿宋_GB2312" w:hAnsi="宋体" w:eastAsia="仿宋_GB2312"/>
          <w:color w:val="000000"/>
          <w:kern w:val="0"/>
          <w:sz w:val="32"/>
          <w:szCs w:val="32"/>
        </w:rPr>
        <w:t>填列单位除公务用车运行维护费以外的其他交通费用。如公务交通补贴、租车费用、出租车费用，飞机、船舶等燃料费、维修费、保险费等。</w:t>
      </w:r>
    </w:p>
    <w:p w14:paraId="54E15B9A">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（十四）公务用车购置：</w:t>
      </w:r>
      <w:r>
        <w:rPr>
          <w:rFonts w:hint="eastAsia" w:ascii="仿宋_GB2312" w:hAnsi="宋体" w:eastAsia="仿宋_GB2312"/>
          <w:color w:val="000000"/>
          <w:kern w:val="0"/>
          <w:sz w:val="32"/>
          <w:szCs w:val="32"/>
        </w:rPr>
        <w:t>填列单位公务用车车辆购置支出（含车辆购置税、牌照费）。</w:t>
      </w:r>
    </w:p>
    <w:p w14:paraId="0442D49B">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（十五）其他交通工具购置：</w:t>
      </w:r>
      <w:r>
        <w:rPr>
          <w:rFonts w:hint="eastAsia" w:ascii="仿宋_GB2312" w:hAnsi="宋体" w:eastAsia="仿宋_GB2312"/>
          <w:color w:val="000000"/>
          <w:kern w:val="0"/>
          <w:sz w:val="32"/>
          <w:szCs w:val="32"/>
        </w:rPr>
        <w:t>填列单位除公务用车外的其他各类交通工具（如船舶、飞机等）购置支出（含车辆购置税、牌照费）。</w:t>
      </w:r>
    </w:p>
    <w:p w14:paraId="3521371F">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（十六）机关运行经费：</w:t>
      </w:r>
      <w:r>
        <w:rPr>
          <w:rFonts w:hint="eastAsia" w:ascii="仿宋_GB2312" w:hAnsi="宋体" w:eastAsia="仿宋_GB2312"/>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5CED52F6">
      <w:pPr>
        <w:tabs>
          <w:tab w:val="left" w:pos="235"/>
        </w:tabs>
        <w:ind w:firstLine="643" w:firstLineChars="200"/>
        <w:jc w:val="left"/>
        <w:rPr>
          <w:rFonts w:ascii="仿宋_GB2312" w:hAnsi="Cambria" w:eastAsia="仿宋_GB2312" w:cs="ArialUnicodeMS"/>
          <w:kern w:val="0"/>
          <w:sz w:val="32"/>
          <w:szCs w:val="32"/>
        </w:r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14:paraId="3D61D916"/>
    <w:p w14:paraId="559D03CF"/>
    <w:p w14:paraId="26E6FE16"/>
    <w:p w14:paraId="5C9EF17C">
      <w:pPr>
        <w:jc w:val="left"/>
        <w:sectPr>
          <w:headerReference r:id="rId12" w:type="default"/>
          <w:type w:val="continuous"/>
          <w:pgSz w:w="11906" w:h="16838"/>
          <w:pgMar w:top="2098" w:right="1474" w:bottom="1985" w:left="1588" w:header="851" w:footer="992" w:gutter="0"/>
          <w:pgNumType w:fmt="numberInDash"/>
          <w:cols w:space="425" w:num="1"/>
          <w:docGrid w:type="lines" w:linePitch="312" w:charSpace="0"/>
        </w:sectPr>
      </w:pPr>
    </w:p>
    <w:p w14:paraId="44ACC67B">
      <w:pPr>
        <w:tabs>
          <w:tab w:val="left" w:pos="235"/>
        </w:tabs>
        <w:jc w:val="left"/>
        <w:sectPr>
          <w:pgSz w:w="11906" w:h="16838"/>
          <w:pgMar w:top="2098" w:right="1474" w:bottom="1985" w:left="1588" w:header="851" w:footer="992" w:gutter="0"/>
          <w:pgNumType w:fmt="numberInDash"/>
          <w:cols w:space="425" w:num="1"/>
          <w:docGrid w:type="lines" w:linePitch="312" w:charSpace="0"/>
        </w:sectPr>
      </w:pPr>
      <w:r>
        <w:pict>
          <v:shape id="_x0000_s1089" o:spid="_x0000_s1089" o:spt="202" type="#_x0000_t202" style="position:absolute;left:0pt;margin-left:-82.05pt;margin-top:135.85pt;height:263.1pt;width:613.65pt;z-index:-251656192;v-text-anchor:middle;mso-width-relative:page;mso-height-relative:page;" fillcolor="#FFD966" filled="t" stroked="t" coordsize="21600,21600">
            <v:path/>
            <v:fill type="pattern" on="t" focussize="0,0"/>
            <v:stroke weight="0.5pt" color="#FFD966" joinstyle="round"/>
            <v:imagedata o:title=""/>
            <o:lock v:ext="edit"/>
            <v:textbox>
              <w:txbxContent>
                <w:p w14:paraId="2BF2D0F3">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第四部分</w:t>
                  </w:r>
                </w:p>
                <w:p w14:paraId="55375274">
                  <w:pPr>
                    <w:widowControl/>
                    <w:jc w:val="center"/>
                  </w:pPr>
                  <w:r>
                    <w:rPr>
                      <w:rFonts w:ascii="黑体" w:hAnsi="黑体" w:eastAsia="黑体" w:cs="黑体"/>
                      <w:color w:val="000000"/>
                      <w:sz w:val="90"/>
                      <w:szCs w:val="90"/>
                    </w:rPr>
                    <w:t>2019</w:t>
                  </w:r>
                  <w:r>
                    <w:rPr>
                      <w:rFonts w:hint="eastAsia" w:ascii="黑体" w:hAnsi="黑体" w:eastAsia="黑体" w:cs="黑体"/>
                      <w:color w:val="000000"/>
                      <w:sz w:val="90"/>
                      <w:szCs w:val="90"/>
                    </w:rPr>
                    <w:t>年度部门决算报表</w:t>
                  </w:r>
                </w:p>
              </w:txbxContent>
            </v:textbox>
          </v:shape>
        </w:pict>
      </w:r>
    </w:p>
    <w:p w14:paraId="69B1F181">
      <w:pPr>
        <w:tabs>
          <w:tab w:val="left" w:pos="7410"/>
        </w:tabs>
        <w:jc w:val="left"/>
      </w:pPr>
      <w:r>
        <w:rPr>
          <w:rFonts w:hint="eastAsia" w:ascii="黑体" w:hAnsi="宋体" w:eastAsia="黑体" w:cs="黑体"/>
          <w:color w:val="000000"/>
          <w:kern w:val="0"/>
          <w:sz w:val="40"/>
          <w:szCs w:val="40"/>
        </w:rPr>
        <w:t>一、收入支出决算总表</w:t>
      </w:r>
    </w:p>
    <w:p w14:paraId="1929A590">
      <w:pPr>
        <w:tabs>
          <w:tab w:val="left" w:pos="7410"/>
        </w:tabs>
      </w:pPr>
      <w:r>
        <w:pict>
          <v:shape id="_x0000_i1025" o:spt="75" type="#_x0000_t75" style="height:398.25pt;width:606.75pt;" filled="f" o:preferrelative="t" stroked="f" coordsize="21600,21600">
            <v:path/>
            <v:fill on="f" focussize="0,0"/>
            <v:stroke on="f" joinstyle="miter"/>
            <v:imagedata r:id="rId14" o:title=""/>
            <o:lock v:ext="edit" aspectratio="t"/>
            <w10:wrap type="none"/>
            <w10:anchorlock/>
          </v:shape>
        </w:pict>
      </w:r>
    </w:p>
    <w:p w14:paraId="1E53730C">
      <w:pPr>
        <w:tabs>
          <w:tab w:val="left" w:pos="7410"/>
        </w:tabs>
        <w:sectPr>
          <w:pgSz w:w="16838" w:h="11906" w:orient="landscape"/>
          <w:pgMar w:top="1588" w:right="2098" w:bottom="1474" w:left="1985" w:header="851" w:footer="992" w:gutter="0"/>
          <w:pgNumType w:fmt="numberInDash"/>
          <w:cols w:space="425" w:num="1"/>
          <w:docGrid w:type="lines" w:linePitch="312" w:charSpace="0"/>
        </w:sectPr>
      </w:pPr>
    </w:p>
    <w:p w14:paraId="6F199B20">
      <w:pPr>
        <w:numPr>
          <w:ilvl w:val="0"/>
          <w:numId w:val="3"/>
        </w:numPr>
        <w:tabs>
          <w:tab w:val="left" w:pos="7410"/>
        </w:tabs>
        <w:jc w:val="left"/>
        <w:rPr>
          <w:rFonts w:ascii="黑体" w:hAnsi="宋体" w:eastAsia="黑体" w:cs="黑体"/>
          <w:color w:val="000000"/>
          <w:kern w:val="0"/>
          <w:sz w:val="40"/>
          <w:szCs w:val="40"/>
        </w:rPr>
      </w:pPr>
      <w:r>
        <w:rPr>
          <w:rFonts w:hint="eastAsia" w:ascii="黑体" w:hAnsi="宋体" w:eastAsia="黑体" w:cs="黑体"/>
          <w:color w:val="000000"/>
          <w:kern w:val="0"/>
          <w:sz w:val="40"/>
          <w:szCs w:val="40"/>
        </w:rPr>
        <w:t>收入决算表</w:t>
      </w:r>
    </w:p>
    <w:p w14:paraId="09542FCD">
      <w:pPr>
        <w:tabs>
          <w:tab w:val="left" w:pos="7410"/>
        </w:tabs>
        <w:jc w:val="left"/>
      </w:pPr>
      <w:r>
        <w:pict>
          <v:shape id="_x0000_i1026" o:spt="75" type="#_x0000_t75" style="height:396pt;width:663.75pt;" filled="f" o:preferrelative="t" stroked="f" coordsize="21600,21600">
            <v:path/>
            <v:fill on="f" focussize="0,0"/>
            <v:stroke on="f" joinstyle="miter"/>
            <v:imagedata r:id="rId15" o:title=""/>
            <o:lock v:ext="edit" aspectratio="t"/>
            <w10:wrap type="none"/>
            <w10:anchorlock/>
          </v:shape>
        </w:pict>
      </w:r>
    </w:p>
    <w:p w14:paraId="651247BC">
      <w:pPr>
        <w:numPr>
          <w:ilvl w:val="0"/>
          <w:numId w:val="3"/>
        </w:numPr>
        <w:tabs>
          <w:tab w:val="left" w:pos="7410"/>
        </w:tabs>
        <w:jc w:val="left"/>
        <w:rPr>
          <w:rFonts w:ascii="黑体" w:hAnsi="宋体" w:eastAsia="黑体" w:cs="黑体"/>
          <w:color w:val="000000"/>
          <w:kern w:val="0"/>
          <w:sz w:val="40"/>
          <w:szCs w:val="40"/>
        </w:rPr>
      </w:pPr>
      <w:r>
        <w:rPr>
          <w:rFonts w:hint="eastAsia" w:ascii="黑体" w:hAnsi="宋体" w:eastAsia="黑体" w:cs="黑体"/>
          <w:color w:val="000000"/>
          <w:kern w:val="0"/>
          <w:sz w:val="40"/>
          <w:szCs w:val="40"/>
        </w:rPr>
        <w:t>支出决算表</w:t>
      </w:r>
    </w:p>
    <w:p w14:paraId="732D26DB">
      <w:pPr>
        <w:tabs>
          <w:tab w:val="left" w:pos="7410"/>
        </w:tabs>
      </w:pPr>
    </w:p>
    <w:p w14:paraId="0DA9306D">
      <w:pPr>
        <w:tabs>
          <w:tab w:val="left" w:pos="7410"/>
        </w:tabs>
        <w:jc w:val="center"/>
        <w:sectPr>
          <w:pgSz w:w="16838" w:h="11906" w:orient="landscape"/>
          <w:pgMar w:top="1588" w:right="2098" w:bottom="1474" w:left="1985" w:header="851" w:footer="992" w:gutter="0"/>
          <w:pgNumType w:fmt="numberInDash"/>
          <w:cols w:space="425" w:num="1"/>
          <w:docGrid w:type="lines" w:linePitch="312" w:charSpace="0"/>
        </w:sectPr>
      </w:pPr>
      <w:r>
        <w:pict>
          <v:shape id="_x0000_i1027" o:spt="75" type="#_x0000_t75" style="height:333pt;width:637.5pt;" filled="f" o:preferrelative="t" stroked="f" coordsize="21600,21600">
            <v:path/>
            <v:fill on="f" focussize="0,0"/>
            <v:stroke on="f" joinstyle="miter"/>
            <v:imagedata r:id="rId16" o:title=""/>
            <o:lock v:ext="edit" aspectratio="t"/>
            <w10:wrap type="none"/>
            <w10:anchorlock/>
          </v:shape>
        </w:pict>
      </w:r>
    </w:p>
    <w:p w14:paraId="51613102">
      <w:pPr>
        <w:tabs>
          <w:tab w:val="left" w:pos="7410"/>
        </w:tabs>
        <w:jc w:val="left"/>
        <w:rPr>
          <w:rFonts w:ascii="黑体" w:hAnsi="宋体" w:eastAsia="黑体" w:cs="黑体"/>
          <w:color w:val="000000"/>
          <w:kern w:val="0"/>
          <w:sz w:val="40"/>
          <w:szCs w:val="40"/>
        </w:rPr>
      </w:pPr>
      <w:r>
        <w:rPr>
          <w:rFonts w:hint="eastAsia" w:ascii="黑体" w:hAnsi="宋体" w:eastAsia="黑体" w:cs="黑体"/>
          <w:color w:val="000000"/>
          <w:kern w:val="0"/>
          <w:sz w:val="40"/>
          <w:szCs w:val="40"/>
        </w:rPr>
        <w:t>四、财政拨款收入支出决算总表</w:t>
      </w:r>
    </w:p>
    <w:p w14:paraId="0213E00C">
      <w:pPr>
        <w:tabs>
          <w:tab w:val="left" w:pos="7410"/>
        </w:tabs>
        <w:jc w:val="center"/>
        <w:sectPr>
          <w:pgSz w:w="16838" w:h="11906" w:orient="landscape"/>
          <w:pgMar w:top="1588" w:right="2098" w:bottom="1474" w:left="1985" w:header="851" w:footer="992" w:gutter="0"/>
          <w:pgNumType w:fmt="numberInDash"/>
          <w:cols w:space="425" w:num="1"/>
          <w:docGrid w:type="lines" w:linePitch="312" w:charSpace="0"/>
        </w:sectPr>
      </w:pPr>
      <w:r>
        <w:pict>
          <v:shape id="_x0000_i1028" o:spt="75" type="#_x0000_t75" style="height:393pt;width:592.5pt;" filled="f" o:preferrelative="t" stroked="f" coordsize="21600,21600">
            <v:path/>
            <v:fill on="f" focussize="0,0"/>
            <v:stroke on="f" joinstyle="miter"/>
            <v:imagedata r:id="rId17" o:title=""/>
            <o:lock v:ext="edit" aspectratio="t"/>
            <w10:wrap type="none"/>
            <w10:anchorlock/>
          </v:shape>
        </w:pict>
      </w:r>
    </w:p>
    <w:p w14:paraId="415C9156">
      <w:pPr>
        <w:tabs>
          <w:tab w:val="left" w:pos="7410"/>
        </w:tabs>
        <w:jc w:val="left"/>
        <w:rPr>
          <w:rFonts w:ascii="黑体" w:hAnsi="宋体" w:eastAsia="黑体" w:cs="黑体"/>
          <w:color w:val="000000"/>
          <w:kern w:val="0"/>
          <w:sz w:val="40"/>
          <w:szCs w:val="40"/>
        </w:rPr>
      </w:pPr>
      <w:r>
        <w:rPr>
          <w:rFonts w:hint="eastAsia" w:ascii="黑体" w:hAnsi="宋体" w:eastAsia="黑体" w:cs="黑体"/>
          <w:color w:val="000000"/>
          <w:kern w:val="0"/>
          <w:sz w:val="40"/>
          <w:szCs w:val="40"/>
        </w:rPr>
        <w:t>五、一般公共预算财政拨款支出决算表</w:t>
      </w:r>
    </w:p>
    <w:p w14:paraId="2CFDF22B">
      <w:pPr>
        <w:tabs>
          <w:tab w:val="left" w:pos="7410"/>
        </w:tabs>
        <w:jc w:val="center"/>
      </w:pPr>
      <w:r>
        <w:pict>
          <v:shape id="_x0000_i1029" o:spt="75" type="#_x0000_t75" style="height:369pt;width:637.5pt;" filled="f" o:preferrelative="t" stroked="f" coordsize="21600,21600">
            <v:path/>
            <v:fill on="f" focussize="0,0"/>
            <v:stroke on="f" joinstyle="miter"/>
            <v:imagedata r:id="rId18" o:title=""/>
            <o:lock v:ext="edit" aspectratio="t"/>
            <w10:wrap type="none"/>
            <w10:anchorlock/>
          </v:shape>
        </w:pict>
      </w:r>
    </w:p>
    <w:p w14:paraId="06E3D922">
      <w:pPr>
        <w:tabs>
          <w:tab w:val="left" w:pos="7410"/>
        </w:tabs>
        <w:jc w:val="center"/>
        <w:sectPr>
          <w:pgSz w:w="16838" w:h="11906" w:orient="landscape"/>
          <w:pgMar w:top="1588" w:right="2098" w:bottom="1474" w:left="1985" w:header="851" w:footer="992" w:gutter="0"/>
          <w:pgNumType w:fmt="numberInDash"/>
          <w:cols w:space="425" w:num="1"/>
          <w:docGrid w:type="lines" w:linePitch="312" w:charSpace="0"/>
        </w:sectPr>
      </w:pPr>
    </w:p>
    <w:p w14:paraId="50866393">
      <w:pPr>
        <w:tabs>
          <w:tab w:val="left" w:pos="7410"/>
        </w:tabs>
        <w:jc w:val="left"/>
        <w:rPr>
          <w:rFonts w:ascii="黑体" w:hAnsi="宋体" w:eastAsia="黑体" w:cs="黑体"/>
          <w:color w:val="000000"/>
          <w:kern w:val="0"/>
          <w:sz w:val="40"/>
          <w:szCs w:val="40"/>
        </w:rPr>
      </w:pPr>
      <w:r>
        <w:rPr>
          <w:rFonts w:hint="eastAsia" w:ascii="黑体" w:hAnsi="宋体" w:eastAsia="黑体" w:cs="黑体"/>
          <w:color w:val="000000"/>
          <w:kern w:val="0"/>
          <w:sz w:val="40"/>
          <w:szCs w:val="40"/>
        </w:rPr>
        <w:t>六、一般公共预算财政拨款基本支出决算表</w:t>
      </w:r>
    </w:p>
    <w:p w14:paraId="431738B6">
      <w:pPr>
        <w:tabs>
          <w:tab w:val="left" w:pos="7410"/>
        </w:tabs>
        <w:jc w:val="center"/>
        <w:sectPr>
          <w:pgSz w:w="16838" w:h="11906" w:orient="landscape"/>
          <w:pgMar w:top="1588" w:right="2098" w:bottom="1474" w:left="1985" w:header="851" w:footer="992" w:gutter="0"/>
          <w:pgNumType w:fmt="numberInDash"/>
          <w:cols w:space="425" w:num="1"/>
          <w:docGrid w:type="lines" w:linePitch="312" w:charSpace="0"/>
        </w:sectPr>
      </w:pPr>
      <w:r>
        <w:pict>
          <v:shape id="_x0000_i1030" o:spt="75" type="#_x0000_t75" style="height:405pt;width:636.75pt;" filled="f" o:preferrelative="t" stroked="f" coordsize="21600,21600">
            <v:path/>
            <v:fill on="f" focussize="0,0"/>
            <v:stroke on="f" joinstyle="miter"/>
            <v:imagedata r:id="rId19" o:title=""/>
            <o:lock v:ext="edit" aspectratio="t"/>
            <w10:wrap type="none"/>
            <w10:anchorlock/>
          </v:shape>
        </w:pict>
      </w:r>
    </w:p>
    <w:p w14:paraId="22E926FE">
      <w:pPr>
        <w:tabs>
          <w:tab w:val="left" w:pos="6465"/>
        </w:tabs>
        <w:rPr>
          <w:rFonts w:ascii="黑体" w:hAnsi="宋体" w:eastAsia="黑体" w:cs="黑体"/>
          <w:color w:val="000000"/>
          <w:kern w:val="0"/>
          <w:sz w:val="40"/>
          <w:szCs w:val="40"/>
        </w:rPr>
      </w:pPr>
      <w:r>
        <w:rPr>
          <w:rFonts w:hint="eastAsia" w:ascii="黑体" w:hAnsi="宋体" w:eastAsia="黑体" w:cs="黑体"/>
          <w:color w:val="000000"/>
          <w:kern w:val="0"/>
          <w:sz w:val="40"/>
          <w:szCs w:val="40"/>
        </w:rPr>
        <w:t>七、一般公共预算财政拨款“三公”经费支出决算表</w:t>
      </w:r>
    </w:p>
    <w:p w14:paraId="03FD04B6">
      <w:pPr>
        <w:tabs>
          <w:tab w:val="left" w:pos="6465"/>
        </w:tabs>
        <w:rPr>
          <w:rFonts w:ascii="黑体" w:hAnsi="宋体" w:eastAsia="黑体" w:cs="黑体"/>
          <w:color w:val="000000"/>
          <w:kern w:val="0"/>
          <w:sz w:val="40"/>
          <w:szCs w:val="40"/>
        </w:rPr>
      </w:pPr>
    </w:p>
    <w:p w14:paraId="2B608821">
      <w:pPr>
        <w:tabs>
          <w:tab w:val="left" w:pos="7410"/>
        </w:tabs>
        <w:jc w:val="center"/>
        <w:sectPr>
          <w:pgSz w:w="16838" w:h="11906" w:orient="landscape"/>
          <w:pgMar w:top="1588" w:right="2098" w:bottom="1474" w:left="1985" w:header="851" w:footer="992" w:gutter="0"/>
          <w:pgNumType w:fmt="numberInDash"/>
          <w:cols w:space="425" w:num="1"/>
          <w:docGrid w:type="lines" w:linePitch="312" w:charSpace="0"/>
        </w:sectPr>
      </w:pPr>
      <w:r>
        <w:pict>
          <v:shape id="_x0000_i1031" o:spt="75" type="#_x0000_t75" style="height:181.5pt;width:668.25pt;" filled="f" o:preferrelative="t" stroked="f" coordsize="21600,21600">
            <v:path/>
            <v:fill on="f" focussize="0,0"/>
            <v:stroke on="f" joinstyle="miter"/>
            <v:imagedata r:id="rId20" o:title=""/>
            <o:lock v:ext="edit" aspectratio="t"/>
            <w10:wrap type="none"/>
            <w10:anchorlock/>
          </v:shape>
        </w:pict>
      </w:r>
    </w:p>
    <w:p w14:paraId="6441D0F1">
      <w:pPr>
        <w:numPr>
          <w:ilvl w:val="0"/>
          <w:numId w:val="4"/>
        </w:numPr>
        <w:tabs>
          <w:tab w:val="left" w:pos="6465"/>
        </w:tabs>
        <w:rPr>
          <w:rFonts w:ascii="黑体" w:hAnsi="宋体" w:eastAsia="黑体" w:cs="黑体"/>
          <w:color w:val="000000"/>
          <w:kern w:val="0"/>
          <w:sz w:val="40"/>
          <w:szCs w:val="40"/>
        </w:rPr>
      </w:pPr>
      <w:r>
        <w:rPr>
          <w:rFonts w:hint="eastAsia" w:ascii="黑体" w:hAnsi="宋体" w:eastAsia="黑体" w:cs="黑体"/>
          <w:color w:val="000000"/>
          <w:kern w:val="0"/>
          <w:sz w:val="40"/>
          <w:szCs w:val="40"/>
        </w:rPr>
        <w:t>政府性基金预算财政拨款收入支出决算表</w:t>
      </w:r>
    </w:p>
    <w:p w14:paraId="3A0C8DEC">
      <w:pPr>
        <w:tabs>
          <w:tab w:val="left" w:pos="6465"/>
        </w:tabs>
        <w:rPr>
          <w:rFonts w:ascii="黑体" w:hAnsi="宋体" w:eastAsia="黑体" w:cs="黑体"/>
          <w:color w:val="000000"/>
          <w:kern w:val="0"/>
          <w:sz w:val="40"/>
          <w:szCs w:val="40"/>
        </w:rPr>
      </w:pPr>
    </w:p>
    <w:p w14:paraId="3DB13720">
      <w:pPr>
        <w:tabs>
          <w:tab w:val="left" w:pos="7410"/>
        </w:tabs>
        <w:jc w:val="center"/>
        <w:sectPr>
          <w:pgSz w:w="16838" w:h="11906" w:orient="landscape"/>
          <w:pgMar w:top="1588" w:right="2098" w:bottom="1474" w:left="1985" w:header="851" w:footer="992" w:gutter="0"/>
          <w:pgNumType w:fmt="numberInDash"/>
          <w:cols w:space="425" w:num="1"/>
          <w:docGrid w:type="lines" w:linePitch="312" w:charSpace="0"/>
        </w:sectPr>
      </w:pPr>
      <w:r>
        <w:pict>
          <v:shape id="_x0000_i1032" o:spt="75" type="#_x0000_t75" style="height:248.25pt;width:637.5pt;" filled="f" o:preferrelative="t" stroked="f" coordsize="21600,21600">
            <v:path/>
            <v:fill on="f" focussize="0,0"/>
            <v:stroke on="f" joinstyle="miter"/>
            <v:imagedata r:id="rId21" o:title=""/>
            <o:lock v:ext="edit" aspectratio="t"/>
            <w10:wrap type="none"/>
            <w10:anchorlock/>
          </v:shape>
        </w:pict>
      </w:r>
    </w:p>
    <w:p w14:paraId="30AD0E30">
      <w:pPr>
        <w:numPr>
          <w:ilvl w:val="0"/>
          <w:numId w:val="5"/>
        </w:numPr>
        <w:tabs>
          <w:tab w:val="left" w:pos="6465"/>
        </w:tabs>
        <w:rPr>
          <w:rFonts w:ascii="黑体" w:hAnsi="宋体" w:eastAsia="黑体" w:cs="黑体"/>
          <w:color w:val="000000"/>
          <w:kern w:val="0"/>
          <w:sz w:val="40"/>
          <w:szCs w:val="40"/>
        </w:rPr>
      </w:pPr>
      <w:r>
        <w:rPr>
          <w:rFonts w:hint="eastAsia" w:ascii="黑体" w:hAnsi="宋体" w:eastAsia="黑体" w:cs="黑体"/>
          <w:color w:val="000000"/>
          <w:kern w:val="0"/>
          <w:sz w:val="40"/>
          <w:szCs w:val="40"/>
        </w:rPr>
        <w:t>国有资本经营预算财政拨款支出决算表</w:t>
      </w:r>
    </w:p>
    <w:p w14:paraId="36F27C68">
      <w:pPr>
        <w:tabs>
          <w:tab w:val="left" w:pos="6465"/>
        </w:tabs>
        <w:rPr>
          <w:rFonts w:ascii="黑体" w:hAnsi="宋体" w:eastAsia="黑体" w:cs="黑体"/>
          <w:color w:val="000000"/>
          <w:kern w:val="0"/>
          <w:sz w:val="40"/>
          <w:szCs w:val="40"/>
        </w:rPr>
      </w:pPr>
    </w:p>
    <w:p w14:paraId="45EDEDD2">
      <w:pPr>
        <w:tabs>
          <w:tab w:val="left" w:pos="7410"/>
        </w:tabs>
        <w:jc w:val="center"/>
        <w:sectPr>
          <w:pgSz w:w="16838" w:h="11906" w:orient="landscape"/>
          <w:pgMar w:top="1588" w:right="2098" w:bottom="1474" w:left="1985" w:header="851" w:footer="992" w:gutter="0"/>
          <w:pgNumType w:fmt="numberInDash"/>
          <w:cols w:space="425" w:num="1"/>
          <w:docGrid w:type="lines" w:linePitch="312" w:charSpace="0"/>
        </w:sectPr>
      </w:pPr>
      <w:r>
        <w:pict>
          <v:shape id="_x0000_i1033" o:spt="75" type="#_x0000_t75" style="height:231.75pt;width:588.75pt;" filled="f" o:preferrelative="t" stroked="f" coordsize="21600,21600">
            <v:path/>
            <v:fill on="f" focussize="0,0"/>
            <v:stroke on="f" joinstyle="miter"/>
            <v:imagedata r:id="rId22" o:title=""/>
            <o:lock v:ext="edit" aspectratio="t"/>
            <w10:wrap type="none"/>
            <w10:anchorlock/>
          </v:shape>
        </w:pict>
      </w:r>
    </w:p>
    <w:p w14:paraId="7BF79C6E">
      <w:r>
        <w:pict>
          <v:rect id="_x0000_s1106" o:spid="_x0000_s1106" o:spt="1" style="position:absolute;left:0pt;margin-left:-69.75pt;margin-top:-84.5pt;height:2021.05pt;width:595.1pt;z-index:-251656192;v-text-anchor:middle;mso-width-relative:page;mso-height-relative:page;" fillcolor="#FFC000" filled="t" stroked="f" coordsize="21600,21600">
            <v:path/>
            <v:fill on="t" focussize="0,0"/>
            <v:stroke on="f" weight="1pt"/>
            <v:imagedata o:title=""/>
            <o:lock v:ext="edit"/>
          </v:rect>
        </w:pict>
      </w:r>
    </w:p>
    <w:sectPr>
      <w:pgSz w:w="11906" w:h="16838"/>
      <w:pgMar w:top="1701" w:right="1417" w:bottom="1281" w:left="141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Yu Gothic UI Semibold">
    <w:panose1 w:val="020B0700000000000000"/>
    <w:charset w:val="80"/>
    <w:family w:val="swiss"/>
    <w:pitch w:val="default"/>
    <w:sig w:usb0="E00002FF" w:usb1="2AC7FDFF" w:usb2="00000016" w:usb3="00000000" w:csb0="2002009F" w:csb1="00000000"/>
  </w:font>
  <w:font w:name="思源黑体 HW Bold">
    <w:altName w:val="宋体"/>
    <w:panose1 w:val="00000000000000000000"/>
    <w:charset w:val="86"/>
    <w:family w:val="swiss"/>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UnicodeMS">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Cambria">
    <w:panose1 w:val="02040503050406030204"/>
    <w:charset w:val="00"/>
    <w:family w:val="roman"/>
    <w:pitch w:val="default"/>
    <w:sig w:usb0="E00006FF" w:usb1="420024FF" w:usb2="02000000" w:usb3="00000000" w:csb0="2000019F" w:csb1="00000000"/>
  </w:font>
  <w:font w:name="DengXian-Regular">
    <w:altName w:val="宋体"/>
    <w:panose1 w:val="00000000000000000000"/>
    <w:charset w:val="86"/>
    <w:family w:val="auto"/>
    <w:pitch w:val="default"/>
    <w:sig w:usb0="00000000" w:usb1="00000000" w:usb2="00000010" w:usb3="00000000" w:csb0="00040000" w:csb1="00000000"/>
  </w:font>
  <w:font w:name="DengXian-Bold">
    <w:altName w:val="宋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imesNewRomanPSMT">
    <w:altName w:val="Arial"/>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B8F8A">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2494E">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3D8F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6BDA0">
    <w:pPr>
      <w:pStyle w:val="5"/>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16A19">
    <w:pPr>
      <w:pStyle w:val="5"/>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72D3E">
    <w:pPr>
      <w:pStyle w:val="5"/>
      <w:pBdr>
        <w:top w:val="none" w:color="auto" w:sz="0" w:space="0"/>
        <w:left w:val="none" w:color="auto" w:sz="0" w:space="0"/>
        <w:bottom w:val="none" w:color="auto" w:sz="0" w:space="0"/>
        <w:right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D9B23">
    <w:pPr>
      <w:pStyle w:val="5"/>
      <w:pBdr>
        <w:top w:val="none" w:color="auto" w:sz="0" w:space="0"/>
        <w:left w:val="none" w:color="auto" w:sz="0" w:space="0"/>
        <w:bottom w:val="none" w:color="auto" w:sz="0" w:space="0"/>
        <w:right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DD12F">
    <w:pPr>
      <w:pStyle w:val="5"/>
      <w:pBdr>
        <w:top w:val="none" w:color="auto" w:sz="0" w:space="0"/>
        <w:left w:val="none" w:color="auto" w:sz="0" w:space="0"/>
        <w:bottom w:val="none" w:color="auto" w:sz="0" w:space="0"/>
        <w:right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B107A">
    <w:pPr>
      <w:pStyle w:val="5"/>
      <w:pBdr>
        <w:top w:val="none" w:color="auto" w:sz="0" w:space="0"/>
        <w:left w:val="none" w:color="auto" w:sz="0" w:space="0"/>
        <w:bottom w:val="none" w:color="auto" w:sz="0" w:space="0"/>
        <w:right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4B8DD">
    <w:pPr>
      <w:pStyle w:val="5"/>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7C2ABD"/>
    <w:multiLevelType w:val="singleLevel"/>
    <w:tmpl w:val="DA7C2ABD"/>
    <w:lvl w:ilvl="0" w:tentative="0">
      <w:start w:val="8"/>
      <w:numFmt w:val="chineseCounting"/>
      <w:suff w:val="nothing"/>
      <w:lvlText w:val="%1、"/>
      <w:lvlJc w:val="left"/>
      <w:rPr>
        <w:rFonts w:hint="eastAsia"/>
      </w:rPr>
    </w:lvl>
  </w:abstractNum>
  <w:abstractNum w:abstractNumId="1">
    <w:nsid w:val="EA4E42B2"/>
    <w:multiLevelType w:val="singleLevel"/>
    <w:tmpl w:val="EA4E42B2"/>
    <w:lvl w:ilvl="0" w:tentative="0">
      <w:start w:val="2"/>
      <w:numFmt w:val="chineseCounting"/>
      <w:suff w:val="nothing"/>
      <w:lvlText w:val="%1、"/>
      <w:lvlJc w:val="left"/>
      <w:rPr>
        <w:rFonts w:hint="eastAsia"/>
      </w:rPr>
    </w:lvl>
  </w:abstractNum>
  <w:abstractNum w:abstractNumId="2">
    <w:nsid w:val="16CDD5E5"/>
    <w:multiLevelType w:val="singleLevel"/>
    <w:tmpl w:val="16CDD5E5"/>
    <w:lvl w:ilvl="0" w:tentative="0">
      <w:start w:val="1"/>
      <w:numFmt w:val="decimal"/>
      <w:suff w:val="nothing"/>
      <w:lvlText w:val="%1、"/>
      <w:lvlJc w:val="left"/>
    </w:lvl>
  </w:abstractNum>
  <w:abstractNum w:abstractNumId="3">
    <w:nsid w:val="45DB9A87"/>
    <w:multiLevelType w:val="singleLevel"/>
    <w:tmpl w:val="45DB9A87"/>
    <w:lvl w:ilvl="0" w:tentative="0">
      <w:start w:val="3"/>
      <w:numFmt w:val="chineseCounting"/>
      <w:suff w:val="nothing"/>
      <w:lvlText w:val="（%1）"/>
      <w:lvlJc w:val="left"/>
      <w:rPr>
        <w:rFonts w:hint="eastAsia" w:cs="Times New Roman"/>
      </w:rPr>
    </w:lvl>
  </w:abstractNum>
  <w:abstractNum w:abstractNumId="4">
    <w:nsid w:val="74AACBBB"/>
    <w:multiLevelType w:val="singleLevel"/>
    <w:tmpl w:val="74AACBBB"/>
    <w:lvl w:ilvl="0" w:tentative="0">
      <w:start w:val="9"/>
      <w:numFmt w:val="chineseCounting"/>
      <w:suff w:val="nothing"/>
      <w:lvlText w:val="%1、"/>
      <w:lvlJc w:val="left"/>
      <w:rPr>
        <w:rFonts w:hint="eastAsia"/>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attachedTemplate r:id="rId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6AAF1C96"/>
    <w:rsid w:val="00037ABF"/>
    <w:rsid w:val="0007063E"/>
    <w:rsid w:val="00071ADD"/>
    <w:rsid w:val="00073392"/>
    <w:rsid w:val="00073F4E"/>
    <w:rsid w:val="00086C89"/>
    <w:rsid w:val="000A39FB"/>
    <w:rsid w:val="00117746"/>
    <w:rsid w:val="00163F95"/>
    <w:rsid w:val="00180A9A"/>
    <w:rsid w:val="001829C0"/>
    <w:rsid w:val="00184809"/>
    <w:rsid w:val="00192112"/>
    <w:rsid w:val="001A64B1"/>
    <w:rsid w:val="001B0127"/>
    <w:rsid w:val="001C12D5"/>
    <w:rsid w:val="001C69F7"/>
    <w:rsid w:val="001E45D3"/>
    <w:rsid w:val="002650EC"/>
    <w:rsid w:val="002A6C46"/>
    <w:rsid w:val="002C19B5"/>
    <w:rsid w:val="00371224"/>
    <w:rsid w:val="003A4EE8"/>
    <w:rsid w:val="00442CC2"/>
    <w:rsid w:val="00446244"/>
    <w:rsid w:val="00453D57"/>
    <w:rsid w:val="00473C20"/>
    <w:rsid w:val="004D61CB"/>
    <w:rsid w:val="005011D6"/>
    <w:rsid w:val="00503F2E"/>
    <w:rsid w:val="00552226"/>
    <w:rsid w:val="0055511B"/>
    <w:rsid w:val="00566120"/>
    <w:rsid w:val="00582E6D"/>
    <w:rsid w:val="005954D5"/>
    <w:rsid w:val="005A53FA"/>
    <w:rsid w:val="005D1293"/>
    <w:rsid w:val="00644D5F"/>
    <w:rsid w:val="006727AD"/>
    <w:rsid w:val="00691425"/>
    <w:rsid w:val="006A516E"/>
    <w:rsid w:val="006B0830"/>
    <w:rsid w:val="00716E2B"/>
    <w:rsid w:val="0072015C"/>
    <w:rsid w:val="00770F18"/>
    <w:rsid w:val="00773B74"/>
    <w:rsid w:val="0078290C"/>
    <w:rsid w:val="007C06CA"/>
    <w:rsid w:val="008163FB"/>
    <w:rsid w:val="0082605B"/>
    <w:rsid w:val="00855C36"/>
    <w:rsid w:val="00857DBE"/>
    <w:rsid w:val="008701BC"/>
    <w:rsid w:val="00883D92"/>
    <w:rsid w:val="008A5362"/>
    <w:rsid w:val="008F21F1"/>
    <w:rsid w:val="008F221B"/>
    <w:rsid w:val="008F5A2D"/>
    <w:rsid w:val="00921602"/>
    <w:rsid w:val="00957EA1"/>
    <w:rsid w:val="00966E5B"/>
    <w:rsid w:val="009B4EF0"/>
    <w:rsid w:val="009D271F"/>
    <w:rsid w:val="00A4337A"/>
    <w:rsid w:val="00A929C2"/>
    <w:rsid w:val="00AD097F"/>
    <w:rsid w:val="00B844F4"/>
    <w:rsid w:val="00BA06A1"/>
    <w:rsid w:val="00BA770A"/>
    <w:rsid w:val="00BF4D15"/>
    <w:rsid w:val="00C054DE"/>
    <w:rsid w:val="00C635B4"/>
    <w:rsid w:val="00C679A9"/>
    <w:rsid w:val="00C7541C"/>
    <w:rsid w:val="00CC0FAA"/>
    <w:rsid w:val="00CD0736"/>
    <w:rsid w:val="00D1570F"/>
    <w:rsid w:val="00D32830"/>
    <w:rsid w:val="00D70AB5"/>
    <w:rsid w:val="00D932E0"/>
    <w:rsid w:val="00DB7153"/>
    <w:rsid w:val="00DB7F05"/>
    <w:rsid w:val="00E028C3"/>
    <w:rsid w:val="00E14F77"/>
    <w:rsid w:val="00E3076B"/>
    <w:rsid w:val="00E36978"/>
    <w:rsid w:val="00E82A1E"/>
    <w:rsid w:val="00EC06F4"/>
    <w:rsid w:val="00EE4E36"/>
    <w:rsid w:val="00F665F4"/>
    <w:rsid w:val="00FB1D00"/>
    <w:rsid w:val="00FD225F"/>
    <w:rsid w:val="013B31E9"/>
    <w:rsid w:val="0301208E"/>
    <w:rsid w:val="04A54BC5"/>
    <w:rsid w:val="0AB84B3C"/>
    <w:rsid w:val="0DF57BCB"/>
    <w:rsid w:val="100D433B"/>
    <w:rsid w:val="10881DA1"/>
    <w:rsid w:val="13211517"/>
    <w:rsid w:val="149C17A8"/>
    <w:rsid w:val="14A02371"/>
    <w:rsid w:val="14F217B3"/>
    <w:rsid w:val="183944E9"/>
    <w:rsid w:val="1A2F1A6D"/>
    <w:rsid w:val="1BDF4AC3"/>
    <w:rsid w:val="206D7D19"/>
    <w:rsid w:val="215941EE"/>
    <w:rsid w:val="21BF60DF"/>
    <w:rsid w:val="22C803F9"/>
    <w:rsid w:val="2423176C"/>
    <w:rsid w:val="25355E40"/>
    <w:rsid w:val="293B00D1"/>
    <w:rsid w:val="2AB4008D"/>
    <w:rsid w:val="2B81014F"/>
    <w:rsid w:val="2C7B5BED"/>
    <w:rsid w:val="2CD71D30"/>
    <w:rsid w:val="2D251D53"/>
    <w:rsid w:val="31474E69"/>
    <w:rsid w:val="314C1257"/>
    <w:rsid w:val="31C2036A"/>
    <w:rsid w:val="3205456F"/>
    <w:rsid w:val="320D02A5"/>
    <w:rsid w:val="33803C63"/>
    <w:rsid w:val="339B0E21"/>
    <w:rsid w:val="348E566F"/>
    <w:rsid w:val="35BD7AF9"/>
    <w:rsid w:val="37C21375"/>
    <w:rsid w:val="385E65CB"/>
    <w:rsid w:val="3A024A04"/>
    <w:rsid w:val="3A226944"/>
    <w:rsid w:val="3AEE6A48"/>
    <w:rsid w:val="3C1620AA"/>
    <w:rsid w:val="3D8F080F"/>
    <w:rsid w:val="3F985175"/>
    <w:rsid w:val="3FF1202A"/>
    <w:rsid w:val="42DF1A6C"/>
    <w:rsid w:val="43447217"/>
    <w:rsid w:val="44413A59"/>
    <w:rsid w:val="44CE1FA4"/>
    <w:rsid w:val="44DD4B37"/>
    <w:rsid w:val="45144952"/>
    <w:rsid w:val="47EA7CB5"/>
    <w:rsid w:val="487F73ED"/>
    <w:rsid w:val="4A0A1255"/>
    <w:rsid w:val="4A347EAE"/>
    <w:rsid w:val="4AE30CF9"/>
    <w:rsid w:val="4B6648CA"/>
    <w:rsid w:val="4BDC4324"/>
    <w:rsid w:val="4C6B4049"/>
    <w:rsid w:val="508A118F"/>
    <w:rsid w:val="518F60CB"/>
    <w:rsid w:val="51D94DFA"/>
    <w:rsid w:val="52401FEC"/>
    <w:rsid w:val="52600405"/>
    <w:rsid w:val="529B4319"/>
    <w:rsid w:val="560A52F6"/>
    <w:rsid w:val="57773DD6"/>
    <w:rsid w:val="578B79AB"/>
    <w:rsid w:val="58676609"/>
    <w:rsid w:val="5A602D71"/>
    <w:rsid w:val="5C956AB7"/>
    <w:rsid w:val="5CCD3FD5"/>
    <w:rsid w:val="5D045604"/>
    <w:rsid w:val="5D3425AA"/>
    <w:rsid w:val="5EBA16BF"/>
    <w:rsid w:val="61FA5F9D"/>
    <w:rsid w:val="62DF6C23"/>
    <w:rsid w:val="641E51FB"/>
    <w:rsid w:val="64CD6910"/>
    <w:rsid w:val="675028D2"/>
    <w:rsid w:val="6789158D"/>
    <w:rsid w:val="67D81BA4"/>
    <w:rsid w:val="698E6B6C"/>
    <w:rsid w:val="6AAF1C96"/>
    <w:rsid w:val="6E721DFC"/>
    <w:rsid w:val="6EBE5E38"/>
    <w:rsid w:val="6F020823"/>
    <w:rsid w:val="6F9551A5"/>
    <w:rsid w:val="6F9C0530"/>
    <w:rsid w:val="70B44697"/>
    <w:rsid w:val="73441C97"/>
    <w:rsid w:val="739F5C1C"/>
    <w:rsid w:val="75681757"/>
    <w:rsid w:val="75A346A8"/>
    <w:rsid w:val="76076F8D"/>
    <w:rsid w:val="76366B07"/>
    <w:rsid w:val="77216489"/>
    <w:rsid w:val="794C7C4E"/>
    <w:rsid w:val="79B9382C"/>
    <w:rsid w:val="7A0114F1"/>
    <w:rsid w:val="7B043B76"/>
    <w:rsid w:val="7C041A6A"/>
    <w:rsid w:val="7DB5535F"/>
    <w:rsid w:val="7E327570"/>
    <w:rsid w:val="7EA24160"/>
  </w:rsids>
  <m:mathPr>
    <m:mathFont m:val="Cambria Math"/>
    <m:brkBin m:val="before"/>
    <m:brkBinSub m:val="--"/>
    <m:smallFrac m:val="1"/>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9"/>
    <w:qFormat/>
    <w:uiPriority w:val="9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0"/>
    <w:qFormat/>
    <w:uiPriority w:val="99"/>
    <w:rPr>
      <w:rFonts w:ascii="仿宋_GB2312" w:hAnsi="仿宋_GB2312" w:eastAsia="仿宋_GB2312" w:cs="仿宋_GB2312"/>
      <w:sz w:val="32"/>
      <w:szCs w:val="32"/>
      <w:lang w:val="zh-CN"/>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7">
    <w:name w:val="Table Grid"/>
    <w:basedOn w:val="6"/>
    <w:qFormat/>
    <w:uiPriority w:val="99"/>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9">
    <w:name w:val="标题 1 Char"/>
    <w:basedOn w:val="8"/>
    <w:link w:val="2"/>
    <w:qFormat/>
    <w:uiPriority w:val="9"/>
    <w:rPr>
      <w:rFonts w:ascii="等线" w:hAnsi="等线" w:eastAsia="等线"/>
      <w:b/>
      <w:bCs/>
      <w:kern w:val="44"/>
      <w:sz w:val="44"/>
      <w:szCs w:val="44"/>
    </w:rPr>
  </w:style>
  <w:style w:type="character" w:customStyle="1" w:styleId="10">
    <w:name w:val="正文文本 Char"/>
    <w:basedOn w:val="8"/>
    <w:link w:val="3"/>
    <w:semiHidden/>
    <w:qFormat/>
    <w:uiPriority w:val="99"/>
    <w:rPr>
      <w:rFonts w:ascii="等线" w:hAnsi="等线" w:eastAsia="等线"/>
    </w:rPr>
  </w:style>
  <w:style w:type="character" w:customStyle="1" w:styleId="11">
    <w:name w:val="页脚 Char"/>
    <w:basedOn w:val="8"/>
    <w:link w:val="4"/>
    <w:qFormat/>
    <w:locked/>
    <w:uiPriority w:val="99"/>
    <w:rPr>
      <w:rFonts w:cs="Times New Roman"/>
      <w:sz w:val="18"/>
      <w:szCs w:val="18"/>
    </w:rPr>
  </w:style>
  <w:style w:type="character" w:customStyle="1" w:styleId="12">
    <w:name w:val="页眉 Char"/>
    <w:basedOn w:val="8"/>
    <w:link w:val="5"/>
    <w:qFormat/>
    <w:locked/>
    <w:uiPriority w:val="99"/>
    <w:rPr>
      <w:rFonts w:ascii="等线" w:hAnsi="等线" w:eastAsia="等线" w:cs="Times New Roman"/>
      <w:sz w:val="18"/>
      <w:szCs w:val="18"/>
    </w:rPr>
  </w:style>
  <w:style w:type="paragraph" w:customStyle="1" w:styleId="13">
    <w:name w:val="列出段落1"/>
    <w:basedOn w:val="1"/>
    <w:qFormat/>
    <w:uiPriority w:val="99"/>
    <w:pPr>
      <w:spacing w:before="2"/>
      <w:ind w:left="119" w:right="434" w:firstLine="643"/>
    </w:pPr>
    <w:rPr>
      <w:rFonts w:ascii="仿宋_GB2312" w:hAnsi="仿宋_GB2312" w:eastAsia="仿宋_GB2312" w:cs="仿宋_GB2312"/>
      <w:lang w:val="zh-CN"/>
    </w:rPr>
  </w:style>
  <w:style w:type="paragraph" w:customStyle="1" w:styleId="14">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9.emf"/><Relationship Id="rId21" Type="http://schemas.openxmlformats.org/officeDocument/2006/relationships/image" Target="media/image8.emf"/><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image" Target="media/image6.emf"/><Relationship Id="rId18" Type="http://schemas.openxmlformats.org/officeDocument/2006/relationships/image" Target="media/image5.emf"/><Relationship Id="rId17" Type="http://schemas.openxmlformats.org/officeDocument/2006/relationships/image" Target="media/image4.emf"/><Relationship Id="rId16" Type="http://schemas.openxmlformats.org/officeDocument/2006/relationships/image" Target="media/image3.emf"/><Relationship Id="rId15" Type="http://schemas.openxmlformats.org/officeDocument/2006/relationships/image" Target="media/image2.emf"/><Relationship Id="rId14" Type="http://schemas.openxmlformats.org/officeDocument/2006/relationships/image" Target="media/image1.emf"/><Relationship Id="rId13" Type="http://schemas.openxmlformats.org/officeDocument/2006/relationships/theme" Target="theme/theme1.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mingxin\AppData\Roaming\kingsoft\office6\templates\download\5185bd05-a416-9a0b-b3d5-d2d8db942b83\&#31616;&#32422;&#25991;&#26723;&#23553;&#38754;&#27169;&#2649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118"/>
    <customShpInfo spid="_x0000_s1125"/>
    <customShpInfo spid="_x0000_s1126"/>
    <customShpInfo spid="_x0000_s1127"/>
    <customShpInfo spid="_x0000_s1119"/>
    <customShpInfo spid="_x0000_s1120"/>
    <customShpInfo spid="_x0000_s1121"/>
    <customShpInfo spid="_x0000_s1128"/>
    <customShpInfo spid="_x0000_s1122"/>
    <customShpInfo spid="_x0000_s1123"/>
    <customShpInfo spid="_x0000_s1124"/>
    <customShpInfo spid="_x0000_s1053"/>
    <customShpInfo spid="_x0000_s1061"/>
    <customShpInfo spid="_x0000_s1062"/>
    <customShpInfo spid="_x0000_s1088"/>
    <customShpInfo spid="_x0000_s1089"/>
    <customShpInfo spid="_x0000_s110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简约文档封面模板.docx</Template>
  <Company>MS</Company>
  <Pages>31</Pages>
  <Words>6206</Words>
  <Characters>6791</Characters>
  <Lines>46</Lines>
  <Paragraphs>13</Paragraphs>
  <TotalTime>0</TotalTime>
  <ScaleCrop>false</ScaleCrop>
  <LinksUpToDate>false</LinksUpToDate>
  <CharactersWithSpaces>6810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2020-07-29T09:42:00Z</dcterms:created>
  <dc:creator>王明新TIAD</dc:creator>
  <cp:lastModifiedBy>归零</cp:lastModifiedBy>
  <cp:lastPrinted>2020-07-30T02:37:00Z</cp:lastPrinted>
  <dcterms:modified xsi:type="dcterms:W3CDTF">2025-04-24T01:28:45Z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CED33938AA794EE787AAC42644121279</vt:lpwstr>
  </property>
  <property fmtid="{D5CDD505-2E9C-101B-9397-08002B2CF9AE}" pid="4" name="KSOTemplateDocerSaveRecord">
    <vt:lpwstr>eyJoZGlkIjoiYmFmOWE4ODJlNWQxZGE3NWRhZWY2YjhhNGM4YmExYzQiLCJ1c2VySWQiOiIxMTA2NTczNTA2In0=</vt:lpwstr>
  </property>
</Properties>
</file>