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30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nil"/>
              <w:left w:val="nil"/>
              <w:bottom w:val="nil"/>
              <w:right w:val="nil"/>
            </w:tcBorders>
            <w:shd w:val="clear" w:color="auto" w:fill="FFFFFF"/>
            <w:tcMar>
              <w:top w:w="0" w:type="dxa"/>
              <w:bottom w:w="0" w:type="dxa"/>
            </w:tcMar>
            <w:vAlign w:val="center"/>
          </w:tcPr>
          <w:tbl>
            <w:tblPr>
              <w:tblStyle w:val="3"/>
              <w:tblW w:w="15300" w:type="dxa"/>
              <w:jc w:val="center"/>
              <w:tblCellSpacing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0" w:type="dxa"/>
                <w:jc w:val="center"/>
              </w:trPr>
              <w:tc>
                <w:tcPr>
                  <w:tcW w:w="0" w:type="auto"/>
                  <w:tcBorders>
                    <w:top w:val="nil"/>
                    <w:left w:val="nil"/>
                    <w:bottom w:val="nil"/>
                    <w:right w:val="nil"/>
                  </w:tcBorders>
                  <w:shd w:val="clear" w:color="auto" w:fill="auto"/>
                  <w:tcMar>
                    <w:top w:w="0" w:type="dxa"/>
                    <w:bottom w:w="0" w:type="dxa"/>
                  </w:tcMar>
                  <w:vAlign w:val="center"/>
                </w:tcPr>
                <w:p>
                  <w:pPr>
                    <w:keepNext w:val="0"/>
                    <w:keepLines w:val="0"/>
                    <w:widowControl/>
                    <w:suppressLineNumbers w:val="0"/>
                    <w:spacing w:before="0" w:beforeAutospacing="0" w:after="0" w:afterAutospacing="0" w:line="375" w:lineRule="atLeast"/>
                    <w:ind w:left="0" w:right="0"/>
                    <w:jc w:val="center"/>
                    <w:rPr>
                      <w:rFonts w:ascii="微软雅黑" w:hAnsi="微软雅黑" w:eastAsia="微软雅黑" w:cs="微软雅黑"/>
                      <w:b w:val="0"/>
                      <w:sz w:val="30"/>
                      <w:szCs w:val="30"/>
                    </w:rPr>
                  </w:pPr>
                  <w:r>
                    <w:rPr>
                      <w:rFonts w:hint="eastAsia" w:ascii="宋体" w:hAnsi="宋体" w:eastAsia="宋体" w:cs="宋体"/>
                      <w:b/>
                      <w:bCs/>
                      <w:kern w:val="0"/>
                      <w:sz w:val="44"/>
                      <w:szCs w:val="44"/>
                      <w:lang w:val="en-US" w:eastAsia="zh-CN" w:bidi="ar"/>
                    </w:rPr>
                    <w:t>阜平县人力资源和社会保障局2019年政府信息公开工作年度报告</w:t>
                  </w:r>
                </w:p>
              </w:tc>
            </w:tr>
          </w:tbl>
          <w:p>
            <w:pPr>
              <w:jc w:val="center"/>
              <w:rPr>
                <w:rFonts w:hint="eastAsia" w:ascii="微软雅黑" w:hAnsi="微软雅黑" w:eastAsia="微软雅黑" w:cs="微软雅黑"/>
                <w:b w:val="0"/>
                <w:i w:val="0"/>
                <w:caps w:val="0"/>
                <w:color w:val="000000"/>
                <w:spacing w:val="0"/>
                <w:sz w:val="30"/>
                <w:szCs w:val="30"/>
              </w:rPr>
            </w:pPr>
          </w:p>
        </w:tc>
      </w:tr>
    </w:tbl>
    <w:p>
      <w:pPr>
        <w:rPr>
          <w:vanish/>
          <w:sz w:val="24"/>
          <w:szCs w:val="24"/>
        </w:rPr>
      </w:pPr>
    </w:p>
    <w:tbl>
      <w:tblPr>
        <w:tblStyle w:val="3"/>
        <w:tblW w:w="1500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5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0" w:type="auto"/>
            <w:tcBorders>
              <w:top w:val="nil"/>
              <w:left w:val="nil"/>
              <w:bottom w:val="nil"/>
              <w:right w:val="nil"/>
            </w:tcBorders>
            <w:shd w:val="clear" w:color="auto" w:fill="FFFFFF"/>
            <w:tcMar>
              <w:top w:w="0" w:type="dxa"/>
              <w:left w:w="0" w:type="dxa"/>
              <w:bottom w:w="0" w:type="dxa"/>
              <w:right w:w="0" w:type="dxa"/>
            </w:tcMar>
            <w:vAlign w:val="center"/>
          </w:tcPr>
          <w:tbl>
            <w:tblPr>
              <w:tblStyle w:val="3"/>
              <w:tblW w:w="1470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7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0" w:type="auto"/>
                  <w:tcBorders>
                    <w:top w:val="nil"/>
                    <w:left w:val="nil"/>
                    <w:bottom w:val="nil"/>
                    <w:right w:val="nil"/>
                  </w:tcBorders>
                  <w:shd w:val="clear" w:color="auto" w:fill="auto"/>
                  <w:tcMar>
                    <w:top w:w="0" w:type="dxa"/>
                    <w:left w:w="0" w:type="dxa"/>
                    <w:bottom w:w="0" w:type="dxa"/>
                    <w:right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宋体" w:hAnsi="宋体" w:eastAsia="宋体" w:cs="宋体"/>
                      <w:b/>
                      <w:color w:val="333333"/>
                      <w:sz w:val="21"/>
                      <w:szCs w:val="21"/>
                      <w:shd w:val="clear" w:fill="FFFFFF"/>
                    </w:rPr>
                    <w:t>   </w:t>
                  </w:r>
                  <w:r>
                    <w:rPr>
                      <w:rFonts w:hint="eastAsia" w:ascii="黑体" w:hAnsi="黑体" w:eastAsia="黑体" w:cs="黑体"/>
                      <w:b/>
                      <w:color w:val="333333"/>
                      <w:sz w:val="32"/>
                      <w:szCs w:val="32"/>
                      <w:shd w:val="clear" w:fill="FFFFFF"/>
                    </w:rPr>
                    <w:t xml:space="preserve"> </w:t>
                  </w:r>
                  <w:r>
                    <w:rPr>
                      <w:rFonts w:hint="eastAsia" w:ascii="黑体" w:hAnsi="黑体" w:eastAsia="黑体" w:cs="黑体"/>
                      <w:b/>
                      <w:color w:val="333333"/>
                      <w:sz w:val="32"/>
                      <w:szCs w:val="32"/>
                      <w:shd w:val="clear" w:fill="FFFFFF"/>
                    </w:rPr>
                    <w:t>一、总体情况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i w:val="0"/>
                      <w:caps w:val="0"/>
                      <w:color w:val="000000"/>
                      <w:spacing w:val="0"/>
                      <w:sz w:val="32"/>
                      <w:szCs w:val="32"/>
                      <w:shd w:val="clear" w:fill="FFFFFF"/>
                    </w:rPr>
                    <w:t xml:space="preserve">    </w:t>
                  </w:r>
                  <w:r>
                    <w:rPr>
                      <w:rFonts w:hint="eastAsia" w:ascii="仿宋" w:hAnsi="仿宋" w:eastAsia="仿宋" w:cs="仿宋"/>
                      <w:i w:val="0"/>
                      <w:caps w:val="0"/>
                      <w:color w:val="000000"/>
                      <w:spacing w:val="0"/>
                      <w:sz w:val="32"/>
                      <w:szCs w:val="32"/>
                      <w:shd w:val="clear" w:fill="FFFFFF"/>
                      <w:lang w:val="en-US" w:eastAsia="zh-CN"/>
                    </w:rPr>
                    <w:t xml:space="preserve"> </w:t>
                  </w:r>
                  <w:r>
                    <w:rPr>
                      <w:rFonts w:hint="eastAsia" w:ascii="仿宋" w:hAnsi="仿宋" w:eastAsia="仿宋" w:cs="仿宋"/>
                      <w:i w:val="0"/>
                      <w:caps w:val="0"/>
                      <w:color w:val="000000"/>
                      <w:spacing w:val="0"/>
                      <w:sz w:val="32"/>
                      <w:szCs w:val="32"/>
                      <w:shd w:val="clear" w:fill="FFFFFF"/>
                    </w:rPr>
                    <w:t>本报告根据《河北省政务公开办公室关于做好政府信息公开工作年度报告有关事项的通知》要求，由</w:t>
                  </w:r>
                  <w:r>
                    <w:rPr>
                      <w:rFonts w:hint="eastAsia" w:ascii="仿宋" w:hAnsi="仿宋" w:eastAsia="仿宋" w:cs="仿宋"/>
                      <w:i w:val="0"/>
                      <w:caps w:val="0"/>
                      <w:color w:val="000000"/>
                      <w:spacing w:val="0"/>
                      <w:sz w:val="32"/>
                      <w:szCs w:val="32"/>
                      <w:shd w:val="clear" w:fill="FFFFFF"/>
                      <w:lang w:eastAsia="zh-CN"/>
                    </w:rPr>
                    <w:t>阜平县</w:t>
                  </w:r>
                  <w:r>
                    <w:rPr>
                      <w:rFonts w:hint="eastAsia" w:ascii="仿宋" w:hAnsi="仿宋" w:eastAsia="仿宋" w:cs="仿宋"/>
                      <w:i w:val="0"/>
                      <w:caps w:val="0"/>
                      <w:color w:val="000000"/>
                      <w:spacing w:val="0"/>
                      <w:sz w:val="32"/>
                      <w:szCs w:val="32"/>
                      <w:shd w:val="clear" w:fill="FFFFFF"/>
                    </w:rPr>
                    <w:t>人力资源和社会保障局编制，所列数据统计期限为2019年1月1日至2019年12月31日。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仿宋" w:hAnsi="仿宋" w:eastAsia="仿宋" w:cs="仿宋"/>
                      <w:i w:val="0"/>
                      <w:caps w:val="0"/>
                      <w:color w:val="000000"/>
                      <w:spacing w:val="0"/>
                      <w:sz w:val="32"/>
                      <w:szCs w:val="32"/>
                      <w:shd w:val="clear" w:fill="FFFFFF"/>
                    </w:rPr>
                    <w:t xml:space="preserve">    </w:t>
                  </w:r>
                  <w:r>
                    <w:rPr>
                      <w:rFonts w:hint="eastAsia" w:ascii="仿宋" w:hAnsi="仿宋" w:eastAsia="仿宋" w:cs="仿宋"/>
                      <w:i w:val="0"/>
                      <w:caps w:val="0"/>
                      <w:color w:val="000000"/>
                      <w:spacing w:val="0"/>
                      <w:sz w:val="32"/>
                      <w:szCs w:val="32"/>
                      <w:shd w:val="clear" w:fill="FFFFFF"/>
                      <w:lang w:val="en-US" w:eastAsia="zh-CN"/>
                    </w:rPr>
                    <w:t xml:space="preserve"> </w:t>
                  </w:r>
                  <w:r>
                    <w:rPr>
                      <w:rFonts w:hint="eastAsia" w:ascii="仿宋" w:hAnsi="仿宋" w:eastAsia="仿宋" w:cs="仿宋"/>
                      <w:i w:val="0"/>
                      <w:caps w:val="0"/>
                      <w:color w:val="000000"/>
                      <w:spacing w:val="0"/>
                      <w:sz w:val="32"/>
                      <w:szCs w:val="32"/>
                      <w:shd w:val="clear" w:fill="FFFFFF"/>
                    </w:rPr>
                    <w:t>2019年，本单位主动公开政府信息</w:t>
                  </w:r>
                  <w:r>
                    <w:rPr>
                      <w:rFonts w:hint="eastAsia" w:ascii="仿宋" w:hAnsi="仿宋" w:eastAsia="仿宋" w:cs="仿宋"/>
                      <w:i w:val="0"/>
                      <w:caps w:val="0"/>
                      <w:color w:val="000000"/>
                      <w:spacing w:val="0"/>
                      <w:sz w:val="32"/>
                      <w:szCs w:val="32"/>
                      <w:shd w:val="clear" w:fill="FFFFFF"/>
                      <w:lang w:val="en-US" w:eastAsia="zh-CN"/>
                    </w:rPr>
                    <w:t>60</w:t>
                  </w:r>
                  <w:r>
                    <w:rPr>
                      <w:rFonts w:hint="eastAsia" w:ascii="仿宋" w:hAnsi="仿宋" w:eastAsia="仿宋" w:cs="仿宋"/>
                      <w:i w:val="0"/>
                      <w:caps w:val="0"/>
                      <w:color w:val="000000"/>
                      <w:spacing w:val="0"/>
                      <w:sz w:val="32"/>
                      <w:szCs w:val="32"/>
                      <w:shd w:val="clear" w:fill="FFFFFF"/>
                    </w:rPr>
                    <w:t>条，内容涵盖政策法规、工作动态</w:t>
                  </w:r>
                  <w:r>
                    <w:rPr>
                      <w:rFonts w:hint="eastAsia" w:ascii="仿宋" w:hAnsi="仿宋" w:eastAsia="仿宋" w:cs="仿宋"/>
                      <w:i w:val="0"/>
                      <w:caps w:val="0"/>
                      <w:color w:val="000000"/>
                      <w:spacing w:val="0"/>
                      <w:sz w:val="32"/>
                      <w:szCs w:val="32"/>
                      <w:shd w:val="clear" w:fill="FFFFFF"/>
                      <w:lang w:eastAsia="zh-CN"/>
                    </w:rPr>
                    <w:t>、财政财务</w:t>
                  </w:r>
                  <w:r>
                    <w:rPr>
                      <w:rFonts w:hint="eastAsia" w:ascii="仿宋" w:hAnsi="仿宋" w:eastAsia="仿宋" w:cs="仿宋"/>
                      <w:i w:val="0"/>
                      <w:caps w:val="0"/>
                      <w:color w:val="000000"/>
                      <w:spacing w:val="0"/>
                      <w:sz w:val="32"/>
                      <w:szCs w:val="32"/>
                      <w:shd w:val="clear" w:fill="FFFFFF"/>
                    </w:rPr>
                    <w:t>等各类信息。公开内容包括修订完善了本单位政府信息公开目录和指南、主要职责、机构设置、班子成员工作分工、财务预（决）算等信息。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宋体" w:hAnsi="宋体" w:eastAsia="宋体" w:cs="宋体"/>
                      <w:b/>
                      <w:color w:val="333333"/>
                      <w:sz w:val="21"/>
                      <w:szCs w:val="21"/>
                      <w:shd w:val="clear" w:fill="FFFFFF"/>
                    </w:rPr>
                    <w:t>   </w:t>
                  </w:r>
                  <w:r>
                    <w:rPr>
                      <w:rFonts w:hint="eastAsia" w:ascii="黑体" w:hAnsi="黑体" w:eastAsia="黑体" w:cs="黑体"/>
                      <w:b/>
                      <w:color w:val="333333"/>
                      <w:sz w:val="32"/>
                      <w:szCs w:val="32"/>
                      <w:shd w:val="clear" w:fill="FFFFFF"/>
                    </w:rPr>
                    <w:t xml:space="preserve"> 二、主动公开政府信息情况</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113"/>
                    <w:gridCol w:w="1869"/>
                    <w:gridCol w:w="1277"/>
                    <w:gridCol w:w="18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5"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信息内容</w:t>
                        </w:r>
                      </w:p>
                    </w:tc>
                    <w:tc>
                      <w:tcPr>
                        <w:tcW w:w="186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本年新</w:t>
                        </w:r>
                        <w:r>
                          <w:rPr>
                            <w:rFonts w:hint="eastAsia" w:ascii="仿宋" w:hAnsi="仿宋" w:eastAsia="仿宋" w:cs="仿宋"/>
                            <w:color w:val="000000"/>
                            <w:kern w:val="0"/>
                            <w:sz w:val="28"/>
                            <w:szCs w:val="28"/>
                            <w:lang w:val="en-US" w:eastAsia="zh-CN" w:bidi="ar"/>
                          </w:rPr>
                          <w:br w:type="textWrapping"/>
                        </w:r>
                        <w:r>
                          <w:rPr>
                            <w:rFonts w:hint="eastAsia" w:ascii="仿宋" w:hAnsi="仿宋" w:eastAsia="仿宋" w:cs="仿宋"/>
                            <w:kern w:val="0"/>
                            <w:sz w:val="28"/>
                            <w:szCs w:val="28"/>
                            <w:lang w:val="en-US" w:eastAsia="zh-CN" w:bidi="ar"/>
                          </w:rPr>
                          <w:t>制作数量</w:t>
                        </w:r>
                      </w:p>
                    </w:tc>
                    <w:tc>
                      <w:tcPr>
                        <w:tcW w:w="127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本年新</w:t>
                        </w:r>
                        <w:r>
                          <w:rPr>
                            <w:rFonts w:hint="eastAsia" w:ascii="仿宋" w:hAnsi="仿宋" w:eastAsia="仿宋" w:cs="仿宋"/>
                            <w:color w:val="000000"/>
                            <w:kern w:val="0"/>
                            <w:sz w:val="28"/>
                            <w:szCs w:val="28"/>
                            <w:lang w:val="en-US" w:eastAsia="zh-CN" w:bidi="ar"/>
                          </w:rPr>
                          <w:br w:type="textWrapping"/>
                        </w:r>
                        <w:r>
                          <w:rPr>
                            <w:rFonts w:hint="eastAsia" w:ascii="仿宋" w:hAnsi="仿宋" w:eastAsia="仿宋" w:cs="仿宋"/>
                            <w:kern w:val="0"/>
                            <w:sz w:val="28"/>
                            <w:szCs w:val="28"/>
                            <w:lang w:val="en-US" w:eastAsia="zh-CN" w:bidi="ar"/>
                          </w:rPr>
                          <w:t>公开数量</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规章</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规范性文件</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信息内容</w:t>
                        </w:r>
                      </w:p>
                    </w:tc>
                    <w:tc>
                      <w:tcPr>
                        <w:tcW w:w="186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上一年项目数量</w:t>
                        </w:r>
                      </w:p>
                    </w:tc>
                    <w:tc>
                      <w:tcPr>
                        <w:tcW w:w="127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sz w:val="28"/>
                            <w:szCs w:val="28"/>
                          </w:rPr>
                          <w:t>本年增/减</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行政许可</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其他对外管理服务事项</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0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信息内容</w:t>
                        </w:r>
                      </w:p>
                    </w:tc>
                    <w:tc>
                      <w:tcPr>
                        <w:tcW w:w="186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上一年项目数量</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本年增/减</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行政处罚</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行政强制</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277"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1881"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4"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信息内容</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上一年项目数量</w:t>
                        </w:r>
                      </w:p>
                    </w:tc>
                    <w:tc>
                      <w:tcPr>
                        <w:tcW w:w="3158"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本年增/减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行政事业性收费</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3158"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信息内容</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采购项目数量</w:t>
                        </w:r>
                      </w:p>
                    </w:tc>
                    <w:tc>
                      <w:tcPr>
                        <w:tcW w:w="3158" w:type="dxa"/>
                        <w:gridSpan w:val="2"/>
                        <w:tcBorders>
                          <w:top w:val="single" w:color="auto" w:sz="8" w:space="0"/>
                          <w:left w:val="nil"/>
                          <w:bottom w:val="single" w:color="auto" w:sz="8" w:space="0"/>
                          <w:right w:val="single" w:color="000000"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3113"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政府集中采购</w:t>
                        </w:r>
                      </w:p>
                    </w:tc>
                    <w:tc>
                      <w:tcPr>
                        <w:tcW w:w="186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lang w:val="en-US"/>
                          </w:rPr>
                        </w:pPr>
                        <w:r>
                          <w:rPr>
                            <w:rFonts w:hint="eastAsia" w:ascii="仿宋" w:hAnsi="仿宋" w:eastAsia="仿宋" w:cs="仿宋"/>
                            <w:kern w:val="0"/>
                            <w:sz w:val="28"/>
                            <w:szCs w:val="28"/>
                            <w:lang w:val="en-US" w:eastAsia="zh-CN" w:bidi="ar"/>
                          </w:rPr>
                          <w:t>　0</w:t>
                        </w:r>
                      </w:p>
                    </w:tc>
                    <w:tc>
                      <w:tcPr>
                        <w:tcW w:w="3158" w:type="dxa"/>
                        <w:gridSpan w:val="2"/>
                        <w:tcBorders>
                          <w:top w:val="nil"/>
                          <w:left w:val="nil"/>
                          <w:bottom w:val="single" w:color="auto" w:sz="8" w:space="0"/>
                          <w:right w:val="single" w:color="000000"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ascii="宋体" w:hAnsi="宋体" w:eastAsia="宋体" w:cs="宋体"/>
                      <w:sz w:val="18"/>
                      <w:szCs w:val="18"/>
                    </w:rPr>
                  </w:pPr>
                  <w:r>
                    <w:rPr>
                      <w:rFonts w:hint="eastAsia" w:ascii="宋体" w:hAnsi="宋体" w:eastAsia="宋体" w:cs="宋体"/>
                      <w:color w:val="333333"/>
                      <w:kern w:val="0"/>
                      <w:sz w:val="24"/>
                      <w:szCs w:val="24"/>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宋体" w:hAnsi="宋体" w:eastAsia="宋体" w:cs="宋体"/>
                      <w:b/>
                      <w:color w:val="333333"/>
                      <w:sz w:val="24"/>
                      <w:szCs w:val="24"/>
                      <w:shd w:val="clear" w:fill="FFFFFF"/>
                    </w:rPr>
                    <w:t xml:space="preserve">    </w:t>
                  </w:r>
                  <w:r>
                    <w:rPr>
                      <w:rFonts w:hint="eastAsia" w:ascii="黑体" w:hAnsi="黑体" w:eastAsia="黑体" w:cs="黑体"/>
                      <w:b/>
                      <w:color w:val="333333"/>
                      <w:sz w:val="32"/>
                      <w:szCs w:val="32"/>
                      <w:shd w:val="clear" w:fill="FFFFFF"/>
                    </w:rPr>
                    <w:t>三、收到和处理政府信息公开申请情况</w:t>
                  </w:r>
                </w:p>
                <w:tbl>
                  <w:tblPr>
                    <w:tblStyle w:val="3"/>
                    <w:tblW w:w="90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76"/>
                    <w:gridCol w:w="1056"/>
                    <w:gridCol w:w="1945"/>
                    <w:gridCol w:w="780"/>
                    <w:gridCol w:w="727"/>
                    <w:gridCol w:w="727"/>
                    <w:gridCol w:w="780"/>
                    <w:gridCol w:w="923"/>
                    <w:gridCol w:w="689"/>
                    <w:gridCol w:w="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558"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（本列数据的勾稽关系为：第一项加第二项之和，等于第三项加第四项之和）</w:t>
                        </w:r>
                      </w:p>
                    </w:tc>
                    <w:tc>
                      <w:tcPr>
                        <w:tcW w:w="5513"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55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1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自然人</w:t>
                        </w:r>
                      </w:p>
                    </w:tc>
                    <w:tc>
                      <w:tcPr>
                        <w:tcW w:w="401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法人或其他组织</w:t>
                        </w:r>
                      </w:p>
                    </w:tc>
                    <w:tc>
                      <w:tcPr>
                        <w:tcW w:w="689"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55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1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商业企业</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科研机构</w:t>
                        </w:r>
                      </w:p>
                    </w:tc>
                    <w:tc>
                      <w:tcPr>
                        <w:tcW w:w="81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社会公益组织</w:t>
                        </w:r>
                      </w:p>
                    </w:tc>
                    <w:tc>
                      <w:tcPr>
                        <w:tcW w:w="97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法律服务机构</w:t>
                        </w:r>
                      </w:p>
                    </w:tc>
                    <w:tc>
                      <w:tcPr>
                        <w:tcW w:w="71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其他</w:t>
                        </w:r>
                      </w:p>
                    </w:tc>
                    <w:tc>
                      <w:tcPr>
                        <w:tcW w:w="689"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55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一、本年新收政府信息公开申请数量</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55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二、上年结转政府信息公开申请数量</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三、本年度办理结果</w:t>
                        </w: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（一）予以公开</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（二）部分公开（区分处理的，只计这一情形，不计其他情形）</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（三）不予公开</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1.属于国家秘密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2.其他法律行政法规禁止公开</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3.危及“三安全一稳定”</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4.保护第三方合法权益</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5.属于三类内部事务信息</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6.属于四类过程性信息</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7.属于行政执法案卷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8.属于行政查询事项</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6"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（四）无法提供</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1.本机关不掌握相关政府信息</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6"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2.没有现成信息需要另行制作</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46" w:hRule="atLeast"/>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3.补正后申请内容仍不明确</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（五）不予处理</w:t>
                        </w: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1.信访举报投诉类申请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2.重复申请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3.要求提供公开出版物</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4.无正当理由大量反复申请</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85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08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5.要求行政机关确认或重新出具已获取信息</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（六）其他处理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618"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2940"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（七）总计</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55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四、结转下年度继续办理</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5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81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97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712"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89"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bl>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宋体" w:hAnsi="宋体" w:eastAsia="宋体" w:cs="宋体"/>
                      <w:sz w:val="18"/>
                      <w:szCs w:val="18"/>
                    </w:rPr>
                  </w:pPr>
                  <w:r>
                    <w:rPr>
                      <w:rFonts w:hint="eastAsia" w:ascii="宋体" w:hAnsi="宋体" w:eastAsia="宋体" w:cs="宋体"/>
                      <w:color w:val="333333"/>
                      <w:kern w:val="0"/>
                      <w:sz w:val="24"/>
                      <w:szCs w:val="24"/>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宋体" w:hAnsi="宋体" w:eastAsia="宋体" w:cs="宋体"/>
                      <w:b/>
                      <w:color w:val="333333"/>
                      <w:sz w:val="24"/>
                      <w:szCs w:val="24"/>
                      <w:shd w:val="clear" w:fill="FFFFFF"/>
                    </w:rPr>
                    <w:t>   </w:t>
                  </w:r>
                  <w:r>
                    <w:rPr>
                      <w:rFonts w:hint="eastAsia" w:ascii="黑体" w:hAnsi="黑体" w:eastAsia="黑体" w:cs="黑体"/>
                      <w:b/>
                      <w:color w:val="333333"/>
                      <w:sz w:val="32"/>
                      <w:szCs w:val="32"/>
                      <w:shd w:val="clear" w:fill="FFFFFF"/>
                    </w:rPr>
                    <w:t xml:space="preserve"> 四、政府信息公开行政复议、行政诉讼情况</w:t>
                  </w:r>
                  <w:r>
                    <w:rPr>
                      <w:rFonts w:hint="eastAsia" w:ascii="黑体" w:hAnsi="黑体" w:eastAsia="黑体" w:cs="黑体"/>
                      <w:color w:val="333333"/>
                      <w:sz w:val="32"/>
                      <w:szCs w:val="32"/>
                    </w:rPr>
                    <w:t> </w:t>
                  </w: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hint="eastAsia" w:ascii="仿宋" w:hAnsi="仿宋" w:eastAsia="仿宋" w:cs="仿宋"/>
                            <w:sz w:val="28"/>
                            <w:szCs w:val="28"/>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其他结果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尚未审结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其他结果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color w:val="000000"/>
                            <w:kern w:val="0"/>
                            <w:sz w:val="28"/>
                            <w:szCs w:val="28"/>
                            <w:lang w:val="en-US" w:eastAsia="zh-CN" w:bidi="ar"/>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 w:hAnsi="仿宋" w:eastAsia="仿宋" w:cs="仿宋"/>
                            <w:sz w:val="28"/>
                            <w:szCs w:val="28"/>
                          </w:rPr>
                        </w:pPr>
                        <w:r>
                          <w:rPr>
                            <w:rFonts w:hint="eastAsia" w:ascii="仿宋" w:hAnsi="仿宋" w:eastAsia="仿宋" w:cs="仿宋"/>
                            <w:kern w:val="0"/>
                            <w:sz w:val="28"/>
                            <w:szCs w:val="28"/>
                            <w:lang w:val="en-US" w:eastAsia="zh-CN" w:bidi="ar"/>
                          </w:rPr>
                          <w:t>0</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宋体" w:hAnsi="宋体" w:eastAsia="宋体" w:cs="宋体"/>
                      <w:b/>
                      <w:color w:val="333333"/>
                      <w:sz w:val="24"/>
                      <w:szCs w:val="24"/>
                      <w:shd w:val="clear" w:fill="FFFFFF"/>
                    </w:rPr>
                    <w:t>  </w:t>
                  </w:r>
                  <w:r>
                    <w:rPr>
                      <w:rFonts w:hint="eastAsia" w:ascii="黑体" w:hAnsi="黑体" w:eastAsia="黑体" w:cs="黑体"/>
                      <w:b/>
                      <w:color w:val="333333"/>
                      <w:sz w:val="32"/>
                      <w:szCs w:val="32"/>
                      <w:shd w:val="clear" w:fill="FFFFFF"/>
                    </w:rPr>
                    <w:t> </w:t>
                  </w:r>
                  <w:r>
                    <w:rPr>
                      <w:rFonts w:hint="eastAsia" w:ascii="黑体" w:hAnsi="黑体" w:eastAsia="黑体" w:cs="黑体"/>
                      <w:b/>
                      <w:color w:val="333333"/>
                      <w:sz w:val="32"/>
                      <w:szCs w:val="32"/>
                      <w:shd w:val="clear" w:fill="FFFFFF"/>
                    </w:rPr>
                    <w:t xml:space="preserve"> 五、存在的主要问题及改进情况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仿宋" w:hAnsi="仿宋" w:eastAsia="仿宋" w:cs="仿宋"/>
                      <w:sz w:val="32"/>
                      <w:szCs w:val="32"/>
                    </w:rPr>
                  </w:pPr>
                  <w:r>
                    <w:rPr>
                      <w:rFonts w:hint="eastAsia" w:ascii="宋体" w:hAnsi="宋体" w:eastAsia="宋体" w:cs="宋体"/>
                      <w:i w:val="0"/>
                      <w:caps w:val="0"/>
                      <w:color w:val="000000"/>
                      <w:spacing w:val="0"/>
                      <w:sz w:val="21"/>
                      <w:szCs w:val="21"/>
                      <w:shd w:val="clear" w:fill="FFFFFF"/>
                    </w:rPr>
                    <w:t> </w:t>
                  </w:r>
                  <w:r>
                    <w:rPr>
                      <w:rFonts w:hint="eastAsia" w:ascii="仿宋" w:hAnsi="仿宋" w:eastAsia="仿宋" w:cs="仿宋"/>
                      <w:i w:val="0"/>
                      <w:caps w:val="0"/>
                      <w:color w:val="000000"/>
                      <w:spacing w:val="0"/>
                      <w:sz w:val="32"/>
                      <w:szCs w:val="32"/>
                      <w:shd w:val="clear" w:fill="FFFFFF"/>
                    </w:rPr>
                    <w:t xml:space="preserve"> </w:t>
                  </w:r>
                  <w:r>
                    <w:rPr>
                      <w:rFonts w:hint="eastAsia" w:ascii="仿宋" w:hAnsi="仿宋" w:eastAsia="仿宋" w:cs="仿宋"/>
                      <w:i w:val="0"/>
                      <w:caps w:val="0"/>
                      <w:color w:val="000000"/>
                      <w:spacing w:val="0"/>
                      <w:sz w:val="32"/>
                      <w:szCs w:val="32"/>
                      <w:shd w:val="clear" w:fill="FFFFFF"/>
                      <w:lang w:val="en-US" w:eastAsia="zh-CN"/>
                    </w:rPr>
                    <w:t xml:space="preserve">  </w:t>
                  </w:r>
                  <w:r>
                    <w:rPr>
                      <w:rFonts w:hint="eastAsia" w:ascii="仿宋" w:hAnsi="仿宋" w:eastAsia="仿宋" w:cs="仿宋"/>
                      <w:i w:val="0"/>
                      <w:caps w:val="0"/>
                      <w:color w:val="000000"/>
                      <w:spacing w:val="0"/>
                      <w:sz w:val="32"/>
                      <w:szCs w:val="32"/>
                      <w:shd w:val="clear" w:fill="FFFFFF"/>
                    </w:rPr>
                    <w:t>一是政务公开业务能力仍需提高；二是公开形式需要进一步优化，与公众互动交流的能力需加强。2020年，我局将继续按照《条例》的工作要求，认真做好信息公开工作。拓展公开内容，加大主动公开力度，及时更新工作动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黑体" w:hAnsi="黑体" w:eastAsia="黑体" w:cs="黑体"/>
                      <w:sz w:val="32"/>
                      <w:szCs w:val="32"/>
                    </w:rPr>
                  </w:pPr>
                  <w:r>
                    <w:rPr>
                      <w:rFonts w:hint="eastAsia" w:ascii="仿宋" w:hAnsi="仿宋" w:eastAsia="仿宋" w:cs="仿宋"/>
                      <w:b/>
                      <w:color w:val="333333"/>
                      <w:sz w:val="32"/>
                      <w:szCs w:val="32"/>
                      <w:shd w:val="clear" w:fill="FFFFFF"/>
                    </w:rPr>
                    <w:t xml:space="preserve">    </w:t>
                  </w:r>
                  <w:r>
                    <w:rPr>
                      <w:rFonts w:hint="eastAsia" w:ascii="仿宋" w:hAnsi="仿宋" w:eastAsia="仿宋" w:cs="仿宋"/>
                      <w:b/>
                      <w:color w:val="333333"/>
                      <w:sz w:val="32"/>
                      <w:szCs w:val="32"/>
                      <w:shd w:val="clear" w:fill="FFFFFF"/>
                      <w:lang w:val="en-US" w:eastAsia="zh-CN"/>
                    </w:rPr>
                    <w:t xml:space="preserve"> </w:t>
                  </w:r>
                  <w:r>
                    <w:rPr>
                      <w:rFonts w:hint="eastAsia" w:ascii="黑体" w:hAnsi="黑体" w:eastAsia="黑体" w:cs="黑体"/>
                      <w:b/>
                      <w:color w:val="333333"/>
                      <w:sz w:val="32"/>
                      <w:szCs w:val="32"/>
                      <w:shd w:val="clear" w:fill="FFFFFF"/>
                    </w:rPr>
                    <w:t>六、其他需要报告的事项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sz w:val="21"/>
                      <w:szCs w:val="21"/>
                    </w:rPr>
                  </w:pPr>
                  <w:r>
                    <w:rPr>
                      <w:rFonts w:hint="eastAsia" w:ascii="仿宋" w:hAnsi="仿宋" w:eastAsia="仿宋" w:cs="仿宋"/>
                      <w:i w:val="0"/>
                      <w:caps w:val="0"/>
                      <w:color w:val="000000"/>
                      <w:spacing w:val="0"/>
                      <w:sz w:val="32"/>
                      <w:szCs w:val="32"/>
                      <w:shd w:val="clear" w:fill="FFFFFF"/>
                    </w:rPr>
                    <w:t>     无其他需要报告的事项。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0" w:type="auto"/>
                  <w:tcBorders>
                    <w:top w:val="nil"/>
                    <w:left w:val="nil"/>
                    <w:bottom w:val="nil"/>
                    <w:right w:val="nil"/>
                  </w:tcBorders>
                  <w:shd w:val="clear" w:color="auto" w:fill="auto"/>
                  <w:tcMar>
                    <w:top w:w="0" w:type="dxa"/>
                    <w:left w:w="0" w:type="dxa"/>
                    <w:bottom w:w="0" w:type="dxa"/>
                    <w:right w:w="0"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rFonts w:hint="default" w:ascii="宋体" w:hAnsi="宋体" w:eastAsia="宋体" w:cs="宋体"/>
                      <w:i w:val="0"/>
                      <w:caps w:val="0"/>
                      <w:color w:val="000000"/>
                      <w:spacing w:val="0"/>
                      <w:sz w:val="21"/>
                      <w:szCs w:val="21"/>
                      <w:shd w:val="clear" w:fill="FFFFFF"/>
                      <w:lang w:val="en-US" w:eastAsia="zh-CN"/>
                    </w:rPr>
                  </w:pPr>
                  <w:r>
                    <w:rPr>
                      <w:rFonts w:hint="eastAsia" w:ascii="仿宋" w:hAnsi="仿宋" w:eastAsia="仿宋" w:cs="仿宋"/>
                      <w:i w:val="0"/>
                      <w:caps w:val="0"/>
                      <w:color w:val="000000"/>
                      <w:spacing w:val="0"/>
                      <w:sz w:val="32"/>
                      <w:szCs w:val="32"/>
                      <w:shd w:val="clear" w:fill="FFFFFF"/>
                      <w:lang w:val="en-US" w:eastAsia="zh-CN"/>
                    </w:rPr>
                    <w:t>2020年1月13日</w:t>
                  </w:r>
                </w:p>
              </w:tc>
            </w:tr>
          </w:tbl>
          <w:p>
            <w:pPr>
              <w:spacing w:before="0" w:beforeAutospacing="0" w:after="0" w:afterAutospacing="0" w:line="420" w:lineRule="atLeast"/>
              <w:ind w:left="0" w:right="0"/>
              <w:jc w:val="left"/>
              <w:rPr>
                <w:rFonts w:hint="eastAsia" w:ascii="宋体" w:hAnsi="宋体" w:eastAsia="宋体" w:cs="宋体"/>
                <w:i w:val="0"/>
                <w:caps w:val="0"/>
                <w:color w:val="000000"/>
                <w:spacing w:val="0"/>
                <w:sz w:val="18"/>
                <w:szCs w:val="18"/>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225C5"/>
    <w:rsid w:val="05F4629C"/>
    <w:rsid w:val="0700387F"/>
    <w:rsid w:val="18802B10"/>
    <w:rsid w:val="30EB7420"/>
    <w:rsid w:val="3D5D0973"/>
    <w:rsid w:val="42C25727"/>
    <w:rsid w:val="46CF6F40"/>
    <w:rsid w:val="4B9A55A2"/>
    <w:rsid w:val="51E35DEC"/>
    <w:rsid w:val="59155C50"/>
    <w:rsid w:val="606D1DBB"/>
    <w:rsid w:val="6EBE2327"/>
    <w:rsid w:val="7B150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2020-03-24T03:17:01Z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