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仿宋_GB2312" w:cs="方正小标宋简体"/>
          <w:b w:val="0"/>
          <w:bCs w:val="0"/>
          <w:sz w:val="44"/>
          <w:szCs w:val="44"/>
          <w:lang w:val="en-US" w:eastAsia="zh-CN"/>
        </w:rPr>
      </w:pPr>
      <w:r>
        <w:rPr>
          <w:rFonts w:hint="eastAsia" w:ascii="仿宋_GB2312" w:hAnsi="仿宋" w:eastAsia="仿宋_GB2312" w:cs="仿宋"/>
          <w:spacing w:val="0"/>
          <w:kern w:val="0"/>
          <w:sz w:val="32"/>
          <w:szCs w:val="32"/>
        </w:rPr>
        <w:t>阜政〔202</w:t>
      </w:r>
      <w:r>
        <w:rPr>
          <w:rFonts w:hint="eastAsia" w:ascii="仿宋_GB2312" w:hAnsi="仿宋" w:eastAsia="仿宋_GB2312" w:cs="仿宋"/>
          <w:spacing w:val="0"/>
          <w:kern w:val="0"/>
          <w:sz w:val="32"/>
          <w:szCs w:val="32"/>
          <w:lang w:val="en-US" w:eastAsia="zh-CN"/>
        </w:rPr>
        <w:t>4</w:t>
      </w:r>
      <w:r>
        <w:rPr>
          <w:rFonts w:hint="eastAsia" w:ascii="仿宋_GB2312" w:hAnsi="仿宋" w:eastAsia="仿宋_GB2312" w:cs="仿宋"/>
          <w:spacing w:val="0"/>
          <w:kern w:val="0"/>
          <w:sz w:val="32"/>
          <w:szCs w:val="32"/>
        </w:rPr>
        <w:t>〕</w:t>
      </w:r>
      <w:r>
        <w:rPr>
          <w:rFonts w:hint="eastAsia" w:ascii="仿宋_GB2312" w:hAnsi="仿宋" w:eastAsia="仿宋_GB2312" w:cs="仿宋"/>
          <w:spacing w:val="0"/>
          <w:kern w:val="0"/>
          <w:sz w:val="32"/>
          <w:szCs w:val="32"/>
          <w:lang w:val="en-US" w:eastAsia="zh-CN"/>
        </w:rPr>
        <w:t>22号</w:t>
      </w:r>
    </w:p>
    <w:p>
      <w:pPr>
        <w:pStyle w:val="2"/>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方正小标宋简体" w:eastAsia="方正小标宋简体"/>
          <w:sz w:val="44"/>
          <w:lang w:eastAsia="zh-CN"/>
        </w:rPr>
      </w:pPr>
      <w:r>
        <w:rPr>
          <w:rFonts w:hint="eastAsia" w:hAnsi="方正小标宋简体" w:eastAsia="方正小标宋简体"/>
          <w:sz w:val="44"/>
          <w:lang w:eastAsia="zh-CN"/>
        </w:rPr>
        <w:t>阜平县人民政府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关于公布《阜平县下放乡镇行政处罚事项清单》的通知</w:t>
      </w:r>
    </w:p>
    <w:p>
      <w:pPr>
        <w:keepNext w:val="0"/>
        <w:keepLines w:val="0"/>
        <w:pageBreakBefore w:val="0"/>
        <w:widowControl w:val="0"/>
        <w:tabs>
          <w:tab w:val="left" w:pos="7740"/>
        </w:tabs>
        <w:kinsoku/>
        <w:wordWrap/>
        <w:overflowPunct/>
        <w:topLinePunct w:val="0"/>
        <w:autoSpaceDE/>
        <w:autoSpaceDN/>
        <w:bidi w:val="0"/>
        <w:adjustRightInd/>
        <w:snapToGrid/>
        <w:spacing w:line="560" w:lineRule="exact"/>
        <w:textAlignment w:val="auto"/>
        <w:rPr>
          <w:rFonts w:hint="eastAsia" w:ascii="仿宋_GB2312" w:hAnsi="仿宋" w:eastAsia="仿宋_GB2312" w:cs="仿宋"/>
          <w:color w:val="000000"/>
          <w:kern w:val="0"/>
          <w:sz w:val="32"/>
          <w:szCs w:val="32"/>
          <w:lang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各乡镇人民政府，县政府有关部门：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根据《中华人民共和国行政处罚法》《河北省乡镇和街道综合行政执法条例》有关规定，按照河北省人民政府办公厅关于公布《河北省乡镇和街道行政处罚事项赋权指导清单（2024年版）》的通知（冀政办字</w:t>
      </w:r>
      <w:r>
        <w:rPr>
          <w:rFonts w:hint="eastAsia" w:ascii="仿宋" w:hAnsi="仿宋" w:eastAsia="仿宋" w:cs="仿宋"/>
          <w:sz w:val="32"/>
          <w:szCs w:val="32"/>
          <w:u w:val="none"/>
          <w:lang w:val="en-US" w:eastAsia="zh-CN"/>
        </w:rPr>
        <w:t>〔2024〕72号</w:t>
      </w:r>
      <w:r>
        <w:rPr>
          <w:rFonts w:hint="eastAsia" w:ascii="仿宋_GB2312" w:hAnsi="仿宋_GB2312" w:eastAsia="仿宋_GB2312" w:cs="仿宋_GB2312"/>
          <w:sz w:val="32"/>
          <w:szCs w:val="32"/>
          <w:u w:val="none"/>
          <w:lang w:val="en-US" w:eastAsia="zh-CN"/>
        </w:rPr>
        <w:t>）要求，现将《阜平县下放乡镇行政处罚事项清单》印发给你们，请认真抓好贯彻落实。此《下放事项清单》于2025年1月1日实施。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附件：《阜平县下放乡镇行政处罚事项清单》</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jc w:val="left"/>
        <w:textAlignment w:val="auto"/>
        <w:outlineLvl w:val="9"/>
        <w:rPr>
          <w:rFonts w:hint="eastAsia" w:ascii="仿宋_GB2312" w:hAnsi="仿宋_GB2312" w:eastAsia="仿宋_GB2312" w:cs="仿宋_GB2312"/>
          <w:spacing w:val="0"/>
          <w:w w:val="100"/>
          <w:kern w:val="0"/>
          <w:sz w:val="32"/>
          <w:szCs w:val="32"/>
          <w:u w:val="none"/>
          <w:lang w:val="en-US" w:eastAsia="zh-CN"/>
        </w:rPr>
      </w:pPr>
      <w:r>
        <w:rPr>
          <w:rFonts w:hint="eastAsia" w:ascii="仿宋_GB2312" w:hAnsi="仿宋_GB2312" w:eastAsia="仿宋_GB2312" w:cs="仿宋_GB2312"/>
          <w:snapToGrid w:val="0"/>
          <w:spacing w:val="0"/>
          <w:w w:val="100"/>
          <w:kern w:val="0"/>
          <w:sz w:val="32"/>
          <w:szCs w:val="32"/>
          <w:u w:val="none"/>
          <w:lang w:val="en-US" w:eastAsia="zh-CN"/>
        </w:rPr>
        <w:t xml:space="preserve">                                 </w:t>
      </w:r>
      <w:r>
        <w:rPr>
          <w:rFonts w:hint="eastAsia" w:ascii="仿宋_GB2312" w:hAnsi="仿宋_GB2312" w:eastAsia="仿宋_GB2312" w:cs="仿宋_GB2312"/>
          <w:spacing w:val="11"/>
          <w:w w:val="100"/>
          <w:kern w:val="0"/>
          <w:sz w:val="32"/>
          <w:szCs w:val="32"/>
          <w:u w:val="none"/>
          <w:lang w:val="en-US" w:eastAsia="zh-CN"/>
        </w:rPr>
        <w:t xml:space="preserve">   阜平县人民政府</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z w:val="32"/>
          <w:szCs w:val="32"/>
          <w:u w:val="none"/>
          <w:lang w:val="en-US" w:eastAsia="zh-CN"/>
        </w:rPr>
        <w:t xml:space="preserve">                                   2024年12月31</w:t>
      </w:r>
      <w:r>
        <w:rPr>
          <w:rFonts w:hint="eastAsia" w:ascii="仿宋_GB2312" w:hAnsi="仿宋_GB2312" w:eastAsia="仿宋_GB2312" w:cs="仿宋_GB2312"/>
          <w:spacing w:val="11"/>
          <w:w w:val="100"/>
          <w:kern w:val="0"/>
          <w:sz w:val="32"/>
          <w:szCs w:val="32"/>
          <w:u w:val="none"/>
          <w:lang w:val="en-US" w:eastAsia="zh-CN"/>
        </w:rPr>
        <w:t>日</w:t>
      </w:r>
    </w:p>
    <w:p>
      <w:pPr>
        <w:pStyle w:val="2"/>
        <w:rPr>
          <w:rFonts w:hint="default"/>
          <w:lang w:val="en-US" w:eastAsia="zh-CN"/>
        </w:rPr>
      </w:pPr>
    </w:p>
    <w:p>
      <w:pPr>
        <w:spacing w:line="580" w:lineRule="exact"/>
        <w:rPr>
          <w:rFonts w:hint="eastAsia" w:eastAsia="黑体"/>
          <w:b/>
          <w:bCs/>
          <w:color w:val="000000"/>
          <w:kern w:val="0"/>
          <w:sz w:val="32"/>
          <w:szCs w:val="32"/>
          <w:lang w:val="en-US" w:eastAsia="zh-CN"/>
        </w:rPr>
      </w:pPr>
    </w:p>
    <w:p>
      <w:pPr>
        <w:spacing w:line="580" w:lineRule="exact"/>
        <w:rPr>
          <w:rFonts w:hint="eastAsia" w:eastAsia="黑体"/>
          <w:b/>
          <w:bCs/>
          <w:color w:val="000000"/>
          <w:kern w:val="0"/>
          <w:sz w:val="32"/>
          <w:szCs w:val="32"/>
          <w:lang w:val="en-US" w:eastAsia="zh-CN"/>
        </w:rPr>
      </w:pPr>
      <w:r>
        <w:rPr>
          <w:rFonts w:hint="eastAsia" w:eastAsia="黑体"/>
          <w:b/>
          <w:bCs/>
          <w:color w:val="000000"/>
          <w:kern w:val="0"/>
          <w:sz w:val="32"/>
          <w:szCs w:val="32"/>
          <w:lang w:val="en-US" w:eastAsia="zh-CN"/>
        </w:rPr>
        <w:t>附件</w:t>
      </w:r>
    </w:p>
    <w:p>
      <w:pPr>
        <w:spacing w:line="580" w:lineRule="exact"/>
        <w:jc w:val="center"/>
        <w:rPr>
          <w:rFonts w:eastAsia="方正小标宋简体"/>
          <w:b/>
          <w:bCs/>
          <w:sz w:val="32"/>
          <w:szCs w:val="32"/>
        </w:rPr>
      </w:pPr>
      <w:r>
        <w:rPr>
          <w:rFonts w:hint="eastAsia" w:eastAsia="方正小标宋简体"/>
          <w:b/>
          <w:bCs/>
          <w:color w:val="000000"/>
          <w:kern w:val="0"/>
          <w:sz w:val="44"/>
          <w:szCs w:val="44"/>
          <w:lang w:val="en-US" w:eastAsia="zh-CN"/>
        </w:rPr>
        <w:t>阜平</w:t>
      </w:r>
      <w:r>
        <w:rPr>
          <w:rFonts w:eastAsia="方正小标宋简体"/>
          <w:b/>
          <w:bCs/>
          <w:color w:val="000000"/>
          <w:kern w:val="0"/>
          <w:sz w:val="44"/>
          <w:szCs w:val="44"/>
        </w:rPr>
        <w:t>县下放乡镇行政处罚事项清单</w:t>
      </w:r>
    </w:p>
    <w:tbl>
      <w:tblPr>
        <w:tblStyle w:val="9"/>
        <w:tblW w:w="9896" w:type="dxa"/>
        <w:jc w:val="center"/>
        <w:tblLayout w:type="autofit"/>
        <w:tblCellMar>
          <w:top w:w="0" w:type="dxa"/>
          <w:left w:w="108" w:type="dxa"/>
          <w:bottom w:w="0" w:type="dxa"/>
          <w:right w:w="108" w:type="dxa"/>
        </w:tblCellMar>
      </w:tblPr>
      <w:tblGrid>
        <w:gridCol w:w="725"/>
        <w:gridCol w:w="1246"/>
        <w:gridCol w:w="3973"/>
        <w:gridCol w:w="3952"/>
      </w:tblGrid>
      <w:tr>
        <w:tblPrEx>
          <w:tblCellMar>
            <w:top w:w="0" w:type="dxa"/>
            <w:left w:w="108" w:type="dxa"/>
            <w:bottom w:w="0" w:type="dxa"/>
            <w:right w:w="108" w:type="dxa"/>
          </w:tblCellMar>
        </w:tblPrEx>
        <w:trPr>
          <w:trHeight w:val="377" w:hRule="atLeast"/>
          <w:tblHeader/>
          <w:jc w:val="center"/>
        </w:trPr>
        <w:tc>
          <w:tcPr>
            <w:tcW w:w="725"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序号</w:t>
            </w:r>
          </w:p>
        </w:tc>
        <w:tc>
          <w:tcPr>
            <w:tcW w:w="1246"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领域类别</w:t>
            </w:r>
          </w:p>
        </w:tc>
        <w:tc>
          <w:tcPr>
            <w:tcW w:w="3973"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事项名称</w:t>
            </w:r>
          </w:p>
        </w:tc>
        <w:tc>
          <w:tcPr>
            <w:tcW w:w="3952"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设定依据</w:t>
            </w:r>
          </w:p>
        </w:tc>
      </w:tr>
      <w:tr>
        <w:tblPrEx>
          <w:tblCellMar>
            <w:top w:w="0" w:type="dxa"/>
            <w:left w:w="108" w:type="dxa"/>
            <w:bottom w:w="0" w:type="dxa"/>
            <w:right w:w="108" w:type="dxa"/>
          </w:tblCellMar>
        </w:tblPrEx>
        <w:trPr>
          <w:trHeight w:val="1391"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对栽培、整修或者其他作业遗留的渣土、枝叶等杂物，临街树木、绿篱、花坛（池）、草坪等管理单位或者个人逾期未清除的行政处罚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《河北省城市市容和环境卫生条例》（2023年11月30日修正）第十五条第二款</w:t>
            </w:r>
          </w:p>
        </w:tc>
      </w:tr>
      <w:tr>
        <w:tblPrEx>
          <w:tblCellMar>
            <w:top w:w="0" w:type="dxa"/>
            <w:left w:w="108" w:type="dxa"/>
            <w:bottom w:w="0" w:type="dxa"/>
            <w:right w:w="108" w:type="dxa"/>
          </w:tblCellMar>
        </w:tblPrEx>
        <w:trPr>
          <w:trHeight w:val="90"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2</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对未按规定利用悬挂物、充气装置、实物造型等载体设置广告或期满后未及时撤除，或者不及时整修、清洗、更换影响市容的户外广告牌或不予加固、拆除有安全隐患的广告牌、招牌的行政处罚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《河北省城市市容和环境卫生条例》（2023年11月30日修正）第十八条</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3</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对擅自在城市的道路两侧和公共场地堆放物料等行为的行政处罚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《河北省城市市容和环境卫生条例》（2023年11月30日修正）第二十二条第二款</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4</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对不按照规定清理垃圾、粪便、积雪的行政处罚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《河北省城市市容和环境卫生条例》（2023年11月30日修正）第三十二条</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5</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对从事车辆清洗、维修经营活动，未在室内进行，占用道路、绿地、公共场所等的行政处罚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《河北省城市市容和环境卫生条例》（2023年11月30日修正）第三十八条</w:t>
            </w:r>
          </w:p>
        </w:tc>
      </w:tr>
      <w:tr>
        <w:tblPrEx>
          <w:tblCellMar>
            <w:top w:w="0" w:type="dxa"/>
            <w:left w:w="108" w:type="dxa"/>
            <w:bottom w:w="0" w:type="dxa"/>
            <w:right w:w="108" w:type="dxa"/>
          </w:tblCellMar>
        </w:tblPrEx>
        <w:trPr>
          <w:trHeight w:val="113" w:hRule="atLeast"/>
          <w:jc w:val="center"/>
        </w:trPr>
        <w:tc>
          <w:tcPr>
            <w:tcW w:w="725"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6</w:t>
            </w:r>
          </w:p>
        </w:tc>
        <w:tc>
          <w:tcPr>
            <w:tcW w:w="1246"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对影响环境卫生行为的行政处罚</w:t>
            </w:r>
          </w:p>
        </w:tc>
        <w:tc>
          <w:tcPr>
            <w:tcW w:w="3952"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《河北省城市市容和环境卫生条例》（2023年11月30日修正）第四十条</w:t>
            </w:r>
          </w:p>
        </w:tc>
      </w:tr>
      <w:tr>
        <w:tblPrEx>
          <w:tblCellMar>
            <w:top w:w="0" w:type="dxa"/>
            <w:left w:w="108" w:type="dxa"/>
            <w:bottom w:w="0" w:type="dxa"/>
            <w:right w:w="108" w:type="dxa"/>
          </w:tblCellMar>
        </w:tblPrEx>
        <w:trPr>
          <w:trHeight w:val="113" w:hRule="atLeast"/>
          <w:jc w:val="center"/>
        </w:trPr>
        <w:tc>
          <w:tcPr>
            <w:tcW w:w="725"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7</w:t>
            </w:r>
          </w:p>
        </w:tc>
        <w:tc>
          <w:tcPr>
            <w:tcW w:w="1246"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城市管理</w:t>
            </w:r>
          </w:p>
        </w:tc>
        <w:tc>
          <w:tcPr>
            <w:tcW w:w="3973"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对在树木上设置广告牌、标语牌或者牵拉绳索、架设电线，以树承重等行为的行政处罚</w:t>
            </w:r>
          </w:p>
        </w:tc>
        <w:tc>
          <w:tcPr>
            <w:tcW w:w="3952"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《河北省城市园林绿化管理办法》（2023年1月20日修正）第四十九条</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8</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文化旅游</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对单位、个人擅自安装和使用卫星地面接收设施的行政处罚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《卫星电视广播地面接收设施管理规定》（2018年9月18日修订）第十条第三款</w:t>
            </w:r>
          </w:p>
        </w:tc>
      </w:tr>
      <w:tr>
        <w:tblPrEx>
          <w:tblCellMar>
            <w:top w:w="0" w:type="dxa"/>
            <w:left w:w="108" w:type="dxa"/>
            <w:bottom w:w="0" w:type="dxa"/>
            <w:right w:w="108" w:type="dxa"/>
          </w:tblCellMar>
        </w:tblPrEx>
        <w:trPr>
          <w:trHeight w:val="1206" w:hRule="atLeast"/>
          <w:jc w:val="center"/>
        </w:trPr>
        <w:tc>
          <w:tcPr>
            <w:tcW w:w="725" w:type="dxa"/>
            <w:tcBorders>
              <w:top w:val="nil"/>
              <w:left w:val="single" w:color="000000" w:sz="8" w:space="0"/>
              <w:bottom w:val="single" w:color="auto" w:sz="4"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9</w:t>
            </w:r>
          </w:p>
        </w:tc>
        <w:tc>
          <w:tcPr>
            <w:tcW w:w="1246" w:type="dxa"/>
            <w:tcBorders>
              <w:top w:val="nil"/>
              <w:left w:val="nil"/>
              <w:bottom w:val="single" w:color="auto" w:sz="4"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文化旅游</w:t>
            </w:r>
          </w:p>
        </w:tc>
        <w:tc>
          <w:tcPr>
            <w:tcW w:w="3973" w:type="dxa"/>
            <w:tcBorders>
              <w:top w:val="nil"/>
              <w:left w:val="nil"/>
              <w:bottom w:val="single" w:color="auto" w:sz="4"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对擅自从事营业性演出经营活动等行为的行政处罚</w:t>
            </w:r>
          </w:p>
        </w:tc>
        <w:tc>
          <w:tcPr>
            <w:tcW w:w="3952" w:type="dxa"/>
            <w:tcBorders>
              <w:top w:val="nil"/>
              <w:left w:val="nil"/>
              <w:bottom w:val="single" w:color="auto" w:sz="4"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《营业性演出管理条例》（2020年11月29日修订）第四十三条第一款</w:t>
            </w:r>
          </w:p>
        </w:tc>
      </w:tr>
      <w:tr>
        <w:tblPrEx>
          <w:tblCellMar>
            <w:top w:w="0" w:type="dxa"/>
            <w:left w:w="108" w:type="dxa"/>
            <w:bottom w:w="0" w:type="dxa"/>
            <w:right w:w="108" w:type="dxa"/>
          </w:tblCellMar>
        </w:tblPrEx>
        <w:trPr>
          <w:trHeight w:val="113" w:hRule="atLeast"/>
          <w:jc w:val="center"/>
        </w:trPr>
        <w:tc>
          <w:tcPr>
            <w:tcW w:w="725" w:type="dxa"/>
            <w:vMerge w:val="restart"/>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10</w:t>
            </w:r>
          </w:p>
        </w:tc>
        <w:tc>
          <w:tcPr>
            <w:tcW w:w="1246" w:type="dxa"/>
            <w:vMerge w:val="restart"/>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文化旅游</w:t>
            </w:r>
          </w:p>
        </w:tc>
        <w:tc>
          <w:tcPr>
            <w:tcW w:w="3973" w:type="dxa"/>
            <w:vMerge w:val="restart"/>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对在长城上取土、取砖（石）或者种植作物等行为的行政处罚</w:t>
            </w:r>
          </w:p>
        </w:tc>
        <w:tc>
          <w:tcPr>
            <w:tcW w:w="3952" w:type="dxa"/>
            <w:tcBorders>
              <w:top w:val="single" w:color="auto" w:sz="4" w:space="0"/>
              <w:left w:val="nil"/>
              <w:bottom w:val="nil"/>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《长城保护条例》（2006年10月11日公布）第二十八条</w:t>
            </w:r>
          </w:p>
        </w:tc>
      </w:tr>
      <w:tr>
        <w:tblPrEx>
          <w:tblCellMar>
            <w:top w:w="0" w:type="dxa"/>
            <w:left w:w="108" w:type="dxa"/>
            <w:bottom w:w="0" w:type="dxa"/>
            <w:right w:w="108" w:type="dxa"/>
          </w:tblCellMar>
        </w:tblPrEx>
        <w:trPr>
          <w:trHeight w:val="759" w:hRule="atLeast"/>
          <w:jc w:val="center"/>
        </w:trPr>
        <w:tc>
          <w:tcPr>
            <w:tcW w:w="0" w:type="auto"/>
            <w:vMerge w:val="continue"/>
            <w:tcBorders>
              <w:top w:val="nil"/>
              <w:left w:val="single" w:color="000000" w:sz="8" w:space="0"/>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0" w:type="auto"/>
            <w:vMerge w:val="continue"/>
            <w:tcBorders>
              <w:top w:val="nil"/>
              <w:left w:val="nil"/>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3973" w:type="dxa"/>
            <w:vMerge w:val="continue"/>
            <w:tcBorders>
              <w:top w:val="nil"/>
              <w:left w:val="nil"/>
              <w:bottom w:val="single" w:color="000000" w:sz="8" w:space="0"/>
              <w:right w:val="single" w:color="000000" w:sz="8" w:space="0"/>
            </w:tcBorders>
            <w:noWrap w:val="0"/>
            <w:vAlign w:val="center"/>
          </w:tcPr>
          <w:p>
            <w:pPr>
              <w:widowControl/>
              <w:spacing w:line="400" w:lineRule="exact"/>
              <w:rPr>
                <w:b/>
                <w:bCs/>
                <w:color w:val="000000"/>
                <w:szCs w:val="21"/>
              </w:rPr>
            </w:pP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《河北省长城保护条例》（2021年3月31日公布）第六十条</w:t>
            </w:r>
          </w:p>
        </w:tc>
      </w:tr>
      <w:tr>
        <w:tblPrEx>
          <w:tblCellMar>
            <w:top w:w="0" w:type="dxa"/>
            <w:left w:w="108" w:type="dxa"/>
            <w:bottom w:w="0" w:type="dxa"/>
            <w:right w:w="108" w:type="dxa"/>
          </w:tblCellMar>
        </w:tblPrEx>
        <w:trPr>
          <w:trHeight w:val="113" w:hRule="atLeast"/>
          <w:jc w:val="center"/>
        </w:trPr>
        <w:tc>
          <w:tcPr>
            <w:tcW w:w="725"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11</w:t>
            </w:r>
          </w:p>
        </w:tc>
        <w:tc>
          <w:tcPr>
            <w:tcW w:w="1246" w:type="dxa"/>
            <w:tcBorders>
              <w:top w:val="single" w:color="000000" w:sz="8" w:space="0"/>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文化旅游</w:t>
            </w:r>
          </w:p>
        </w:tc>
        <w:tc>
          <w:tcPr>
            <w:tcW w:w="3973"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对擅自从事电影摄制、发行、放映活动的行政处罚</w:t>
            </w:r>
          </w:p>
        </w:tc>
        <w:tc>
          <w:tcPr>
            <w:tcW w:w="3952" w:type="dxa"/>
            <w:tcBorders>
              <w:top w:val="single" w:color="000000" w:sz="8" w:space="0"/>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《中华人民共和国电影产业促进法》（2016年11月7日公布）第四十七条</w:t>
            </w:r>
          </w:p>
        </w:tc>
      </w:tr>
      <w:tr>
        <w:tblPrEx>
          <w:tblCellMar>
            <w:top w:w="0" w:type="dxa"/>
            <w:left w:w="108" w:type="dxa"/>
            <w:bottom w:w="0" w:type="dxa"/>
            <w:right w:w="108" w:type="dxa"/>
          </w:tblCellMar>
        </w:tblPrEx>
        <w:trPr>
          <w:trHeight w:val="113" w:hRule="atLeast"/>
          <w:jc w:val="center"/>
        </w:trPr>
        <w:tc>
          <w:tcPr>
            <w:tcW w:w="725" w:type="dxa"/>
            <w:vMerge w:val="restart"/>
            <w:tcBorders>
              <w:top w:val="nil"/>
              <w:left w:val="single" w:color="000000" w:sz="8" w:space="0"/>
              <w:bottom w:val="single" w:color="000000" w:sz="8" w:space="0"/>
              <w:right w:val="single" w:color="000000" w:sz="8" w:space="0"/>
            </w:tcBorders>
            <w:shd w:val="clear" w:color="auto" w:fill="auto"/>
            <w:noWrap w:val="0"/>
            <w:vAlign w:val="center"/>
          </w:tcPr>
          <w:p>
            <w:pPr>
              <w:widowControl/>
              <w:spacing w:line="400" w:lineRule="exact"/>
              <w:jc w:val="center"/>
              <w:textAlignment w:val="center"/>
              <w:rPr>
                <w:b/>
                <w:bCs/>
                <w:color w:val="000000"/>
                <w:szCs w:val="21"/>
              </w:rPr>
            </w:pPr>
            <w:r>
              <w:rPr>
                <w:b/>
                <w:bCs/>
                <w:color w:val="000000"/>
                <w:kern w:val="0"/>
                <w:szCs w:val="21"/>
              </w:rPr>
              <w:t>12</w:t>
            </w:r>
          </w:p>
        </w:tc>
        <w:tc>
          <w:tcPr>
            <w:tcW w:w="1246" w:type="dxa"/>
            <w:vMerge w:val="restart"/>
            <w:tcBorders>
              <w:top w:val="nil"/>
              <w:left w:val="nil"/>
              <w:bottom w:val="single" w:color="000000" w:sz="8" w:space="0"/>
              <w:right w:val="single" w:color="000000" w:sz="8" w:space="0"/>
            </w:tcBorders>
            <w:shd w:val="clear" w:color="auto" w:fill="auto"/>
            <w:noWrap w:val="0"/>
            <w:vAlign w:val="center"/>
          </w:tcPr>
          <w:p>
            <w:pPr>
              <w:widowControl/>
              <w:spacing w:line="400" w:lineRule="exact"/>
              <w:jc w:val="center"/>
              <w:textAlignment w:val="center"/>
              <w:rPr>
                <w:b/>
                <w:bCs/>
                <w:color w:val="000000"/>
                <w:szCs w:val="21"/>
              </w:rPr>
            </w:pPr>
            <w:r>
              <w:rPr>
                <w:b/>
                <w:bCs/>
                <w:color w:val="000000"/>
                <w:kern w:val="0"/>
                <w:szCs w:val="21"/>
              </w:rPr>
              <w:t>生态环境</w:t>
            </w:r>
          </w:p>
        </w:tc>
        <w:tc>
          <w:tcPr>
            <w:tcW w:w="3973" w:type="dxa"/>
            <w:vMerge w:val="restart"/>
            <w:tcBorders>
              <w:top w:val="nil"/>
              <w:left w:val="nil"/>
              <w:bottom w:val="single" w:color="000000" w:sz="8" w:space="0"/>
              <w:right w:val="single" w:color="000000" w:sz="8" w:space="0"/>
            </w:tcBorders>
            <w:shd w:val="clear" w:color="auto" w:fill="FFFFFF"/>
            <w:noWrap w:val="0"/>
            <w:vAlign w:val="center"/>
          </w:tcPr>
          <w:p>
            <w:pPr>
              <w:widowControl/>
              <w:spacing w:line="400" w:lineRule="exact"/>
              <w:textAlignment w:val="center"/>
              <w:rPr>
                <w:b/>
                <w:bCs/>
                <w:color w:val="000000"/>
                <w:szCs w:val="21"/>
              </w:rPr>
            </w:pPr>
            <w:r>
              <w:rPr>
                <w:b/>
                <w:bCs/>
                <w:color w:val="000000"/>
                <w:kern w:val="0"/>
                <w:szCs w:val="21"/>
              </w:rPr>
              <w:t>对露天焚烧秸秆、落叶、枯草等产生烟尘污染的行政处罚</w:t>
            </w:r>
          </w:p>
        </w:tc>
        <w:tc>
          <w:tcPr>
            <w:tcW w:w="3952" w:type="dxa"/>
            <w:tcBorders>
              <w:top w:val="nil"/>
              <w:left w:val="nil"/>
              <w:bottom w:val="nil"/>
              <w:right w:val="single" w:color="000000" w:sz="8" w:space="0"/>
            </w:tcBorders>
            <w:shd w:val="clear" w:color="auto" w:fill="FFFFFF"/>
            <w:noWrap w:val="0"/>
            <w:vAlign w:val="center"/>
          </w:tcPr>
          <w:p>
            <w:pPr>
              <w:widowControl/>
              <w:spacing w:line="400" w:lineRule="exact"/>
              <w:textAlignment w:val="center"/>
              <w:rPr>
                <w:b/>
                <w:bCs/>
                <w:color w:val="000000"/>
                <w:szCs w:val="21"/>
              </w:rPr>
            </w:pPr>
            <w:r>
              <w:rPr>
                <w:b/>
                <w:bCs/>
                <w:color w:val="000000"/>
                <w:kern w:val="0"/>
                <w:szCs w:val="21"/>
              </w:rPr>
              <w:t>《中华人民共和国大气污染防治法》（2018年10月26日修正）第一百一十九条第一款</w:t>
            </w:r>
          </w:p>
        </w:tc>
      </w:tr>
      <w:tr>
        <w:tblPrEx>
          <w:tblCellMar>
            <w:top w:w="0" w:type="dxa"/>
            <w:left w:w="108" w:type="dxa"/>
            <w:bottom w:w="0" w:type="dxa"/>
            <w:right w:w="108" w:type="dxa"/>
          </w:tblCellMar>
        </w:tblPrEx>
        <w:trPr>
          <w:trHeight w:val="113" w:hRule="atLeast"/>
          <w:jc w:val="center"/>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pPr>
              <w:widowControl/>
              <w:spacing w:line="400" w:lineRule="exact"/>
              <w:jc w:val="left"/>
              <w:rPr>
                <w:b/>
                <w:bCs/>
                <w:color w:val="000000"/>
                <w:szCs w:val="21"/>
              </w:rPr>
            </w:pPr>
          </w:p>
        </w:tc>
        <w:tc>
          <w:tcPr>
            <w:tcW w:w="0" w:type="auto"/>
            <w:vMerge w:val="continue"/>
            <w:tcBorders>
              <w:top w:val="nil"/>
              <w:left w:val="nil"/>
              <w:bottom w:val="single" w:color="000000" w:sz="8" w:space="0"/>
              <w:right w:val="single" w:color="000000" w:sz="8" w:space="0"/>
            </w:tcBorders>
            <w:shd w:val="clear" w:color="auto" w:fill="auto"/>
            <w:noWrap w:val="0"/>
            <w:vAlign w:val="center"/>
          </w:tcPr>
          <w:p>
            <w:pPr>
              <w:widowControl/>
              <w:spacing w:line="400" w:lineRule="exact"/>
              <w:jc w:val="left"/>
              <w:rPr>
                <w:b/>
                <w:bCs/>
                <w:color w:val="000000"/>
                <w:szCs w:val="21"/>
              </w:rPr>
            </w:pPr>
          </w:p>
        </w:tc>
        <w:tc>
          <w:tcPr>
            <w:tcW w:w="3973" w:type="dxa"/>
            <w:vMerge w:val="continue"/>
            <w:tcBorders>
              <w:top w:val="nil"/>
              <w:left w:val="nil"/>
              <w:bottom w:val="single" w:color="000000" w:sz="8" w:space="0"/>
              <w:right w:val="single" w:color="000000" w:sz="8" w:space="0"/>
            </w:tcBorders>
            <w:shd w:val="clear" w:color="auto" w:fill="auto"/>
            <w:noWrap w:val="0"/>
            <w:vAlign w:val="center"/>
          </w:tcPr>
          <w:p>
            <w:pPr>
              <w:widowControl/>
              <w:spacing w:line="400" w:lineRule="exact"/>
              <w:rPr>
                <w:b/>
                <w:bCs/>
                <w:color w:val="000000"/>
                <w:szCs w:val="21"/>
              </w:rPr>
            </w:pPr>
          </w:p>
        </w:tc>
        <w:tc>
          <w:tcPr>
            <w:tcW w:w="3952" w:type="dxa"/>
            <w:tcBorders>
              <w:top w:val="nil"/>
              <w:left w:val="nil"/>
              <w:bottom w:val="nil"/>
              <w:right w:val="single" w:color="000000" w:sz="8" w:space="0"/>
            </w:tcBorders>
            <w:shd w:val="clear" w:color="auto" w:fill="FFFFFF"/>
            <w:noWrap w:val="0"/>
            <w:vAlign w:val="center"/>
          </w:tcPr>
          <w:p>
            <w:pPr>
              <w:widowControl/>
              <w:spacing w:line="400" w:lineRule="exact"/>
              <w:textAlignment w:val="center"/>
              <w:rPr>
                <w:b/>
                <w:bCs/>
                <w:color w:val="000000"/>
                <w:szCs w:val="21"/>
              </w:rPr>
            </w:pPr>
            <w:r>
              <w:rPr>
                <w:b/>
                <w:bCs/>
                <w:color w:val="000000"/>
                <w:kern w:val="0"/>
                <w:szCs w:val="21"/>
              </w:rPr>
              <w:t xml:space="preserve">《河北省大气污染防治条例》（2021年9月29日修正）第八十七条  </w:t>
            </w:r>
          </w:p>
        </w:tc>
      </w:tr>
      <w:tr>
        <w:tblPrEx>
          <w:tblCellMar>
            <w:top w:w="0" w:type="dxa"/>
            <w:left w:w="108" w:type="dxa"/>
            <w:bottom w:w="0" w:type="dxa"/>
            <w:right w:w="108" w:type="dxa"/>
          </w:tblCellMar>
        </w:tblPrEx>
        <w:trPr>
          <w:trHeight w:val="113" w:hRule="atLeast"/>
          <w:jc w:val="center"/>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pPr>
              <w:widowControl/>
              <w:spacing w:line="400" w:lineRule="exact"/>
              <w:jc w:val="left"/>
              <w:rPr>
                <w:b/>
                <w:bCs/>
                <w:color w:val="000000"/>
                <w:szCs w:val="21"/>
              </w:rPr>
            </w:pPr>
          </w:p>
        </w:tc>
        <w:tc>
          <w:tcPr>
            <w:tcW w:w="0" w:type="auto"/>
            <w:vMerge w:val="continue"/>
            <w:tcBorders>
              <w:top w:val="nil"/>
              <w:left w:val="nil"/>
              <w:bottom w:val="single" w:color="000000" w:sz="8" w:space="0"/>
              <w:right w:val="single" w:color="000000" w:sz="8" w:space="0"/>
            </w:tcBorders>
            <w:shd w:val="clear" w:color="auto" w:fill="auto"/>
            <w:noWrap w:val="0"/>
            <w:vAlign w:val="center"/>
          </w:tcPr>
          <w:p>
            <w:pPr>
              <w:widowControl/>
              <w:spacing w:line="400" w:lineRule="exact"/>
              <w:jc w:val="left"/>
              <w:rPr>
                <w:b/>
                <w:bCs/>
                <w:color w:val="000000"/>
                <w:szCs w:val="21"/>
              </w:rPr>
            </w:pPr>
          </w:p>
        </w:tc>
        <w:tc>
          <w:tcPr>
            <w:tcW w:w="3973" w:type="dxa"/>
            <w:vMerge w:val="continue"/>
            <w:tcBorders>
              <w:top w:val="nil"/>
              <w:left w:val="nil"/>
              <w:bottom w:val="single" w:color="000000" w:sz="8" w:space="0"/>
              <w:right w:val="single" w:color="000000" w:sz="8" w:space="0"/>
            </w:tcBorders>
            <w:shd w:val="clear" w:color="auto" w:fill="auto"/>
            <w:noWrap w:val="0"/>
            <w:vAlign w:val="center"/>
          </w:tcPr>
          <w:p>
            <w:pPr>
              <w:widowControl/>
              <w:spacing w:line="400" w:lineRule="exact"/>
              <w:rPr>
                <w:b/>
                <w:bCs/>
                <w:color w:val="000000"/>
                <w:szCs w:val="21"/>
              </w:rPr>
            </w:pPr>
          </w:p>
        </w:tc>
        <w:tc>
          <w:tcPr>
            <w:tcW w:w="3952" w:type="dxa"/>
            <w:tcBorders>
              <w:top w:val="nil"/>
              <w:left w:val="nil"/>
              <w:bottom w:val="single" w:color="000000" w:sz="8" w:space="0"/>
              <w:right w:val="single" w:color="000000" w:sz="8" w:space="0"/>
            </w:tcBorders>
            <w:shd w:val="clear" w:color="auto" w:fill="FFFFFF"/>
            <w:noWrap w:val="0"/>
            <w:vAlign w:val="center"/>
          </w:tcPr>
          <w:p>
            <w:pPr>
              <w:widowControl/>
              <w:spacing w:line="400" w:lineRule="exact"/>
              <w:textAlignment w:val="center"/>
              <w:rPr>
                <w:b/>
                <w:bCs/>
                <w:color w:val="000000"/>
                <w:szCs w:val="21"/>
              </w:rPr>
            </w:pPr>
            <w:r>
              <w:rPr>
                <w:b/>
                <w:bCs/>
                <w:color w:val="000000"/>
                <w:kern w:val="0"/>
                <w:szCs w:val="21"/>
              </w:rPr>
              <w:t>《河北省人民代表大会常务委员会关于促进农作物秸秆综合利用和禁止露天焚烧的决定》（2018年7月27日修订）第二十四条</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13</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生态环境</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对农业经营主体因未妥善采取综合利用措施，对农产品采收后的秸秆及树叶、荒草予以处理，致使露天焚烧的行政处罚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《河北省人民代表大会常务委员会关于促进农作物秸秆综合利用和禁止露天焚烧的决定》（2018年7月27日修订）第二十五条</w:t>
            </w:r>
          </w:p>
        </w:tc>
      </w:tr>
      <w:tr>
        <w:tblPrEx>
          <w:tblCellMar>
            <w:top w:w="0" w:type="dxa"/>
            <w:left w:w="108" w:type="dxa"/>
            <w:bottom w:w="0" w:type="dxa"/>
            <w:right w:w="108" w:type="dxa"/>
          </w:tblCellMar>
        </w:tblPrEx>
        <w:trPr>
          <w:trHeight w:val="113" w:hRule="atLeast"/>
          <w:jc w:val="center"/>
        </w:trPr>
        <w:tc>
          <w:tcPr>
            <w:tcW w:w="725" w:type="dxa"/>
            <w:vMerge w:val="restart"/>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14</w:t>
            </w:r>
          </w:p>
        </w:tc>
        <w:tc>
          <w:tcPr>
            <w:tcW w:w="1246" w:type="dxa"/>
            <w:vMerge w:val="restart"/>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水利</w:t>
            </w:r>
          </w:p>
        </w:tc>
        <w:tc>
          <w:tcPr>
            <w:tcW w:w="3973" w:type="dxa"/>
            <w:vMerge w:val="restart"/>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对未经批准擅自取水、未依照批准的取水许可规定条件取水的行政处罚</w:t>
            </w:r>
          </w:p>
        </w:tc>
        <w:tc>
          <w:tcPr>
            <w:tcW w:w="3952" w:type="dxa"/>
            <w:tcBorders>
              <w:top w:val="single" w:color="000000" w:sz="8" w:space="0"/>
              <w:left w:val="nil"/>
              <w:bottom w:val="nil"/>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《中华人民共和国水法》（2016年7月2日修正）第六十九条</w:t>
            </w:r>
          </w:p>
        </w:tc>
      </w:tr>
      <w:tr>
        <w:tblPrEx>
          <w:tblCellMar>
            <w:top w:w="0" w:type="dxa"/>
            <w:left w:w="108" w:type="dxa"/>
            <w:bottom w:w="0" w:type="dxa"/>
            <w:right w:w="108" w:type="dxa"/>
          </w:tblCellMar>
        </w:tblPrEx>
        <w:trPr>
          <w:trHeight w:val="113" w:hRule="atLeast"/>
          <w:jc w:val="center"/>
        </w:trPr>
        <w:tc>
          <w:tcPr>
            <w:tcW w:w="0" w:type="auto"/>
            <w:vMerge w:val="continue"/>
            <w:tcBorders>
              <w:top w:val="nil"/>
              <w:left w:val="single" w:color="000000" w:sz="8" w:space="0"/>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0" w:type="auto"/>
            <w:vMerge w:val="continue"/>
            <w:tcBorders>
              <w:top w:val="nil"/>
              <w:left w:val="nil"/>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3973" w:type="dxa"/>
            <w:vMerge w:val="continue"/>
            <w:tcBorders>
              <w:top w:val="nil"/>
              <w:left w:val="nil"/>
              <w:bottom w:val="single" w:color="000000" w:sz="8" w:space="0"/>
              <w:right w:val="single" w:color="000000" w:sz="8" w:space="0"/>
            </w:tcBorders>
            <w:noWrap w:val="0"/>
            <w:vAlign w:val="center"/>
          </w:tcPr>
          <w:p>
            <w:pPr>
              <w:widowControl/>
              <w:spacing w:line="400" w:lineRule="exact"/>
              <w:rPr>
                <w:b/>
                <w:bCs/>
                <w:color w:val="000000"/>
                <w:szCs w:val="21"/>
              </w:rPr>
            </w:pP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《取水许可和水资源费征收管理条例》（2017年3月1日修订）第二十四条</w:t>
            </w:r>
          </w:p>
        </w:tc>
      </w:tr>
      <w:tr>
        <w:tblPrEx>
          <w:tblCellMar>
            <w:top w:w="0" w:type="dxa"/>
            <w:left w:w="108" w:type="dxa"/>
            <w:bottom w:w="0" w:type="dxa"/>
            <w:right w:w="108" w:type="dxa"/>
          </w:tblCellMar>
        </w:tblPrEx>
        <w:trPr>
          <w:trHeight w:val="113" w:hRule="atLeast"/>
          <w:jc w:val="center"/>
        </w:trPr>
        <w:tc>
          <w:tcPr>
            <w:tcW w:w="725" w:type="dxa"/>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15</w:t>
            </w:r>
          </w:p>
        </w:tc>
        <w:tc>
          <w:tcPr>
            <w:tcW w:w="1246" w:type="dxa"/>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水利</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对凿井施工等单位承揽未取得取水申请批准文件的取水井工程或者为其建设取水配套设施的行政处罚</w:t>
            </w:r>
          </w:p>
        </w:tc>
        <w:tc>
          <w:tcPr>
            <w:tcW w:w="3952"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《河北省地下水管理条例》（ 2018年9月20日修订）第五十七条</w:t>
            </w:r>
          </w:p>
        </w:tc>
      </w:tr>
      <w:tr>
        <w:tblPrEx>
          <w:tblCellMar>
            <w:top w:w="0" w:type="dxa"/>
            <w:left w:w="108" w:type="dxa"/>
            <w:bottom w:w="0" w:type="dxa"/>
            <w:right w:w="108" w:type="dxa"/>
          </w:tblCellMar>
        </w:tblPrEx>
        <w:trPr>
          <w:trHeight w:val="113" w:hRule="atLeast"/>
          <w:jc w:val="center"/>
        </w:trPr>
        <w:tc>
          <w:tcPr>
            <w:tcW w:w="725" w:type="dxa"/>
            <w:vMerge w:val="restart"/>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16</w:t>
            </w:r>
          </w:p>
        </w:tc>
        <w:tc>
          <w:tcPr>
            <w:tcW w:w="1246" w:type="dxa"/>
            <w:vMerge w:val="restart"/>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农业农村</w:t>
            </w:r>
          </w:p>
        </w:tc>
        <w:tc>
          <w:tcPr>
            <w:tcW w:w="3973" w:type="dxa"/>
            <w:vMerge w:val="restart"/>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对农村村民未经批准或者采取欺骗手段骗取批准非法占用土地建住宅的行政处罚</w:t>
            </w:r>
          </w:p>
        </w:tc>
        <w:tc>
          <w:tcPr>
            <w:tcW w:w="3952" w:type="dxa"/>
            <w:tcBorders>
              <w:top w:val="nil"/>
              <w:left w:val="nil"/>
              <w:bottom w:val="nil"/>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《中华人民共和国土地管理法》（2019年8月26日修正）第七十八条</w:t>
            </w:r>
          </w:p>
        </w:tc>
      </w:tr>
      <w:tr>
        <w:tblPrEx>
          <w:tblCellMar>
            <w:top w:w="0" w:type="dxa"/>
            <w:left w:w="108" w:type="dxa"/>
            <w:bottom w:w="0" w:type="dxa"/>
            <w:right w:w="108" w:type="dxa"/>
          </w:tblCellMar>
        </w:tblPrEx>
        <w:trPr>
          <w:trHeight w:val="643" w:hRule="atLeast"/>
          <w:jc w:val="center"/>
        </w:trPr>
        <w:tc>
          <w:tcPr>
            <w:tcW w:w="0" w:type="auto"/>
            <w:vMerge w:val="continue"/>
            <w:tcBorders>
              <w:top w:val="nil"/>
              <w:left w:val="single" w:color="000000" w:sz="8" w:space="0"/>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0" w:type="auto"/>
            <w:vMerge w:val="continue"/>
            <w:tcBorders>
              <w:top w:val="nil"/>
              <w:left w:val="nil"/>
              <w:bottom w:val="single" w:color="000000" w:sz="8" w:space="0"/>
              <w:right w:val="single" w:color="000000" w:sz="8" w:space="0"/>
            </w:tcBorders>
            <w:noWrap w:val="0"/>
            <w:vAlign w:val="center"/>
          </w:tcPr>
          <w:p>
            <w:pPr>
              <w:widowControl/>
              <w:spacing w:line="400" w:lineRule="exact"/>
              <w:jc w:val="left"/>
              <w:rPr>
                <w:b/>
                <w:bCs/>
                <w:color w:val="000000"/>
                <w:szCs w:val="21"/>
              </w:rPr>
            </w:pPr>
          </w:p>
        </w:tc>
        <w:tc>
          <w:tcPr>
            <w:tcW w:w="3973" w:type="dxa"/>
            <w:vMerge w:val="continue"/>
            <w:tcBorders>
              <w:top w:val="nil"/>
              <w:left w:val="nil"/>
              <w:bottom w:val="single" w:color="000000" w:sz="8" w:space="0"/>
              <w:right w:val="single" w:color="000000" w:sz="8" w:space="0"/>
            </w:tcBorders>
            <w:noWrap w:val="0"/>
            <w:vAlign w:val="center"/>
          </w:tcPr>
          <w:p>
            <w:pPr>
              <w:widowControl/>
              <w:spacing w:line="400" w:lineRule="exact"/>
              <w:rPr>
                <w:b/>
                <w:bCs/>
                <w:color w:val="000000"/>
                <w:szCs w:val="21"/>
              </w:rPr>
            </w:pPr>
          </w:p>
        </w:tc>
        <w:tc>
          <w:tcPr>
            <w:tcW w:w="3952" w:type="dxa"/>
            <w:tcBorders>
              <w:top w:val="nil"/>
              <w:left w:val="nil"/>
              <w:bottom w:val="single" w:color="auto" w:sz="4"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《河北省土地管理条例》（2022年3月30日修订）第六十八条</w:t>
            </w:r>
          </w:p>
        </w:tc>
      </w:tr>
      <w:tr>
        <w:tblPrEx>
          <w:tblCellMar>
            <w:top w:w="0" w:type="dxa"/>
            <w:left w:w="108" w:type="dxa"/>
            <w:bottom w:w="0" w:type="dxa"/>
            <w:right w:w="108" w:type="dxa"/>
          </w:tblCellMar>
        </w:tblPrEx>
        <w:trPr>
          <w:trHeight w:val="113" w:hRule="atLeast"/>
          <w:jc w:val="center"/>
        </w:trPr>
        <w:tc>
          <w:tcPr>
            <w:tcW w:w="0" w:type="auto"/>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17</w:t>
            </w:r>
          </w:p>
        </w:tc>
        <w:tc>
          <w:tcPr>
            <w:tcW w:w="0" w:type="auto"/>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民族事务</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对未按照要求生产、经营清真食品的行政处罚</w:t>
            </w:r>
          </w:p>
        </w:tc>
        <w:tc>
          <w:tcPr>
            <w:tcW w:w="3952" w:type="dxa"/>
            <w:tcBorders>
              <w:top w:val="nil"/>
              <w:left w:val="nil"/>
              <w:bottom w:val="single" w:color="auto" w:sz="4"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《河北省清真食品管理条例》（1999年11月29日公布）第十七条第（一）（二）（三）（四）（六）（七）（八）项</w:t>
            </w:r>
          </w:p>
        </w:tc>
      </w:tr>
      <w:tr>
        <w:tblPrEx>
          <w:tblCellMar>
            <w:top w:w="0" w:type="dxa"/>
            <w:left w:w="108" w:type="dxa"/>
            <w:bottom w:w="0" w:type="dxa"/>
            <w:right w:w="108" w:type="dxa"/>
          </w:tblCellMar>
        </w:tblPrEx>
        <w:trPr>
          <w:trHeight w:val="113" w:hRule="atLeast"/>
          <w:jc w:val="center"/>
        </w:trPr>
        <w:tc>
          <w:tcPr>
            <w:tcW w:w="0" w:type="auto"/>
            <w:tcBorders>
              <w:top w:val="nil"/>
              <w:left w:val="single" w:color="000000" w:sz="8" w:space="0"/>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18</w:t>
            </w:r>
          </w:p>
        </w:tc>
        <w:tc>
          <w:tcPr>
            <w:tcW w:w="0" w:type="auto"/>
            <w:tcBorders>
              <w:top w:val="nil"/>
              <w:left w:val="nil"/>
              <w:bottom w:val="single" w:color="000000" w:sz="8" w:space="0"/>
              <w:right w:val="single" w:color="000000" w:sz="8" w:space="0"/>
            </w:tcBorders>
            <w:noWrap w:val="0"/>
            <w:vAlign w:val="center"/>
          </w:tcPr>
          <w:p>
            <w:pPr>
              <w:widowControl/>
              <w:spacing w:line="400" w:lineRule="exact"/>
              <w:jc w:val="center"/>
              <w:textAlignment w:val="center"/>
              <w:rPr>
                <w:b/>
                <w:bCs/>
                <w:color w:val="000000"/>
                <w:szCs w:val="21"/>
              </w:rPr>
            </w:pPr>
            <w:r>
              <w:rPr>
                <w:b/>
                <w:bCs/>
                <w:color w:val="000000"/>
                <w:kern w:val="0"/>
                <w:szCs w:val="21"/>
              </w:rPr>
              <w:t>宗教事务</w:t>
            </w:r>
          </w:p>
        </w:tc>
        <w:tc>
          <w:tcPr>
            <w:tcW w:w="3973" w:type="dxa"/>
            <w:tcBorders>
              <w:top w:val="nil"/>
              <w:left w:val="nil"/>
              <w:bottom w:val="single" w:color="000000" w:sz="8"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对假冒宗教教职人员进行宗教活动或者骗取钱财等违法活动的行政处罚</w:t>
            </w:r>
          </w:p>
        </w:tc>
        <w:tc>
          <w:tcPr>
            <w:tcW w:w="3952" w:type="dxa"/>
            <w:tcBorders>
              <w:top w:val="nil"/>
              <w:left w:val="nil"/>
              <w:bottom w:val="single" w:color="auto" w:sz="4" w:space="0"/>
              <w:right w:val="single" w:color="000000" w:sz="8" w:space="0"/>
            </w:tcBorders>
            <w:noWrap w:val="0"/>
            <w:vAlign w:val="center"/>
          </w:tcPr>
          <w:p>
            <w:pPr>
              <w:widowControl/>
              <w:spacing w:line="400" w:lineRule="exact"/>
              <w:textAlignment w:val="center"/>
              <w:rPr>
                <w:b/>
                <w:bCs/>
                <w:color w:val="000000"/>
                <w:szCs w:val="21"/>
              </w:rPr>
            </w:pPr>
            <w:r>
              <w:rPr>
                <w:b/>
                <w:bCs/>
                <w:color w:val="000000"/>
                <w:kern w:val="0"/>
                <w:szCs w:val="21"/>
              </w:rPr>
              <w:t>《宗教事务条例》（2017年8月26日修订）第七十四条</w:t>
            </w:r>
          </w:p>
        </w:tc>
      </w:tr>
    </w:tbl>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pPr>
    </w:p>
    <w:p>
      <w:pPr>
        <w:rPr>
          <w:rFonts w:hint="default"/>
          <w:lang w:val="en-US" w:eastAsia="zh-CN"/>
        </w:rPr>
      </w:pPr>
    </w:p>
    <w:p>
      <w:pPr>
        <w:pStyle w:val="7"/>
        <w:spacing w:line="560" w:lineRule="exact"/>
        <w:ind w:left="0" w:leftChars="0" w:firstLine="0" w:firstLineChars="0"/>
        <w:textAlignment w:val="auto"/>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ascii="仿宋_GB2312" w:hAnsi="仿宋_GB2312" w:eastAsia="仿宋_GB2312"/>
          <w:spacing w:val="0"/>
          <w:kern w:val="0"/>
          <w:sz w:val="28"/>
        </w:rPr>
      </w:pPr>
    </w:p>
    <w:p>
      <w:pPr>
        <w:rPr>
          <w:rFonts w:hint="eastAsia" w:ascii="仿宋_GB2312" w:hAnsi="仿宋_GB2312" w:eastAsia="仿宋_GB2312"/>
          <w:spacing w:val="0"/>
          <w:kern w:val="0"/>
          <w:sz w:val="28"/>
        </w:rPr>
      </w:pPr>
    </w:p>
    <w:p>
      <w:pPr>
        <w:pStyle w:val="2"/>
        <w:rPr>
          <w:rFonts w:hint="eastAsia"/>
        </w:rPr>
      </w:pPr>
    </w:p>
    <w:p>
      <w:pPr>
        <w:rPr>
          <w:rFonts w:hint="eastAsia"/>
        </w:rPr>
      </w:pPr>
    </w:p>
    <w:p>
      <w:pPr>
        <w:pStyle w:val="7"/>
        <w:spacing w:line="560" w:lineRule="exact"/>
        <w:textAlignment w:val="auto"/>
        <w:rPr>
          <w:rFonts w:hint="default" w:ascii="仿宋_GB2312" w:hAnsi="仿宋" w:eastAsia="仿宋_GB2312" w:cs="仿宋"/>
          <w:color w:val="000000"/>
          <w:kern w:val="0"/>
          <w:sz w:val="32"/>
          <w:szCs w:val="32"/>
          <w:lang w:val="en-US" w:eastAsia="zh-CN" w:bidi="ar"/>
        </w:rPr>
      </w:pPr>
      <w:r>
        <w:rPr>
          <w:rFonts w:ascii="仿宋_GB2312" w:hAnsi="仿宋_GB2312" w:eastAsia="仿宋_GB2312"/>
          <w:spacing w:val="0"/>
          <w:kern w:val="0"/>
          <w:sz w:val="28"/>
        </w:rP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44450</wp:posOffset>
                </wp:positionV>
                <wp:extent cx="551497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3pt;margin-top:3.5pt;height:0pt;width:434.25pt;z-index:251660288;mso-width-relative:page;mso-height-relative:page;" filled="f" stroked="t" coordsize="21600,21600" o:gfxdata="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Ki6tMAAAAFAQAADwAAAAAAAAABACAAAAAiAAAAZHJzL2Rvd25yZXYueG1sUEsB&#10;AhQAFAAAAAgAh07iQH2oymr6AQAA8gMAAA4AAAAAAAAAAQAgAAAAIgEAAGRycy9lMm9Eb2MueG1s&#10;UEsFBgAAAAAGAAYAWQEAAI4FAAAAAA==&#10;">
                <v:fill on="f" focussize="0,0"/>
                <v:stroke color="#000000" joinstyle="round"/>
                <v:imagedata o:title=""/>
                <o:lock v:ext="edit" aspectratio="f"/>
              </v:line>
            </w:pict>
          </mc:Fallback>
        </mc:AlternateContent>
      </w:r>
      <w:r>
        <w:rPr>
          <w:rFonts w:ascii="仿宋_GB2312" w:hAnsi="仿宋_GB2312" w:eastAsia="仿宋_GB2312"/>
          <w:spacing w:val="0"/>
          <w:kern w:val="0"/>
          <w:sz w:val="28"/>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380365</wp:posOffset>
                </wp:positionV>
                <wp:extent cx="5514975"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1pt;margin-top:29.95pt;height:0pt;width:434.25pt;z-index:251661312;mso-width-relative:page;mso-height-relative:page;" filled="f" stroked="t" coordsize="21600,21600" o:gfxdata="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GcS5e1QAAAAcBAAAPAAAAAAAAAAEAIAAAACIAAABkcnMvZG93bnJldi54bWxQ&#10;SwECFAAUAAAACACHTuJAsivRsfoBAADyAwAADgAAAAAAAAABACAAAAAkAQAAZHJzL2Uyb0RvYy54&#10;bWxQSwUGAAAAAAYABgBZAQAAkAUAAAAA&#10;">
                <v:fill on="f" focussize="0,0"/>
                <v:stroke color="#000000" joinstyle="round"/>
                <v:imagedata o:title=""/>
                <o:lock v:ext="edit" aspectratio="f"/>
              </v:line>
            </w:pict>
          </mc:Fallback>
        </mc:AlternateContent>
      </w:r>
      <w:r>
        <w:rPr>
          <w:rFonts w:hint="eastAsia" w:ascii="仿宋_GB2312" w:hAnsi="仿宋_GB2312" w:eastAsia="仿宋_GB2312"/>
          <w:spacing w:val="0"/>
          <w:kern w:val="0"/>
          <w:sz w:val="28"/>
        </w:rPr>
        <w:t>阜平县人民政府</w:t>
      </w:r>
      <w:r>
        <w:rPr>
          <w:rFonts w:hint="eastAsia" w:ascii="仿宋_GB2312" w:hAnsi="仿宋_GB2312" w:eastAsia="仿宋_GB2312"/>
          <w:spacing w:val="0"/>
          <w:kern w:val="0"/>
          <w:sz w:val="28"/>
          <w:lang w:val="en-US" w:eastAsia="zh-CN"/>
        </w:rPr>
        <w:t xml:space="preserve">      </w:t>
      </w:r>
      <w:r>
        <w:rPr>
          <w:rFonts w:hint="eastAsia" w:ascii="仿宋_GB2312" w:hAnsi="仿宋_GB2312" w:eastAsia="仿宋_GB2312"/>
          <w:spacing w:val="0"/>
          <w:kern w:val="0"/>
          <w:sz w:val="28"/>
        </w:rPr>
        <w:t xml:space="preserve">             </w:t>
      </w:r>
      <w:r>
        <w:rPr>
          <w:rFonts w:hint="eastAsia" w:ascii="仿宋_GB2312" w:hAnsi="仿宋_GB2312" w:eastAsia="仿宋_GB2312"/>
          <w:spacing w:val="0"/>
          <w:kern w:val="0"/>
          <w:sz w:val="28"/>
          <w:lang w:val="en-US" w:eastAsia="zh-CN"/>
        </w:rPr>
        <w:t xml:space="preserve">   </w:t>
      </w:r>
      <w:r>
        <w:rPr>
          <w:rFonts w:hint="eastAsia" w:ascii="仿宋_GB2312" w:hAnsi="仿宋_GB2312" w:eastAsia="仿宋_GB2312"/>
          <w:spacing w:val="0"/>
          <w:kern w:val="0"/>
          <w:sz w:val="28"/>
        </w:rPr>
        <w:t xml:space="preserve"> 202</w:t>
      </w:r>
      <w:r>
        <w:rPr>
          <w:rFonts w:hint="eastAsia" w:ascii="仿宋_GB2312" w:hAnsi="仿宋_GB2312" w:eastAsia="仿宋_GB2312"/>
          <w:spacing w:val="0"/>
          <w:kern w:val="0"/>
          <w:sz w:val="28"/>
          <w:lang w:val="en-US" w:eastAsia="zh-CN"/>
        </w:rPr>
        <w:t>4</w:t>
      </w:r>
      <w:r>
        <w:rPr>
          <w:rFonts w:hint="eastAsia" w:ascii="仿宋_GB2312" w:hAnsi="仿宋_GB2312" w:eastAsia="仿宋_GB2312"/>
          <w:spacing w:val="0"/>
          <w:kern w:val="0"/>
          <w:sz w:val="28"/>
        </w:rPr>
        <w:t>年</w:t>
      </w:r>
      <w:r>
        <w:rPr>
          <w:rFonts w:hint="eastAsia" w:ascii="仿宋_GB2312" w:hAnsi="仿宋_GB2312" w:eastAsia="仿宋_GB2312"/>
          <w:spacing w:val="0"/>
          <w:kern w:val="0"/>
          <w:sz w:val="28"/>
          <w:lang w:val="en-US" w:eastAsia="zh-CN"/>
        </w:rPr>
        <w:t>12</w:t>
      </w:r>
      <w:r>
        <w:rPr>
          <w:rFonts w:hint="eastAsia" w:ascii="仿宋_GB2312" w:hAnsi="仿宋_GB2312" w:eastAsia="仿宋_GB2312"/>
          <w:spacing w:val="0"/>
          <w:kern w:val="0"/>
          <w:sz w:val="28"/>
        </w:rPr>
        <w:t>月</w:t>
      </w:r>
      <w:r>
        <w:rPr>
          <w:rFonts w:hint="eastAsia" w:ascii="仿宋_GB2312" w:hAnsi="仿宋_GB2312" w:eastAsia="仿宋_GB2312"/>
          <w:spacing w:val="0"/>
          <w:kern w:val="0"/>
          <w:sz w:val="28"/>
          <w:lang w:val="en-US" w:eastAsia="zh-CN"/>
        </w:rPr>
        <w:t>31</w:t>
      </w:r>
      <w:r>
        <w:rPr>
          <w:rFonts w:hint="eastAsia" w:ascii="仿宋_GB2312" w:hAnsi="仿宋_GB2312" w:eastAsia="仿宋_GB2312"/>
          <w:spacing w:val="0"/>
          <w:kern w:val="0"/>
          <w:sz w:val="28"/>
        </w:rPr>
        <w:t>日印发</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 w:hAnsi="仿宋" w:eastAsia="仿宋" w:cs="仿宋"/>
                              <w:sz w:val="24"/>
                              <w:szCs w:val="40"/>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仿宋" w:hAnsi="仿宋" w:eastAsia="仿宋" w:cs="仿宋"/>
                        <w:sz w:val="24"/>
                        <w:szCs w:val="40"/>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F54E6"/>
    <w:rsid w:val="006B05C2"/>
    <w:rsid w:val="008A385C"/>
    <w:rsid w:val="009F5894"/>
    <w:rsid w:val="0180422B"/>
    <w:rsid w:val="01B24556"/>
    <w:rsid w:val="02DB53ED"/>
    <w:rsid w:val="03EF3B00"/>
    <w:rsid w:val="04C266E3"/>
    <w:rsid w:val="054369B0"/>
    <w:rsid w:val="05B16FE4"/>
    <w:rsid w:val="083F5094"/>
    <w:rsid w:val="0A2967E8"/>
    <w:rsid w:val="0E4C5684"/>
    <w:rsid w:val="0F5F6446"/>
    <w:rsid w:val="112644C0"/>
    <w:rsid w:val="11EE7D79"/>
    <w:rsid w:val="1300693C"/>
    <w:rsid w:val="14A4376A"/>
    <w:rsid w:val="14AA59CD"/>
    <w:rsid w:val="14CD2FEA"/>
    <w:rsid w:val="164A2359"/>
    <w:rsid w:val="17626DAE"/>
    <w:rsid w:val="193F58A7"/>
    <w:rsid w:val="1A4A205C"/>
    <w:rsid w:val="1A93544A"/>
    <w:rsid w:val="1B0B1E6A"/>
    <w:rsid w:val="1BC5039F"/>
    <w:rsid w:val="1BC879DD"/>
    <w:rsid w:val="1BF530EC"/>
    <w:rsid w:val="1C951971"/>
    <w:rsid w:val="1CF40A91"/>
    <w:rsid w:val="1D40568D"/>
    <w:rsid w:val="1FBA6C9A"/>
    <w:rsid w:val="1FC36ADD"/>
    <w:rsid w:val="21F4496F"/>
    <w:rsid w:val="223F54E6"/>
    <w:rsid w:val="22F27762"/>
    <w:rsid w:val="23913DE8"/>
    <w:rsid w:val="24990E51"/>
    <w:rsid w:val="24CC02EC"/>
    <w:rsid w:val="27AA5053"/>
    <w:rsid w:val="29164D99"/>
    <w:rsid w:val="292D279A"/>
    <w:rsid w:val="29955CC7"/>
    <w:rsid w:val="29C61280"/>
    <w:rsid w:val="2C39029F"/>
    <w:rsid w:val="2CDE7D2D"/>
    <w:rsid w:val="2DCE6DCD"/>
    <w:rsid w:val="2EFD2524"/>
    <w:rsid w:val="2F881E8A"/>
    <w:rsid w:val="2FB90FA6"/>
    <w:rsid w:val="30052AD8"/>
    <w:rsid w:val="300B0925"/>
    <w:rsid w:val="309C4FFF"/>
    <w:rsid w:val="30D158FA"/>
    <w:rsid w:val="31B46F9B"/>
    <w:rsid w:val="32537D9E"/>
    <w:rsid w:val="32F76678"/>
    <w:rsid w:val="33AB5DD1"/>
    <w:rsid w:val="33D01672"/>
    <w:rsid w:val="34E31351"/>
    <w:rsid w:val="350150ED"/>
    <w:rsid w:val="35C215A7"/>
    <w:rsid w:val="37456390"/>
    <w:rsid w:val="37621E3A"/>
    <w:rsid w:val="38953CE0"/>
    <w:rsid w:val="39A35FB9"/>
    <w:rsid w:val="3BA313E5"/>
    <w:rsid w:val="3D130342"/>
    <w:rsid w:val="3D1B574E"/>
    <w:rsid w:val="3ED0191D"/>
    <w:rsid w:val="3F272020"/>
    <w:rsid w:val="3FE03B95"/>
    <w:rsid w:val="40083C7D"/>
    <w:rsid w:val="40096240"/>
    <w:rsid w:val="40BE58C5"/>
    <w:rsid w:val="428100DF"/>
    <w:rsid w:val="452E1301"/>
    <w:rsid w:val="452F2C10"/>
    <w:rsid w:val="46872E42"/>
    <w:rsid w:val="473B19EC"/>
    <w:rsid w:val="495A3BE4"/>
    <w:rsid w:val="4AE45C6A"/>
    <w:rsid w:val="4BD71239"/>
    <w:rsid w:val="52D363EF"/>
    <w:rsid w:val="539E2B16"/>
    <w:rsid w:val="53E44704"/>
    <w:rsid w:val="54BF3E43"/>
    <w:rsid w:val="56A41F28"/>
    <w:rsid w:val="59A1101C"/>
    <w:rsid w:val="5A3B3763"/>
    <w:rsid w:val="5AB368DA"/>
    <w:rsid w:val="5AFC7FD4"/>
    <w:rsid w:val="5B432946"/>
    <w:rsid w:val="5BA13469"/>
    <w:rsid w:val="5FD2628F"/>
    <w:rsid w:val="60CD50D3"/>
    <w:rsid w:val="61AA48CA"/>
    <w:rsid w:val="63370E85"/>
    <w:rsid w:val="65526949"/>
    <w:rsid w:val="67B67AE3"/>
    <w:rsid w:val="682865ED"/>
    <w:rsid w:val="68515FB2"/>
    <w:rsid w:val="689457A1"/>
    <w:rsid w:val="6954702E"/>
    <w:rsid w:val="6A1B68A2"/>
    <w:rsid w:val="6ABC68EE"/>
    <w:rsid w:val="6FED6CAD"/>
    <w:rsid w:val="6FFE024C"/>
    <w:rsid w:val="710B4F07"/>
    <w:rsid w:val="73B320FD"/>
    <w:rsid w:val="74015E5E"/>
    <w:rsid w:val="744D62DD"/>
    <w:rsid w:val="74853871"/>
    <w:rsid w:val="75994B06"/>
    <w:rsid w:val="75BC3008"/>
    <w:rsid w:val="75FB48B8"/>
    <w:rsid w:val="79BF3F99"/>
    <w:rsid w:val="7AD3168F"/>
    <w:rsid w:val="7E967B3C"/>
    <w:rsid w:val="7EEA7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ind w:left="200" w:leftChars="200" w:firstLine="420"/>
    </w:pPr>
    <w:rPr>
      <w:rFonts w:ascii="Times New Roman"/>
    </w:rPr>
  </w:style>
  <w:style w:type="paragraph" w:styleId="3">
    <w:name w:val="Body Text Indent"/>
    <w:basedOn w:val="1"/>
    <w:qFormat/>
    <w:uiPriority w:val="0"/>
    <w:pPr>
      <w:ind w:firstLine="544" w:firstLineChars="200"/>
    </w:pPr>
    <w:rPr>
      <w:rFonts w:ascii="仿宋_GB2312"/>
    </w:rPr>
  </w:style>
  <w:style w:type="paragraph" w:styleId="4">
    <w:name w:val="Body Text"/>
    <w:basedOn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unhideWhenUsed/>
    <w:qFormat/>
    <w:uiPriority w:val="39"/>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1738</Words>
  <Characters>1871</Characters>
  <Lines>0</Lines>
  <Paragraphs>0</Paragraphs>
  <TotalTime>6</TotalTime>
  <ScaleCrop>false</ScaleCrop>
  <LinksUpToDate>false</LinksUpToDate>
  <CharactersWithSpaces>1968</CharactersWithSpaces>
  <Application>WPS Office_11.8.2.12251_F1E327BC-269C-435d-A152-05C5408002CA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2024-08-15T07:10:00Z</dcterms:created>
  <dc:creator>森屿海巷</dc:creator>
  <cp:lastModifiedBy>Administrator</cp:lastModifiedBy>
  <cp:lastPrinted>2024-12-31T07:56:00Z</cp:lastPrinted>
  <dcterms:modified xsi:type="dcterms:W3CDTF">2024-12-31T08:27:00Z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2052-11.8.2.12251</vt:lpwstr>
  </property>
  <property fmtid="{D5CDD505-2E9C-101B-9397-08002B2CF9AE}" pid="3" name="ICV">
    <vt:lpwstr>4F6630997A3547D4B116E4DA2454E219</vt:lpwstr>
  </property>
</Properties>
</file>