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8F39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eastAsia="zh-CN"/>
        </w:rPr>
        <w:t>阜平县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2024年国民经济和社会发展</w:t>
      </w:r>
    </w:p>
    <w:p w14:paraId="1BF252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auto"/>
          <w:sz w:val="44"/>
          <w:szCs w:val="44"/>
          <w:lang w:val="en-US" w:eastAsia="zh-CN"/>
        </w:rPr>
        <w:t>统计公报</w:t>
      </w:r>
    </w:p>
    <w:p w14:paraId="627EED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6"/>
          <w:szCs w:val="36"/>
          <w:lang w:val="en-US" w:eastAsia="zh-CN"/>
        </w:rPr>
        <w:t>2025年5月14日</w:t>
      </w:r>
    </w:p>
    <w:p w14:paraId="4FC01454">
      <w:pPr>
        <w:jc w:val="center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p w14:paraId="7F8835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2024年是新中国成立75周年，是实现“十四五”规划目标任务的关键一年，也是阜平乘势而上、跨越赶超的一年。一年来，在县委、县政府的坚强领导下，全县上下坚持以习近平新时代中国特色社会主义思想为指导，深入学习贯彻党的二十大和</w:t>
      </w:r>
      <w:bookmarkStart w:id="22" w:name="_GoBack"/>
      <w:bookmarkEnd w:id="22"/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二十届二中、三中全会精神和习近平总书记视察河北重要讲话精神，踔厉奋发，稳中求进，以进促稳，统筹推进经济社会高质量发展。</w:t>
      </w:r>
    </w:p>
    <w:p w14:paraId="712E70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5B19737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lang w:val="en-US" w:eastAsia="zh-CN"/>
        </w:rPr>
        <w:t>一、综  合</w:t>
      </w:r>
    </w:p>
    <w:p w14:paraId="63F8808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lang w:val="en-US" w:eastAsia="zh-CN"/>
        </w:rPr>
      </w:pPr>
    </w:p>
    <w:p w14:paraId="68D6AF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初步核算，全县生产总值实现81.1亿元，按不变价格计算，比上年增长7.5%。其中，第一产业增加值26.6亿元，增长7.3%；第二产业增加值17.4亿元，增长12.2%；第三产业增加值37.1亿元，增长5.3%。三次产业结构为32.8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21.4</w:t>
      </w:r>
      <w:r>
        <w:rPr>
          <w:rFonts w:hint="default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: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45.7。全县人均生产总值为43413元，比上年增长27.7%。</w:t>
      </w:r>
    </w:p>
    <w:p w14:paraId="493B8E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highlight w:val="yellow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年末全县常住人口185740人，比上年末减少2010人。其中，城镇常住人口102250人，比上年末减少331人，常住人口城镇化率为55.05%，比上年末提高0.41个百分点。</w:t>
      </w:r>
      <w:bookmarkStart w:id="0" w:name="OLE_LINK14"/>
      <w:bookmarkStart w:id="1" w:name="OLE_LINK13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出生人口1134人，死亡人口1084人，人口自然增长率0.23‰。</w:t>
      </w:r>
      <w:bookmarkEnd w:id="0"/>
    </w:p>
    <w:bookmarkEnd w:id="1"/>
    <w:p w14:paraId="18F490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全县</w:t>
      </w:r>
      <w:bookmarkStart w:id="2" w:name="OLE_LINK22"/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新登记经营主体1882户，截</w:t>
      </w:r>
      <w:bookmarkEnd w:id="2"/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至2024年底经营主体23478户。其中，新登记企业498户，年末累计企业9179户；新登记个体工商户1384户，累计个体工商户12417户。</w:t>
      </w:r>
    </w:p>
    <w:p w14:paraId="32CEFF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全县民营经济增加值实现563842万元，比上年增长6.8%，民营经济增加值占全县生产总值的比重为69.5%。</w:t>
      </w:r>
      <w:bookmarkStart w:id="3" w:name="OLE_LINK21"/>
      <w:bookmarkStart w:id="4" w:name="OLE_LINK20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民营经济实缴税金26764万元，增长6.5%。</w:t>
      </w:r>
      <w:bookmarkEnd w:id="3"/>
    </w:p>
    <w:bookmarkEnd w:id="4"/>
    <w:p w14:paraId="7EF4D8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yellow"/>
          <w:shd w:val="clear" w:color="auto" w:fill="auto"/>
          <w:lang w:val="en-US" w:eastAsia="zh-CN"/>
        </w:rPr>
      </w:pPr>
    </w:p>
    <w:p w14:paraId="24F5441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361" w:firstLineChars="100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shd w:val="clear" w:color="auto" w:fill="auto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shd w:val="clear" w:color="auto" w:fill="auto"/>
          <w:lang w:eastAsia="zh-CN"/>
        </w:rPr>
        <w:t>二、农</w:t>
      </w: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shd w:val="clear" w:color="auto" w:fill="auto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shd w:val="clear" w:color="auto" w:fill="auto"/>
          <w:lang w:eastAsia="zh-CN"/>
        </w:rPr>
        <w:t>业</w:t>
      </w:r>
    </w:p>
    <w:p w14:paraId="612287E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</w:p>
    <w:p w14:paraId="0C669B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全年农、林、牧、渔业总产值38.8亿元，同比增长7.5%。其中，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农业产值30.4亿元，同比增长10.8%；林业产值1.6亿元，同比增长6.0%；牧业产值5.0亿元，同比下降8.6%；渔业产值1.2亿元，同比增长11.1%；农林牧渔服务业产值0.6亿元，同比增长7.5%。</w:t>
      </w:r>
    </w:p>
    <w:p w14:paraId="0251E32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全年粮食播种面积15.18万亩，同比增长0.09%，粮食产量46872吨，同比增长0.002%。其中：夏粮10919吨，同比增长0.2%；秋粮35953吨，同比下降0.06%。</w:t>
      </w:r>
    </w:p>
    <w:p w14:paraId="63BBCE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全县蔬菜产量76194吨，同比下降1.59%；种植面积1494公顷，同比增长4.39%；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食用菌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全年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产量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83863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吨，同比增长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12.98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%，其中，鲜品产量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75289吨，同比增长19.39%。</w:t>
      </w:r>
    </w:p>
    <w:p w14:paraId="791B51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全县瓜果类种植面积34公顷，同比增长2.01%；产量937吨，同比增长2.9%；全县园林水果产量94579吨，同比增长6.1%；年末园林水果面积14625公顷，同比增长9.99%；全县油料作物种植面积2172公顷，同期增长403.13%。</w:t>
      </w:r>
    </w:p>
    <w:p w14:paraId="5C0B2B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2024年末牛存栏为125.71百头，同比增长1.9%；羊存栏804.51百只，同比下降0.9%；猪存栏1209.72百头，同比下降4.7%。2024年全年牛出栏70.53百头，同比下降3.6%；羊出栏677.38百头，同比下降3.7%；猪出栏919.79百头，同比下降3.2%；家禽出栏11387.48百只，同比上升4.5%；猪肉产量6872度，同比增长1.3%；牛肉产量1180吨，同比下降4.1%；羊肉产量965吨，同比增长16.1%；禽蛋3975吨，同比增长5.9%。</w:t>
      </w:r>
    </w:p>
    <w:p w14:paraId="4337D8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174CBB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shd w:val="clear" w:color="auto" w:fill="auto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shd w:val="clear" w:color="auto" w:fill="auto"/>
          <w:lang w:eastAsia="zh-CN"/>
        </w:rPr>
        <w:t>三、工业和建筑业</w:t>
      </w:r>
    </w:p>
    <w:p w14:paraId="002EB5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shd w:val="clear" w:color="auto" w:fill="auto"/>
          <w:lang w:val="en-US" w:eastAsia="zh-CN"/>
        </w:rPr>
      </w:pPr>
    </w:p>
    <w:p w14:paraId="5D97B61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全部工业增加值11.5亿元，比上年上升45%。其中规模以上工业增加值增长13.8%。在规模以上工业中，国有控股企业增加值增长260.5%，私营企业增加值增长105.2%，非公有企业增加值增长84.9%。分门类看，采矿业增加值增长103%，制造业增长34.2%，电力、热力、燃气及水生产和供应业下降14.2%。分轻重工业看，轻工业企业增加值同比增长40.1%，重工业企业增加值同比增长58.8%。</w:t>
      </w:r>
      <w:bookmarkStart w:id="5" w:name="OLE_LINK1"/>
    </w:p>
    <w:bookmarkEnd w:id="5"/>
    <w:p w14:paraId="0C0EF8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全社会建筑业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lang w:val="en-US" w:eastAsia="zh-CN" w:bidi="ar-SA"/>
        </w:rPr>
        <w:t>产值实现5.7亿元，增速16.3%。</w:t>
      </w:r>
    </w:p>
    <w:p w14:paraId="3AD7FA0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u w:val="none"/>
          <w:lang w:val="en-US" w:eastAsia="zh-CN" w:bidi="ar-SA"/>
        </w:rPr>
      </w:pPr>
    </w:p>
    <w:p w14:paraId="41D9EB3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shd w:val="clear" w:color="auto" w:fill="auto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shd w:val="clear" w:color="auto" w:fill="auto"/>
          <w:lang w:eastAsia="zh-CN"/>
        </w:rPr>
        <w:t>四、服务业</w:t>
      </w:r>
    </w:p>
    <w:p w14:paraId="197DCD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</w:rPr>
      </w:pPr>
    </w:p>
    <w:p w14:paraId="4DBA1C3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全年批发和零售业增加值43467万元，比上年增长16.2%；交通运输、仓储和邮政业增加值17403万元，增长2.4%；住宿和餐饮业增加值13680万元，增长18.7%；金融业增加值58656万元，增长3.6%；房地产业增加值51426万元，下降0.1%；信息传输、软件和信息技术服务业增加值12255万元，增长17.8%；科学研究和技术服务业增加值8780万元，增长7.3%。</w:t>
      </w:r>
      <w:bookmarkStart w:id="6" w:name="OLE_LINK2"/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全年规模以上服务业企业营业收入比上年增长12.7%，利润总额增长585.8%。</w:t>
      </w:r>
      <w:bookmarkEnd w:id="6"/>
    </w:p>
    <w:p w14:paraId="039CA1C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  <w:bookmarkStart w:id="7" w:name="OLE_LINK4"/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全年电信业务收入1.1亿元。年末拥有移动电话用户18.3万户，其中，4G移动电话用户10.9万户，5G移动电话用户6.2万户。固定电话用户1.0万户。手机上网用户15.1万户。</w:t>
      </w:r>
    </w:p>
    <w:p w14:paraId="10AD92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</w:p>
    <w:bookmarkEnd w:id="7"/>
    <w:p w14:paraId="6C51CE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shd w:val="clear" w:color="auto" w:fill="auto"/>
          <w:lang w:val="en-US" w:eastAsia="zh-CN"/>
        </w:rPr>
        <w:t>五、国内贸易</w:t>
      </w:r>
    </w:p>
    <w:p w14:paraId="316BFFF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</w:p>
    <w:p w14:paraId="2CF4901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全年社会消费品零售总额实现12.9亿元，比上年增长9.5%；限额以上消费品零售额完成2.9亿元，比上年增长30.7%。</w:t>
      </w:r>
    </w:p>
    <w:p w14:paraId="767CFA3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shd w:val="clear" w:color="auto" w:fill="auto"/>
          <w:lang w:val="en-US" w:eastAsia="zh-CN"/>
        </w:rPr>
      </w:pPr>
      <w:bookmarkStart w:id="8" w:name="OLE_LINK6"/>
    </w:p>
    <w:bookmarkEnd w:id="8"/>
    <w:p w14:paraId="12C124B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shd w:val="clear" w:color="auto" w:fill="auto"/>
          <w:lang w:val="en-US" w:eastAsia="zh-CN"/>
        </w:rPr>
      </w:pPr>
      <w:bookmarkStart w:id="9" w:name="OLE_LINK5"/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shd w:val="clear" w:color="auto" w:fill="auto"/>
          <w:lang w:val="en-US" w:eastAsia="zh-CN"/>
        </w:rPr>
        <w:t>六、固定资产投资</w:t>
      </w:r>
    </w:p>
    <w:p w14:paraId="6646B1C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</w:p>
    <w:bookmarkEnd w:id="9"/>
    <w:p w14:paraId="57FA61D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全社会固定资产投资比上年增长22.1%。其中，第一产业投资下降63.8%，第二产业投资下降9.4%，第三产业投资增长80.7%。</w:t>
      </w:r>
    </w:p>
    <w:p w14:paraId="0F58D4B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" w:eastAsia="仿宋_GB2312"/>
          <w:b w:val="0"/>
          <w:bCs/>
          <w:color w:val="auto"/>
          <w:sz w:val="32"/>
          <w:szCs w:val="32"/>
          <w:lang w:eastAsia="zh-CN"/>
        </w:rPr>
        <w:t>工业投资增速为</w:t>
      </w:r>
      <w:r>
        <w:rPr>
          <w:rFonts w:hint="eastAsia" w:ascii="仿宋_GB2312" w:hAnsi="仿宋" w:eastAsia="仿宋_GB2312"/>
          <w:b w:val="0"/>
          <w:bCs/>
          <w:color w:val="auto"/>
          <w:sz w:val="32"/>
          <w:szCs w:val="32"/>
          <w:lang w:val="en-US" w:eastAsia="zh-CN"/>
        </w:rPr>
        <w:t>-9.4%，</w:t>
      </w:r>
      <w:r>
        <w:rPr>
          <w:rFonts w:hint="eastAsia" w:ascii="仿宋_GB2312" w:hAnsi="仿宋" w:eastAsia="仿宋_GB2312"/>
          <w:b w:val="0"/>
          <w:bCs/>
          <w:color w:val="auto"/>
          <w:sz w:val="32"/>
          <w:szCs w:val="32"/>
          <w:lang w:eastAsia="zh-CN"/>
        </w:rPr>
        <w:t>工业技改投资增速为</w:t>
      </w:r>
      <w:r>
        <w:rPr>
          <w:rFonts w:hint="eastAsia" w:ascii="仿宋_GB2312" w:hAnsi="仿宋" w:eastAsia="仿宋_GB2312"/>
          <w:b w:val="0"/>
          <w:bCs/>
          <w:color w:val="auto"/>
          <w:sz w:val="32"/>
          <w:szCs w:val="32"/>
          <w:lang w:val="en-US" w:eastAsia="zh-CN"/>
        </w:rPr>
        <w:t>-29.3%，</w:t>
      </w:r>
      <w:r>
        <w:rPr>
          <w:rFonts w:hint="eastAsia" w:ascii="仿宋_GB2312" w:hAnsi="仿宋" w:eastAsia="仿宋_GB2312"/>
          <w:b w:val="0"/>
          <w:bCs/>
          <w:color w:val="auto"/>
          <w:sz w:val="32"/>
          <w:szCs w:val="32"/>
          <w:lang w:eastAsia="zh-CN"/>
        </w:rPr>
        <w:t>基础设施投资增速为</w:t>
      </w:r>
      <w:r>
        <w:rPr>
          <w:rFonts w:hint="eastAsia" w:ascii="仿宋_GB2312" w:hAnsi="仿宋" w:eastAsia="仿宋_GB2312"/>
          <w:b w:val="0"/>
          <w:bCs/>
          <w:color w:val="auto"/>
          <w:sz w:val="32"/>
          <w:szCs w:val="32"/>
          <w:lang w:val="en-US" w:eastAsia="zh-CN"/>
        </w:rPr>
        <w:t>143.1%，民间投资占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固定资产投资的</w:t>
      </w:r>
      <w:r>
        <w:rPr>
          <w:rFonts w:hint="eastAsia" w:ascii="仿宋_GB2312" w:hAnsi="仿宋" w:eastAsia="仿宋_GB2312"/>
          <w:b w:val="0"/>
          <w:bCs/>
          <w:color w:val="auto"/>
          <w:sz w:val="32"/>
          <w:szCs w:val="32"/>
          <w:lang w:val="en-US" w:eastAsia="zh-CN"/>
        </w:rPr>
        <w:t>比重为32.6%。</w:t>
      </w:r>
    </w:p>
    <w:p w14:paraId="3BCC58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" w:eastAsia="仿宋_GB2312" w:cs="Times New Roman"/>
          <w:b w:val="0"/>
          <w:bCs/>
          <w:color w:val="auto"/>
          <w:sz w:val="32"/>
          <w:szCs w:val="32"/>
          <w:lang w:val="en-US" w:eastAsia="zh-CN"/>
        </w:rPr>
        <w:t>房地产开发投资比上年下降88%。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其中，住宅投资下降86%。全年商品房销售面积18475万平方米，比上年下降38.3%。</w:t>
      </w:r>
    </w:p>
    <w:p w14:paraId="49D556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</w:p>
    <w:p w14:paraId="6F9A3D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shd w:val="clear" w:color="auto" w:fill="auto"/>
          <w:lang w:val="en-US" w:eastAsia="zh-CN"/>
        </w:rPr>
      </w:pPr>
      <w:bookmarkStart w:id="10" w:name="OLE_LINK7"/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shd w:val="clear" w:color="auto" w:fill="auto"/>
          <w:lang w:val="en-US" w:eastAsia="zh-CN"/>
        </w:rPr>
        <w:t>七、对外经济</w:t>
      </w:r>
    </w:p>
    <w:p w14:paraId="09F8BDC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</w:p>
    <w:bookmarkEnd w:id="10"/>
    <w:p w14:paraId="50FCF4E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全县进出口总额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11184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万元，比上年增长103.2%。其中，出口总值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9205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万元，增长175.07%；进口总值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1979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万元，下降8.27%。</w:t>
      </w:r>
    </w:p>
    <w:p w14:paraId="2461329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" w:eastAsia="仿宋_GB2312" w:cs="Times New Roman"/>
          <w:color w:val="auto"/>
          <w:sz w:val="32"/>
          <w:szCs w:val="32"/>
          <w:lang w:val="en-US" w:eastAsia="zh-CN"/>
        </w:rPr>
      </w:pPr>
    </w:p>
    <w:p w14:paraId="075A0FC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shd w:val="clear" w:color="auto" w:fill="auto"/>
          <w:lang w:val="en-US" w:eastAsia="zh-CN"/>
        </w:rPr>
        <w:t>八、财政金融</w:t>
      </w:r>
    </w:p>
    <w:p w14:paraId="627ACDD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" w:eastAsia="仿宋_GB2312"/>
          <w:color w:val="auto"/>
          <w:sz w:val="32"/>
          <w:szCs w:val="32"/>
        </w:rPr>
      </w:pPr>
    </w:p>
    <w:p w14:paraId="7F1C06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hAnsi="仿宋" w:eastAsia="仿宋_GB2312"/>
          <w:color w:val="auto"/>
          <w:sz w:val="32"/>
          <w:szCs w:val="32"/>
        </w:rPr>
        <w:t>全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县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一般公共预算收入</w:t>
      </w:r>
      <w:r>
        <w:rPr>
          <w:rFonts w:hint="eastAsia" w:ascii="仿宋_GB2312" w:hAnsi="仿宋" w:eastAsia="仿宋_GB2312"/>
          <w:bCs/>
          <w:color w:val="auto"/>
          <w:sz w:val="32"/>
          <w:szCs w:val="32"/>
          <w:lang w:val="en-US" w:eastAsia="zh-CN"/>
        </w:rPr>
        <w:t>90003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万元，增速为</w:t>
      </w:r>
      <w:r>
        <w:rPr>
          <w:rFonts w:hint="eastAsia" w:ascii="仿宋_GB2312" w:hAnsi="仿宋" w:eastAsia="仿宋_GB2312"/>
          <w:bCs/>
          <w:color w:val="auto"/>
          <w:sz w:val="32"/>
          <w:szCs w:val="32"/>
          <w:lang w:val="en-US" w:eastAsia="zh-CN"/>
        </w:rPr>
        <w:t>-33.4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，其中，税收收入16156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万元，增速为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2.8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%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一般公共预算</w:t>
      </w:r>
      <w:r>
        <w:rPr>
          <w:rFonts w:hint="eastAsia" w:ascii="仿宋_GB2312" w:hAnsi="仿宋" w:eastAsia="仿宋_GB2312"/>
          <w:color w:val="auto"/>
          <w:sz w:val="32"/>
          <w:szCs w:val="32"/>
          <w:lang w:eastAsia="zh-CN"/>
        </w:rPr>
        <w:t>支出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498615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万元，增速为</w:t>
      </w: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>47.6</w:t>
      </w:r>
      <w:r>
        <w:rPr>
          <w:rFonts w:hint="eastAsia" w:ascii="仿宋_GB2312" w:hAnsi="仿宋" w:eastAsia="仿宋_GB2312"/>
          <w:color w:val="auto"/>
          <w:sz w:val="32"/>
          <w:szCs w:val="32"/>
        </w:rPr>
        <w:t>%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。</w:t>
      </w:r>
    </w:p>
    <w:p w14:paraId="79FAA1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default" w:ascii="仿宋_GB2312" w:hAnsi="仿宋" w:eastAsia="仿宋_GB2312" w:cs="Times New Roman"/>
          <w:color w:val="auto"/>
          <w:sz w:val="32"/>
          <w:szCs w:val="32"/>
          <w:lang w:val="en-US" w:eastAsia="zh-CN"/>
        </w:rPr>
      </w:pPr>
    </w:p>
    <w:p w14:paraId="3CF7FDF8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shd w:val="clear" w:color="auto" w:fill="auto"/>
          <w:lang w:val="en-US" w:eastAsia="zh-CN"/>
        </w:rPr>
        <w:t>居民收入和社会保障</w:t>
      </w:r>
    </w:p>
    <w:p w14:paraId="355A2EC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shd w:val="clear" w:color="auto" w:fill="auto"/>
          <w:lang w:val="en-US" w:eastAsia="zh-CN"/>
        </w:rPr>
      </w:pPr>
    </w:p>
    <w:p w14:paraId="0624D6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全县居民人均可支配收入23739元，比上年增长5.7%。按常住地分，城镇居民人均可支配收入30498元，增长4.8%；农村居民人均可支配收入15461元，增长7.1%。</w:t>
      </w:r>
    </w:p>
    <w:p w14:paraId="0FDBCC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ascii="PingFangSC-light" w:hAnsi="PingFangSC-light" w:eastAsia="PingFangSC-light" w:cs="PingFangSC-light"/>
          <w:i w:val="0"/>
          <w:iCs w:val="0"/>
          <w:caps w:val="0"/>
          <w:color w:val="auto"/>
          <w:spacing w:val="0"/>
          <w:sz w:val="22"/>
          <w:szCs w:val="22"/>
          <w:shd w:val="clear" w:fill="FFF5E8"/>
        </w:rPr>
      </w:pPr>
      <w:bookmarkStart w:id="11" w:name="OLE_LINK9"/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全县参加基本养老保险人数为147319人，比上年减少1667人，其中，企业职工基本养老保险参保14355人，机关养老保险参保4932人，城乡居民基本养老保险参保128032人。</w:t>
      </w:r>
      <w:bookmarkEnd w:id="11"/>
      <w:bookmarkStart w:id="12" w:name="OLE_LINK8"/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参加基本医疗保险人数195991人，比上年减少6732人。其中，城镇职工基本医疗保险参保20135人，城乡居民基本医疗保险参保175856人。</w:t>
      </w:r>
      <w:bookmarkEnd w:id="12"/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参加失业保险人数13330人，比上年增加175人。</w:t>
      </w:r>
      <w:bookmarkStart w:id="13" w:name="OLE_LINK10"/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参加生育保险人数14702人，比上年减少20人。</w:t>
      </w:r>
    </w:p>
    <w:bookmarkEnd w:id="13"/>
    <w:p w14:paraId="090C520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440" w:firstLineChars="200"/>
        <w:textAlignment w:val="auto"/>
        <w:rPr>
          <w:rFonts w:hint="default" w:ascii="PingFangSC-light" w:hAnsi="PingFangSC-light" w:eastAsia="PingFangSC-light" w:cs="PingFangSC-light"/>
          <w:i w:val="0"/>
          <w:iCs w:val="0"/>
          <w:caps w:val="0"/>
          <w:color w:val="auto"/>
          <w:spacing w:val="0"/>
          <w:sz w:val="22"/>
          <w:szCs w:val="22"/>
          <w:shd w:val="clear" w:fill="FFF5E8"/>
          <w:lang w:val="en-US" w:eastAsia="zh-CN"/>
        </w:rPr>
      </w:pPr>
    </w:p>
    <w:p w14:paraId="168DE39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shd w:val="clear" w:color="auto" w:fill="auto"/>
          <w:lang w:val="en-US" w:eastAsia="zh-CN"/>
        </w:rPr>
        <w:t>十、教育和体育</w:t>
      </w:r>
    </w:p>
    <w:p w14:paraId="706ADC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both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shd w:val="clear" w:color="auto" w:fill="auto"/>
          <w:lang w:val="en-US" w:eastAsia="zh-CN"/>
        </w:rPr>
      </w:pPr>
    </w:p>
    <w:p w14:paraId="2F2CEC1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  <w:bookmarkStart w:id="14" w:name="OLE_LINK11"/>
      <w:bookmarkStart w:id="15" w:name="OLE_LINK23"/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年末现有学校63所。其中，普通高中、完全中学、中等职业学校、特殊教育学校各1所，初中8所，九年一贯制学校7所，小学28所（辐射教学点45所），幼儿园16所（公办园5所、民办园11所）。</w:t>
      </w:r>
    </w:p>
    <w:p w14:paraId="7944B44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在校生42209人。其中，中等职业学校10300人(中专生4104人，教学班95个；大专统招生5596人，教学班91个；扩招生600人，教学班15个)，普通高中4810人，初中9891人，小学13783人，幼儿园3321人，特殊教育学校104人。</w:t>
      </w:r>
    </w:p>
    <w:p w14:paraId="6F32F4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教职工3225人。其中，公办独立园147人，小学1189人，初中895人，普通高中311人，完全中学224人，职教中心431人，特殊教育学校28人。</w:t>
      </w:r>
    </w:p>
    <w:p w14:paraId="6F4D70F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高中阶段毛入学率为95.0%。</w:t>
      </w:r>
      <w:bookmarkEnd w:id="14"/>
    </w:p>
    <w:p w14:paraId="583D3EE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</w:p>
    <w:bookmarkEnd w:id="15"/>
    <w:p w14:paraId="0F8300C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shd w:val="clear" w:color="auto" w:fill="auto"/>
          <w:lang w:val="en-US" w:eastAsia="zh-CN"/>
        </w:rPr>
        <w:t>十一、文化旅游、卫生健康</w:t>
      </w:r>
    </w:p>
    <w:p w14:paraId="2006726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</w:p>
    <w:p w14:paraId="7A52055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  <w:bookmarkStart w:id="16" w:name="OLE_LINK12"/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全县有公共图书馆1个，藏书70400册，文化馆1个。</w:t>
      </w:r>
    </w:p>
    <w:p w14:paraId="7AC2498C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全县有国家级文物保护单位1处5点（晋察冀边区政府及军区司令部旧址：晋察冀军区司令部旧址、晋察冀边区政府成立处旧址、晋察冀军区司令部-庙台旧址、晋察冀边区政府家北旧址、晋察冀边区政府-花山旧址）；省级文物保护单位38处：石佛堂、37处有长城编号的长城；县级文物保护单位33处:五丈湾地雷阵战场旧址、四秃子山、阜平县烈士亭、平阳千人墓、十八烈士墓、赤瓦屋烈士墓(包括张立碑)、城南庄古遗址、大道古墓、寺口古遗址、招提寺墓群、招提寺石碑、吴王太子墓、晋察冀日报社旧址、晋察冀边区第一届参议会旧址、聂荣臻“三进三出”常家渠抗战旧址、平房华北联合大学旧址、(向阳庄、易家庄荣臻小学校旧址)、新房中共晋察冀中央局旧址、(骆驼湾、顾家台脱贫攻坚第一站)、坡山第一部毛选诞生地旧址、(魏家峪村耿氏家祠、知府大院、石桥)、台峪中共中央晋察冀分局旧址、仙人寺、三官晋察冀边区印刷局旧址、南峪第一套人民币出版地、洞子沟、花沟掌晋察冀画报社旧址、大柳树文昌阁、(麻棚、下雷堡晋察冀日报社旧址)、西下关毛主席路居旧址、大连地晋察冀军区司令部旧址、陈家沟晋察冀军区敌工部旧址、细沟邓颖超旧居、大胡卜聂荣臻旧居)。</w:t>
      </w:r>
    </w:p>
    <w:p w14:paraId="33DF2A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全县共有非物质文化遗产项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目44项，其中，市级非遗项目10项（大盆肘子、缸炉烧饼、枣醋、娃娃腔、轿鼓、背歌、宫灯、毛掸子会、铙釵古乐、旗号会），县级非遗项目34项（擎歌、牛斗虎、精武缘武术、瓦窑霸王鞭、叉会、西乐会、霸王鞭、龙泉关旱船、黑林沟社火、武会、枣酒、阜贡枣酒、单液态恒温酵馏枣酒、红枣枸杞酒、石坊酒业、铁锅炖鱼、老孙家豆腐、老孙家煎饼、瓦块鱼、养生蒸枣、阜平枣糕、腊肉、耿氏祠堂、九曲黄河阵、剪纸、羊道村绣花鞋垫、太行根雕、焦枣茶、醇油坊压榨技艺、“之千里”手工布鞋、柏崖青秀山根雕木艺、西庄武会、尚驴府驴肉制作技艺、葛达头村石墨面粉加工技艺)。</w:t>
      </w:r>
    </w:p>
    <w:p w14:paraId="100B7F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shd w:val="clear" w:color="auto" w:fill="auto"/>
          <w:lang w:val="en-US" w:eastAsia="zh-CN"/>
        </w:rPr>
        <w:t>旅游总收入35.21亿元，同比增长60.2%。</w:t>
      </w:r>
      <w:bookmarkEnd w:id="16"/>
    </w:p>
    <w:p w14:paraId="3D80080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  <w:bookmarkStart w:id="17" w:name="OLE_LINK15"/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全县共有5个县直医疗卫生单位（县医院、中医医院、妇幼保健站、疾控中心、卫生监督所），乡镇卫生院6所，乡镇卫生院一体化管理村卫生室185个，民营医院7所，从业人员1513人。全县编制床位数1076张，其中，县级医院629张，乡镇卫生院247张，妇幼保健院20张，民营医院180张。人口按照187750计算，每千人口拥有床位数5.73张。执业（助理）医师数624人，每千人口拥有执业（助理）医师人数3.32人。注册护士数454人，每千人口拥有注册护士人数2.41人。</w:t>
      </w:r>
      <w:bookmarkEnd w:id="17"/>
    </w:p>
    <w:p w14:paraId="610C8C7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</w:p>
    <w:p w14:paraId="7D6759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center"/>
        <w:textAlignment w:val="auto"/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36"/>
          <w:szCs w:val="36"/>
          <w:shd w:val="clear" w:color="auto" w:fill="auto"/>
          <w:lang w:val="en-US" w:eastAsia="zh-CN"/>
        </w:rPr>
        <w:t>十三、资源、环境和安全生产</w:t>
      </w:r>
    </w:p>
    <w:p w14:paraId="5C53C46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</w:p>
    <w:p w14:paraId="4CC6F25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  <w:bookmarkStart w:id="18" w:name="OLE_LINK17"/>
      <w:bookmarkStart w:id="19" w:name="OLE_LINK16"/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全年造林绿化13万亩，其中：人工造林3.5万亩，封山育林2万亩，营林7.5万亩。</w:t>
      </w:r>
    </w:p>
    <w:bookmarkEnd w:id="18"/>
    <w:p w14:paraId="70756F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  <w:bookmarkStart w:id="20" w:name="OLE_LINK19"/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全年空气质量优良天数为270天，比去年增加16天，同比增长6.30%。主要污染物PM2.5平均浓度37微克/立方米，同比增长8.82%。</w:t>
      </w:r>
      <w:bookmarkEnd w:id="20"/>
    </w:p>
    <w:p w14:paraId="37A095B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  <w:bookmarkStart w:id="21" w:name="OLE_LINK18"/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全年各类生产安全事故死亡0人。</w:t>
      </w:r>
    </w:p>
    <w:bookmarkEnd w:id="19"/>
    <w:bookmarkEnd w:id="21"/>
    <w:p w14:paraId="339237D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</w:p>
    <w:p w14:paraId="5661083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注释：</w:t>
      </w:r>
    </w:p>
    <w:p w14:paraId="606731D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1.本公报2024年部分数据为快报数。</w:t>
      </w:r>
    </w:p>
    <w:p w14:paraId="012A42E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2.公报中生产总值、各产业、各行业增加值绝对数按现行价格计算，增长速度按不变价格计算。</w:t>
      </w:r>
    </w:p>
    <w:p w14:paraId="4781B72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3.公报中部分数据由于单位取舍不同而产生的计算误差，未作机械调整。</w:t>
      </w:r>
    </w:p>
    <w:p w14:paraId="6478DB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4.根据第五次全国经济普查结果，对地区生产总值、社会消费品零售总额数据进行了修订。</w:t>
      </w:r>
    </w:p>
    <w:p w14:paraId="5C811A9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宋体" w:hAnsi="宋体" w:cs="宋体"/>
          <w:color w:val="auto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  <w:t>5.公报中部分数据来源于相关部门。</w:t>
      </w:r>
    </w:p>
    <w:p w14:paraId="295F884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 w:firstLine="640" w:firstLineChars="200"/>
        <w:textAlignment w:val="auto"/>
        <w:rPr>
          <w:rFonts w:hint="default" w:ascii="仿宋_GB2312" w:hAnsi="仿宋_GB2312" w:eastAsia="仿宋_GB2312" w:cs="仿宋_GB2312"/>
          <w:color w:val="auto"/>
          <w:sz w:val="32"/>
          <w:szCs w:val="32"/>
          <w:shd w:val="clear" w:color="auto" w:fill="auto"/>
          <w:lang w:val="en-US" w:eastAsia="zh-CN"/>
        </w:rPr>
      </w:pPr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34"/>
    <w:family w:val="auto"/>
    <w:pitch w:val="default"/>
    <w:sig w:usb0="00000000" w:usb1="0000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altName w:val="方正仿宋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PingFangSC-light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929ED7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1CFFCF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51CFFCF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F226A1"/>
    <w:multiLevelType w:val="singleLevel"/>
    <w:tmpl w:val="ABF226A1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7326D9"/>
    <w:rsid w:val="008937EF"/>
    <w:rsid w:val="00E11C7F"/>
    <w:rsid w:val="01482928"/>
    <w:rsid w:val="01B93EE0"/>
    <w:rsid w:val="025D5AFC"/>
    <w:rsid w:val="041A5EA3"/>
    <w:rsid w:val="062E1DC0"/>
    <w:rsid w:val="06EE5469"/>
    <w:rsid w:val="07725787"/>
    <w:rsid w:val="0875556E"/>
    <w:rsid w:val="0F4E652C"/>
    <w:rsid w:val="1000054D"/>
    <w:rsid w:val="1001144E"/>
    <w:rsid w:val="114D01EF"/>
    <w:rsid w:val="11A021F8"/>
    <w:rsid w:val="133C39D5"/>
    <w:rsid w:val="160F623F"/>
    <w:rsid w:val="16176ECF"/>
    <w:rsid w:val="18664195"/>
    <w:rsid w:val="1A682661"/>
    <w:rsid w:val="1D1631C4"/>
    <w:rsid w:val="1DCF0518"/>
    <w:rsid w:val="1F3E5153"/>
    <w:rsid w:val="206416B2"/>
    <w:rsid w:val="220B2CE7"/>
    <w:rsid w:val="22727213"/>
    <w:rsid w:val="22AA156C"/>
    <w:rsid w:val="241212B3"/>
    <w:rsid w:val="26381B56"/>
    <w:rsid w:val="28751D16"/>
    <w:rsid w:val="2B30453E"/>
    <w:rsid w:val="2ED55B28"/>
    <w:rsid w:val="2EED61EC"/>
    <w:rsid w:val="2F32147B"/>
    <w:rsid w:val="2F814A7D"/>
    <w:rsid w:val="325F7434"/>
    <w:rsid w:val="33FC6E79"/>
    <w:rsid w:val="341D288D"/>
    <w:rsid w:val="34447BBD"/>
    <w:rsid w:val="37E706C5"/>
    <w:rsid w:val="3AB3405B"/>
    <w:rsid w:val="3ACC4C05"/>
    <w:rsid w:val="3B7E7EB2"/>
    <w:rsid w:val="3CC2183C"/>
    <w:rsid w:val="3F063FF5"/>
    <w:rsid w:val="403B7010"/>
    <w:rsid w:val="40996C85"/>
    <w:rsid w:val="40AB2127"/>
    <w:rsid w:val="40BB4940"/>
    <w:rsid w:val="40C60753"/>
    <w:rsid w:val="412752F4"/>
    <w:rsid w:val="445554AC"/>
    <w:rsid w:val="4B2679D8"/>
    <w:rsid w:val="4B8E443B"/>
    <w:rsid w:val="4C60425D"/>
    <w:rsid w:val="4EBC62BA"/>
    <w:rsid w:val="4F496A32"/>
    <w:rsid w:val="52EC1142"/>
    <w:rsid w:val="531F2FEB"/>
    <w:rsid w:val="53403877"/>
    <w:rsid w:val="54176AE2"/>
    <w:rsid w:val="5427658C"/>
    <w:rsid w:val="54983C07"/>
    <w:rsid w:val="55350158"/>
    <w:rsid w:val="592769B8"/>
    <w:rsid w:val="5A304B5A"/>
    <w:rsid w:val="5B212792"/>
    <w:rsid w:val="5B523ED9"/>
    <w:rsid w:val="5BE52AB7"/>
    <w:rsid w:val="5C435D6C"/>
    <w:rsid w:val="5F037E6E"/>
    <w:rsid w:val="5F7836B0"/>
    <w:rsid w:val="603C0E70"/>
    <w:rsid w:val="60583D40"/>
    <w:rsid w:val="60714E01"/>
    <w:rsid w:val="62D43821"/>
    <w:rsid w:val="64F433A0"/>
    <w:rsid w:val="650877CF"/>
    <w:rsid w:val="67714745"/>
    <w:rsid w:val="68353D58"/>
    <w:rsid w:val="684166CC"/>
    <w:rsid w:val="6AB0468A"/>
    <w:rsid w:val="6C4007A6"/>
    <w:rsid w:val="6DD20F3C"/>
    <w:rsid w:val="6E34575E"/>
    <w:rsid w:val="6E5D0773"/>
    <w:rsid w:val="6F973E7C"/>
    <w:rsid w:val="6FE1103E"/>
    <w:rsid w:val="72100F31"/>
    <w:rsid w:val="743F6FC7"/>
    <w:rsid w:val="74F91C79"/>
    <w:rsid w:val="76923F99"/>
    <w:rsid w:val="7694749C"/>
    <w:rsid w:val="77630DEE"/>
    <w:rsid w:val="777326D9"/>
    <w:rsid w:val="78203991"/>
    <w:rsid w:val="78647801"/>
    <w:rsid w:val="78F26F7B"/>
    <w:rsid w:val="798617C0"/>
    <w:rsid w:val="7CFD581C"/>
    <w:rsid w:val="7D435F90"/>
    <w:rsid w:val="7DC27B63"/>
    <w:rsid w:val="7E9B3FC3"/>
    <w:rsid w:val="9FEBE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FollowedHyperlink"/>
    <w:basedOn w:val="6"/>
    <w:qFormat/>
    <w:uiPriority w:val="0"/>
    <w:rPr>
      <w:color w:val="666666"/>
      <w:u w:val="none"/>
    </w:rPr>
  </w:style>
  <w:style w:type="character" w:styleId="8">
    <w:name w:val="Hyperlink"/>
    <w:basedOn w:val="6"/>
    <w:qFormat/>
    <w:uiPriority w:val="0"/>
    <w:rPr>
      <w:color w:val="66666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3463</Words>
  <Characters>4255</Characters>
  <Lines>0</Lines>
  <Paragraphs>0</Paragraphs>
  <TotalTime>39</TotalTime>
  <ScaleCrop>false</ScaleCrop>
  <LinksUpToDate>false</LinksUpToDate>
  <CharactersWithSpaces>4258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2025-05-14T14:25:00Z</dcterms:created>
  <dc:creator>禁心尽力</dc:creator>
  <cp:lastModifiedBy>kylinos</cp:lastModifiedBy>
  <cp:lastPrinted>2025-07-14T15:35:00Z</cp:lastPrinted>
  <dcterms:modified xsi:type="dcterms:W3CDTF">2026-04-07T09:40:32Z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F4F77CFE0184246A9060D469FA5D4D69_43</vt:lpwstr>
  </property>
  <property fmtid="{D5CDD505-2E9C-101B-9397-08002B2CF9AE}" pid="4" name="KSOTemplateDocerSaveRecord">
    <vt:lpwstr>eyJoZGlkIjoiOTA3ZmEwYWMwMGQ1MjYyNWZhYzk2YTRjZTIyNDEwZTIiLCJ1c2VySWQiOiIxMDE5OTczNzIifQ==</vt:lpwstr>
  </property>
</Properties>
</file>