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cs="方正小标宋简体" w:asciiTheme="majorEastAsia" w:hAnsiTheme="majorEastAsia" w:eastAsiaTheme="majorEastAsia"/>
          <w:b/>
          <w:color w:val="auto"/>
          <w:spacing w:val="-11"/>
          <w:sz w:val="36"/>
          <w:szCs w:val="36"/>
          <w:lang w:val="en-US" w:eastAsia="zh-CN"/>
        </w:rPr>
      </w:pPr>
      <w:r>
        <w:rPr>
          <w:rFonts w:hint="eastAsia" w:cs="方正小标宋简体" w:asciiTheme="majorEastAsia" w:hAnsiTheme="majorEastAsia" w:eastAsiaTheme="majorEastAsia"/>
          <w:b/>
          <w:color w:val="auto"/>
          <w:spacing w:val="-11"/>
          <w:sz w:val="36"/>
          <w:szCs w:val="36"/>
          <w:lang w:val="en-US" w:eastAsia="zh-CN"/>
        </w:rPr>
        <w:t>阜平县</w:t>
      </w:r>
    </w:p>
    <w:p>
      <w:pPr>
        <w:spacing w:line="540" w:lineRule="exact"/>
        <w:jc w:val="center"/>
        <w:rPr>
          <w:rFonts w:hint="eastAsia" w:cs="方正小标宋简体" w:asciiTheme="majorEastAsia" w:hAnsiTheme="majorEastAsia" w:eastAsiaTheme="majorEastAsia"/>
          <w:b/>
          <w:color w:val="000000"/>
          <w:spacing w:val="-11"/>
          <w:sz w:val="36"/>
          <w:szCs w:val="36"/>
        </w:rPr>
      </w:pPr>
      <w:r>
        <w:rPr>
          <w:rFonts w:hint="eastAsia" w:cs="方正小标宋简体" w:asciiTheme="majorEastAsia" w:hAnsiTheme="majorEastAsia" w:eastAsiaTheme="majorEastAsia"/>
          <w:b/>
          <w:color w:val="000000"/>
          <w:spacing w:val="-11"/>
          <w:sz w:val="36"/>
          <w:szCs w:val="36"/>
        </w:rPr>
        <w:t>202</w:t>
      </w:r>
      <w:r>
        <w:rPr>
          <w:rFonts w:hint="eastAsia" w:cs="方正小标宋简体" w:asciiTheme="majorEastAsia" w:hAnsiTheme="majorEastAsia" w:eastAsiaTheme="majorEastAsia"/>
          <w:b/>
          <w:color w:val="000000"/>
          <w:spacing w:val="-11"/>
          <w:sz w:val="36"/>
          <w:szCs w:val="36"/>
          <w:lang w:val="en-US" w:eastAsia="zh-CN"/>
        </w:rPr>
        <w:t>2</w:t>
      </w:r>
      <w:r>
        <w:rPr>
          <w:rFonts w:hint="eastAsia" w:cs="方正小标宋简体" w:asciiTheme="majorEastAsia" w:hAnsiTheme="majorEastAsia" w:eastAsiaTheme="majorEastAsia"/>
          <w:b/>
          <w:color w:val="000000"/>
          <w:spacing w:val="-11"/>
          <w:sz w:val="36"/>
          <w:szCs w:val="36"/>
        </w:rPr>
        <w:t>年政府信息公开工作年度报告</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4" w:firstLineChars="200"/>
        <w:jc w:val="left"/>
        <w:textAlignment w:val="auto"/>
        <w:rPr>
          <w:rFonts w:hint="eastAsia" w:asciiTheme="minorEastAsia" w:hAnsiTheme="minorEastAsia" w:eastAsiaTheme="minorEastAsia" w:cstheme="minorEastAsia"/>
          <w:color w:val="333333"/>
          <w:spacing w:val="6"/>
          <w:sz w:val="24"/>
          <w:szCs w:val="24"/>
          <w:shd w:val="clear" w:color="auto" w:fill="FFFFFF"/>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4" w:firstLineChars="200"/>
        <w:jc w:val="left"/>
        <w:textAlignment w:val="auto"/>
        <w:rPr>
          <w:rFonts w:hint="eastAsia" w:asciiTheme="minorEastAsia" w:hAnsiTheme="minorEastAsia" w:eastAsiaTheme="minorEastAsia" w:cstheme="minorEastAsia"/>
          <w:color w:val="333333"/>
          <w:spacing w:val="6"/>
          <w:sz w:val="24"/>
          <w:szCs w:val="24"/>
          <w:shd w:val="clear" w:color="auto" w:fill="FFFFFF"/>
        </w:rPr>
      </w:pPr>
      <w:r>
        <w:rPr>
          <w:rFonts w:hint="eastAsia" w:asciiTheme="minorEastAsia" w:hAnsiTheme="minorEastAsia" w:eastAsiaTheme="minorEastAsia" w:cstheme="minorEastAsia"/>
          <w:color w:val="333333"/>
          <w:spacing w:val="6"/>
          <w:sz w:val="24"/>
          <w:szCs w:val="24"/>
          <w:shd w:val="clear" w:color="auto" w:fill="FFFFFF"/>
        </w:rPr>
        <w:t>本报告依据《中华人民共和国政府信息公开条例》和《中华人民共和国政府信息公开工作年度报告格式（试行）》要求编制而成。本年度报告中所列数据的统计期限自2022年1月1日起，至2022年12月31日止。</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5" w:firstLineChars="200"/>
        <w:jc w:val="left"/>
        <w:textAlignment w:val="auto"/>
        <w:rPr>
          <w:rFonts w:hint="eastAsia" w:asciiTheme="minorEastAsia" w:hAnsiTheme="minorEastAsia" w:eastAsiaTheme="minorEastAsia" w:cstheme="minorEastAsia"/>
          <w:b/>
          <w:bCs/>
          <w:color w:val="333333"/>
          <w:spacing w:val="6"/>
          <w:sz w:val="24"/>
          <w:szCs w:val="24"/>
          <w:shd w:val="clear" w:color="auto" w:fill="FFFFFF"/>
        </w:rPr>
      </w:pPr>
      <w:r>
        <w:rPr>
          <w:rFonts w:hint="eastAsia" w:asciiTheme="minorEastAsia" w:hAnsiTheme="minorEastAsia" w:eastAsiaTheme="minorEastAsia" w:cstheme="minorEastAsia"/>
          <w:b/>
          <w:bCs/>
          <w:color w:val="333333"/>
          <w:spacing w:val="6"/>
          <w:sz w:val="24"/>
          <w:szCs w:val="24"/>
          <w:shd w:val="clear" w:color="auto" w:fill="FFFFFF"/>
        </w:rPr>
        <w:t>一、总体情况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4" w:firstLineChars="200"/>
        <w:jc w:val="left"/>
        <w:textAlignment w:val="auto"/>
        <w:rPr>
          <w:rFonts w:hint="eastAsia" w:asciiTheme="minorEastAsia" w:hAnsiTheme="minorEastAsia" w:eastAsiaTheme="minorEastAsia" w:cstheme="minorEastAsia"/>
          <w:color w:val="333333"/>
          <w:spacing w:val="6"/>
          <w:sz w:val="24"/>
          <w:szCs w:val="24"/>
          <w:shd w:val="clear" w:color="auto" w:fill="FFFFFF"/>
        </w:rPr>
      </w:pPr>
      <w:r>
        <w:rPr>
          <w:rFonts w:hint="eastAsia" w:asciiTheme="minorEastAsia" w:hAnsiTheme="minorEastAsia" w:eastAsiaTheme="minorEastAsia" w:cstheme="minorEastAsia"/>
          <w:color w:val="333333"/>
          <w:spacing w:val="6"/>
          <w:sz w:val="24"/>
          <w:szCs w:val="24"/>
          <w:shd w:val="clear" w:color="auto" w:fill="FFFFFF"/>
        </w:rPr>
        <w:t>本年度我县认真贯彻落实国家、省、市关于政府信息公开工作的有关要求和领导安排部署，围绕县委、县政府中心工作，坚持人民至上，着力提升政务公开质量，完善工作机制，为推进县城建设发挥积极作用。</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5" w:firstLineChars="200"/>
        <w:jc w:val="left"/>
        <w:textAlignment w:val="auto"/>
        <w:rPr>
          <w:rFonts w:hint="eastAsia" w:asciiTheme="minorEastAsia" w:hAnsiTheme="minorEastAsia" w:eastAsiaTheme="minorEastAsia" w:cstheme="minorEastAsia"/>
          <w:b/>
          <w:bCs/>
          <w:color w:val="333333"/>
          <w:spacing w:val="6"/>
          <w:sz w:val="24"/>
          <w:szCs w:val="24"/>
          <w:shd w:val="clear" w:color="auto" w:fill="FFFFFF"/>
        </w:rPr>
      </w:pPr>
      <w:r>
        <w:rPr>
          <w:rFonts w:hint="eastAsia" w:asciiTheme="minorEastAsia" w:hAnsiTheme="minorEastAsia" w:eastAsiaTheme="minorEastAsia" w:cstheme="minorEastAsia"/>
          <w:b/>
          <w:bCs/>
          <w:color w:val="333333"/>
          <w:spacing w:val="6"/>
          <w:sz w:val="24"/>
          <w:szCs w:val="24"/>
          <w:shd w:val="clear" w:color="auto" w:fill="FFFFFF"/>
        </w:rPr>
        <w:t>（一）主动公开政府信息情况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4" w:firstLineChars="200"/>
        <w:jc w:val="left"/>
        <w:textAlignment w:val="auto"/>
        <w:rPr>
          <w:rFonts w:hint="eastAsia" w:asciiTheme="minorEastAsia" w:hAnsiTheme="minorEastAsia" w:eastAsiaTheme="minorEastAsia" w:cstheme="minorEastAsia"/>
          <w:color w:val="333333"/>
          <w:spacing w:val="6"/>
          <w:sz w:val="24"/>
          <w:szCs w:val="24"/>
          <w:shd w:val="clear" w:color="auto" w:fill="FFFFFF"/>
        </w:rPr>
      </w:pPr>
      <w:r>
        <w:rPr>
          <w:rFonts w:hint="eastAsia" w:asciiTheme="minorEastAsia" w:hAnsiTheme="minorEastAsia" w:eastAsiaTheme="minorEastAsia" w:cstheme="minorEastAsia"/>
          <w:color w:val="333333"/>
          <w:spacing w:val="6"/>
          <w:sz w:val="24"/>
          <w:szCs w:val="24"/>
          <w:shd w:val="clear" w:color="auto" w:fill="FFFFFF"/>
        </w:rPr>
        <w:t>围绕重点领域、重大决策加强政府信息主动公开力度，动态更新政策文件、机构信息，调整并公开权责清单、权力运行流程图及办事指南，及时公开执法信息、预决算等财政信息，推进人大代表建议、政协提案公示，信用信息、规划信息、市场管理信息、疫情防控信息公开，全年主动公开概况类44条、政务动态类1711条、法定主动公开内容类310条、意见征集与建议20条、政府信息公开年报类40条，办理网名留言120条，解读政策18条。</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60" w:lineRule="exact"/>
        <w:ind w:firstLine="505" w:firstLineChars="200"/>
        <w:jc w:val="left"/>
        <w:textAlignment w:val="auto"/>
        <w:rPr>
          <w:rFonts w:hint="eastAsia" w:asciiTheme="minorEastAsia" w:hAnsiTheme="minorEastAsia" w:eastAsiaTheme="minorEastAsia" w:cstheme="minorEastAsia"/>
          <w:b/>
          <w:bCs/>
          <w:color w:val="333333"/>
          <w:spacing w:val="6"/>
          <w:sz w:val="24"/>
          <w:szCs w:val="24"/>
          <w:shd w:val="clear" w:color="auto" w:fill="FFFFFF"/>
        </w:rPr>
      </w:pPr>
      <w:r>
        <w:rPr>
          <w:rFonts w:hint="eastAsia" w:asciiTheme="minorEastAsia" w:hAnsiTheme="minorEastAsia" w:eastAsiaTheme="minorEastAsia" w:cstheme="minorEastAsia"/>
          <w:b/>
          <w:bCs/>
          <w:color w:val="333333"/>
          <w:spacing w:val="6"/>
          <w:sz w:val="24"/>
          <w:szCs w:val="24"/>
          <w:shd w:val="clear" w:color="auto" w:fill="FFFFFF"/>
        </w:rPr>
        <w:t>依申请公开政府信息情况</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60" w:lineRule="exact"/>
        <w:ind w:firstLine="504" w:firstLineChars="200"/>
        <w:jc w:val="left"/>
        <w:textAlignment w:val="auto"/>
        <w:rPr>
          <w:rFonts w:hint="eastAsia" w:asciiTheme="minorEastAsia" w:hAnsiTheme="minorEastAsia" w:eastAsiaTheme="minorEastAsia" w:cstheme="minorEastAsia"/>
          <w:color w:val="3F3F3F" w:themeColor="text1" w:themeTint="BF"/>
          <w:spacing w:val="6"/>
          <w:sz w:val="24"/>
          <w:szCs w:val="24"/>
          <w:shd w:val="clear" w:color="auto" w:fill="FFFFFF"/>
        </w:rPr>
      </w:pPr>
      <w:r>
        <w:rPr>
          <w:rFonts w:hint="eastAsia" w:asciiTheme="minorEastAsia" w:hAnsiTheme="minorEastAsia" w:eastAsiaTheme="minorEastAsia" w:cstheme="minorEastAsia"/>
          <w:color w:val="333333"/>
          <w:spacing w:val="6"/>
          <w:sz w:val="24"/>
          <w:szCs w:val="24"/>
          <w:shd w:val="clear" w:color="auto" w:fill="FFFFFF"/>
        </w:rPr>
        <w:t>严格按照《河北省人民政府办公厅关于印发河北省政府信息公开申请办理规范的通知》（冀政办字〔2020〕124号），规范政府信息公开申请办理，</w:t>
      </w:r>
      <w:r>
        <w:rPr>
          <w:rFonts w:hint="eastAsia" w:asciiTheme="minorEastAsia" w:hAnsiTheme="minorEastAsia" w:eastAsiaTheme="minorEastAsia" w:cstheme="minorEastAsia"/>
          <w:i w:val="0"/>
          <w:caps w:val="0"/>
          <w:color w:val="333333"/>
          <w:spacing w:val="0"/>
          <w:kern w:val="0"/>
          <w:sz w:val="24"/>
          <w:szCs w:val="24"/>
          <w:shd w:val="clear" w:fill="FFFFFF"/>
          <w:lang w:val="en-US" w:eastAsia="zh-CN" w:bidi="ar"/>
        </w:rPr>
        <w:t>拓宽依申请公开渠道、规范答复口径、规范收费工作，全面提升依申请公开办理水平。</w:t>
      </w:r>
      <w:r>
        <w:rPr>
          <w:rFonts w:hint="eastAsia" w:asciiTheme="minorEastAsia" w:hAnsiTheme="minorEastAsia" w:eastAsiaTheme="minorEastAsia" w:cstheme="minorEastAsia"/>
          <w:color w:val="3F3F3F" w:themeColor="text1" w:themeTint="BF"/>
          <w:spacing w:val="6"/>
          <w:sz w:val="24"/>
          <w:szCs w:val="24"/>
          <w:shd w:val="clear" w:color="auto" w:fill="FFFFFF"/>
        </w:rPr>
        <w:t>202</w:t>
      </w:r>
      <w:r>
        <w:rPr>
          <w:rFonts w:hint="eastAsia" w:asciiTheme="minorEastAsia" w:hAnsiTheme="minorEastAsia" w:eastAsiaTheme="minorEastAsia" w:cstheme="minorEastAsia"/>
          <w:color w:val="3F3F3F" w:themeColor="text1" w:themeTint="BF"/>
          <w:spacing w:val="6"/>
          <w:sz w:val="24"/>
          <w:szCs w:val="24"/>
          <w:shd w:val="clear" w:color="auto" w:fill="FFFFFF"/>
          <w:lang w:val="en-US" w:eastAsia="zh-CN"/>
        </w:rPr>
        <w:t>2</w:t>
      </w:r>
      <w:r>
        <w:rPr>
          <w:rFonts w:hint="eastAsia" w:asciiTheme="minorEastAsia" w:hAnsiTheme="minorEastAsia" w:eastAsiaTheme="minorEastAsia" w:cstheme="minorEastAsia"/>
          <w:color w:val="3F3F3F" w:themeColor="text1" w:themeTint="BF"/>
          <w:spacing w:val="6"/>
          <w:sz w:val="24"/>
          <w:szCs w:val="24"/>
          <w:shd w:val="clear" w:color="auto" w:fill="FFFFFF"/>
        </w:rPr>
        <w:t>年，</w:t>
      </w:r>
      <w:r>
        <w:rPr>
          <w:rFonts w:hint="eastAsia" w:asciiTheme="minorEastAsia" w:hAnsiTheme="minorEastAsia" w:eastAsiaTheme="minorEastAsia" w:cstheme="minorEastAsia"/>
          <w:color w:val="3F3F3F" w:themeColor="text1" w:themeTint="BF"/>
          <w:spacing w:val="6"/>
          <w:sz w:val="24"/>
          <w:szCs w:val="24"/>
          <w:shd w:val="clear" w:color="auto" w:fill="FFFFFF"/>
          <w:lang w:eastAsia="zh-CN"/>
        </w:rPr>
        <w:t>全县</w:t>
      </w:r>
      <w:r>
        <w:rPr>
          <w:rFonts w:hint="eastAsia" w:asciiTheme="minorEastAsia" w:hAnsiTheme="minorEastAsia" w:eastAsiaTheme="minorEastAsia" w:cstheme="minorEastAsia"/>
          <w:color w:val="3F3F3F" w:themeColor="text1" w:themeTint="BF"/>
          <w:spacing w:val="6"/>
          <w:sz w:val="24"/>
          <w:szCs w:val="24"/>
          <w:shd w:val="clear" w:color="auto" w:fill="FFFFFF"/>
        </w:rPr>
        <w:t>共收到政府信息公开申请</w:t>
      </w:r>
      <w:r>
        <w:rPr>
          <w:rFonts w:hint="eastAsia" w:asciiTheme="minorEastAsia" w:hAnsiTheme="minorEastAsia" w:eastAsiaTheme="minorEastAsia" w:cstheme="minorEastAsia"/>
          <w:color w:val="3F3F3F" w:themeColor="text1" w:themeTint="BF"/>
          <w:spacing w:val="6"/>
          <w:sz w:val="24"/>
          <w:szCs w:val="24"/>
          <w:shd w:val="clear" w:color="auto" w:fill="FFFFFF"/>
          <w:lang w:val="en-US" w:eastAsia="zh-CN"/>
        </w:rPr>
        <w:t>52</w:t>
      </w:r>
      <w:r>
        <w:rPr>
          <w:rFonts w:hint="eastAsia" w:asciiTheme="minorEastAsia" w:hAnsiTheme="minorEastAsia" w:eastAsiaTheme="minorEastAsia" w:cstheme="minorEastAsia"/>
          <w:color w:val="3F3F3F" w:themeColor="text1" w:themeTint="BF"/>
          <w:spacing w:val="6"/>
          <w:sz w:val="24"/>
          <w:szCs w:val="24"/>
          <w:shd w:val="clear" w:color="auto" w:fill="FFFFFF"/>
        </w:rPr>
        <w:t>项，按期答复</w:t>
      </w:r>
      <w:r>
        <w:rPr>
          <w:rFonts w:hint="eastAsia" w:asciiTheme="minorEastAsia" w:hAnsiTheme="minorEastAsia" w:eastAsiaTheme="minorEastAsia" w:cstheme="minorEastAsia"/>
          <w:color w:val="3F3F3F" w:themeColor="text1" w:themeTint="BF"/>
          <w:spacing w:val="6"/>
          <w:sz w:val="24"/>
          <w:szCs w:val="24"/>
          <w:shd w:val="clear" w:color="auto" w:fill="FFFFFF"/>
          <w:lang w:val="en-US" w:eastAsia="zh-CN"/>
        </w:rPr>
        <w:t>52</w:t>
      </w:r>
      <w:r>
        <w:rPr>
          <w:rFonts w:hint="eastAsia" w:asciiTheme="minorEastAsia" w:hAnsiTheme="minorEastAsia" w:eastAsiaTheme="minorEastAsia" w:cstheme="minorEastAsia"/>
          <w:color w:val="3F3F3F" w:themeColor="text1" w:themeTint="BF"/>
          <w:spacing w:val="6"/>
          <w:sz w:val="24"/>
          <w:szCs w:val="24"/>
          <w:shd w:val="clear" w:color="auto" w:fill="FFFFFF"/>
        </w:rPr>
        <w:t>项。</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1" w:firstLineChars="200"/>
        <w:jc w:val="left"/>
        <w:textAlignment w:val="auto"/>
        <w:rPr>
          <w:rFonts w:hint="eastAsia" w:ascii="宋体" w:hAnsi="宋体" w:eastAsia="宋体" w:cs="宋体"/>
          <w:b/>
          <w:bCs/>
          <w:i w:val="0"/>
          <w:caps w:val="0"/>
          <w:color w:val="333333"/>
          <w:spacing w:val="0"/>
          <w:kern w:val="0"/>
          <w:sz w:val="24"/>
          <w:szCs w:val="24"/>
          <w:shd w:val="clear" w:fill="FFFFFF"/>
          <w:lang w:val="en-US" w:eastAsia="zh-CN" w:bidi="ar"/>
        </w:rPr>
      </w:pPr>
      <w:r>
        <w:rPr>
          <w:rFonts w:hint="eastAsia" w:ascii="宋体" w:hAnsi="宋体" w:eastAsia="宋体" w:cs="宋体"/>
          <w:b/>
          <w:bCs/>
          <w:i w:val="0"/>
          <w:caps w:val="0"/>
          <w:color w:val="333333"/>
          <w:spacing w:val="0"/>
          <w:kern w:val="0"/>
          <w:sz w:val="24"/>
          <w:szCs w:val="24"/>
          <w:shd w:val="clear" w:fill="FFFFFF"/>
          <w:lang w:val="en-US" w:eastAsia="zh-CN" w:bidi="ar"/>
        </w:rPr>
        <w:t>（三）政府信息管理情况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i w:val="0"/>
          <w:caps w:val="0"/>
          <w:color w:val="3F3F3F" w:themeColor="text1" w:themeTint="BF"/>
          <w:spacing w:val="0"/>
          <w:kern w:val="0"/>
          <w:sz w:val="24"/>
          <w:szCs w:val="24"/>
          <w:shd w:val="clear" w:fill="FFFFFF"/>
          <w:lang w:val="en-US" w:eastAsia="zh-CN" w:bidi="ar"/>
        </w:rPr>
      </w:pPr>
      <w:r>
        <w:rPr>
          <w:rFonts w:hint="eastAsia" w:ascii="宋体" w:hAnsi="宋体" w:eastAsia="宋体" w:cs="宋体"/>
          <w:i w:val="0"/>
          <w:caps w:val="0"/>
          <w:color w:val="333333"/>
          <w:spacing w:val="0"/>
          <w:kern w:val="0"/>
          <w:sz w:val="24"/>
          <w:szCs w:val="24"/>
          <w:shd w:val="clear" w:fill="FFFFFF"/>
          <w:lang w:val="en-US" w:eastAsia="zh-CN" w:bidi="ar"/>
        </w:rPr>
        <w:t>一是强化政府信息源头管理。制定印发相关通知，规定公文报批时要提出公开属性建议，健全了政府信息公开属性的源头认定机制。二是严格落实信息发布审核制度。严把信息发布审核关，坚决杜绝涉密信息上网，开展自查自纠，确保公民个人隐私或敏感信息不泄露。三是开展县政府规范性文件清理并备案，</w:t>
      </w:r>
      <w:r>
        <w:rPr>
          <w:rFonts w:ascii="Calibri" w:hAnsi="Calibri" w:eastAsia="宋体" w:cs="Calibri"/>
          <w:i w:val="0"/>
          <w:caps w:val="0"/>
          <w:color w:val="3F3F3F" w:themeColor="text1" w:themeTint="BF"/>
          <w:spacing w:val="0"/>
          <w:kern w:val="0"/>
          <w:sz w:val="24"/>
          <w:szCs w:val="24"/>
          <w:shd w:val="clear" w:fill="FFFFFF"/>
          <w:lang w:val="en-US" w:eastAsia="zh-CN" w:bidi="ar"/>
        </w:rPr>
        <w:t>202</w:t>
      </w:r>
      <w:r>
        <w:rPr>
          <w:rFonts w:hint="eastAsia" w:ascii="Calibri" w:hAnsi="Calibri" w:eastAsia="宋体" w:cs="Calibri"/>
          <w:i w:val="0"/>
          <w:caps w:val="0"/>
          <w:color w:val="3F3F3F" w:themeColor="text1" w:themeTint="BF"/>
          <w:spacing w:val="0"/>
          <w:kern w:val="0"/>
          <w:sz w:val="24"/>
          <w:szCs w:val="24"/>
          <w:shd w:val="clear" w:fill="FFFFFF"/>
          <w:lang w:val="en-US" w:eastAsia="zh-CN" w:bidi="ar"/>
        </w:rPr>
        <w:t>2</w:t>
      </w:r>
      <w:r>
        <w:rPr>
          <w:rFonts w:hint="eastAsia" w:ascii="宋体" w:hAnsi="宋体" w:eastAsia="宋体" w:cs="宋体"/>
          <w:i w:val="0"/>
          <w:caps w:val="0"/>
          <w:color w:val="3F3F3F" w:themeColor="text1" w:themeTint="BF"/>
          <w:spacing w:val="0"/>
          <w:kern w:val="0"/>
          <w:sz w:val="24"/>
          <w:szCs w:val="24"/>
          <w:shd w:val="clear" w:fill="FFFFFF"/>
          <w:lang w:val="en-US" w:eastAsia="zh-CN" w:bidi="ar"/>
        </w:rPr>
        <w:t>年制发规范性文件</w:t>
      </w:r>
      <w:r>
        <w:rPr>
          <w:rFonts w:hint="eastAsia" w:ascii="Calibri" w:hAnsi="Calibri" w:eastAsia="宋体" w:cs="Calibri"/>
          <w:i w:val="0"/>
          <w:caps w:val="0"/>
          <w:color w:val="3F3F3F" w:themeColor="text1" w:themeTint="BF"/>
          <w:spacing w:val="0"/>
          <w:kern w:val="0"/>
          <w:sz w:val="24"/>
          <w:szCs w:val="24"/>
          <w:shd w:val="clear" w:fill="FFFFFF"/>
          <w:lang w:val="en-US" w:eastAsia="zh-CN" w:bidi="ar"/>
        </w:rPr>
        <w:t>7</w:t>
      </w:r>
      <w:r>
        <w:rPr>
          <w:rFonts w:hint="eastAsia" w:ascii="宋体" w:hAnsi="宋体" w:eastAsia="宋体" w:cs="宋体"/>
          <w:i w:val="0"/>
          <w:caps w:val="0"/>
          <w:color w:val="3F3F3F" w:themeColor="text1" w:themeTint="BF"/>
          <w:spacing w:val="0"/>
          <w:kern w:val="0"/>
          <w:sz w:val="24"/>
          <w:szCs w:val="24"/>
          <w:shd w:val="clear" w:fill="FFFFFF"/>
          <w:lang w:val="en-US" w:eastAsia="zh-CN" w:bidi="ar"/>
        </w:rPr>
        <w:t>件，废止</w:t>
      </w:r>
      <w:r>
        <w:rPr>
          <w:rFonts w:hint="default" w:ascii="Calibri" w:hAnsi="Calibri" w:eastAsia="宋体" w:cs="Calibri"/>
          <w:i w:val="0"/>
          <w:caps w:val="0"/>
          <w:color w:val="3F3F3F" w:themeColor="text1" w:themeTint="BF"/>
          <w:spacing w:val="0"/>
          <w:kern w:val="0"/>
          <w:sz w:val="24"/>
          <w:szCs w:val="24"/>
          <w:shd w:val="clear" w:fill="FFFFFF"/>
          <w:lang w:val="en-US" w:eastAsia="zh-CN" w:bidi="ar"/>
        </w:rPr>
        <w:t>1</w:t>
      </w:r>
      <w:r>
        <w:rPr>
          <w:rFonts w:hint="eastAsia" w:ascii="Calibri" w:hAnsi="Calibri" w:eastAsia="宋体" w:cs="Calibri"/>
          <w:i w:val="0"/>
          <w:caps w:val="0"/>
          <w:color w:val="3F3F3F" w:themeColor="text1" w:themeTint="BF"/>
          <w:spacing w:val="0"/>
          <w:kern w:val="0"/>
          <w:sz w:val="24"/>
          <w:szCs w:val="24"/>
          <w:shd w:val="clear" w:fill="FFFFFF"/>
          <w:lang w:val="en-US" w:eastAsia="zh-CN" w:bidi="ar"/>
        </w:rPr>
        <w:t>1</w:t>
      </w:r>
      <w:r>
        <w:rPr>
          <w:rFonts w:hint="eastAsia" w:ascii="宋体" w:hAnsi="宋体" w:eastAsia="宋体" w:cs="宋体"/>
          <w:i w:val="0"/>
          <w:caps w:val="0"/>
          <w:color w:val="3F3F3F" w:themeColor="text1" w:themeTint="BF"/>
          <w:spacing w:val="0"/>
          <w:kern w:val="0"/>
          <w:sz w:val="24"/>
          <w:szCs w:val="24"/>
          <w:shd w:val="clear" w:fill="FFFFFF"/>
          <w:lang w:val="en-US" w:eastAsia="zh-CN" w:bidi="ar"/>
        </w:rPr>
        <w:t>件，现行有效</w:t>
      </w:r>
      <w:r>
        <w:rPr>
          <w:rFonts w:hint="eastAsia" w:ascii="Calibri" w:hAnsi="Calibri" w:eastAsia="宋体" w:cs="Calibri"/>
          <w:i w:val="0"/>
          <w:caps w:val="0"/>
          <w:color w:val="3F3F3F" w:themeColor="text1" w:themeTint="BF"/>
          <w:spacing w:val="0"/>
          <w:kern w:val="0"/>
          <w:sz w:val="24"/>
          <w:szCs w:val="24"/>
          <w:shd w:val="clear" w:fill="FFFFFF"/>
          <w:lang w:val="en-US" w:eastAsia="zh-CN" w:bidi="ar"/>
        </w:rPr>
        <w:t>41</w:t>
      </w:r>
      <w:r>
        <w:rPr>
          <w:rFonts w:hint="eastAsia" w:ascii="宋体" w:hAnsi="宋体" w:eastAsia="宋体" w:cs="宋体"/>
          <w:i w:val="0"/>
          <w:caps w:val="0"/>
          <w:color w:val="3F3F3F" w:themeColor="text1" w:themeTint="BF"/>
          <w:spacing w:val="0"/>
          <w:kern w:val="0"/>
          <w:sz w:val="24"/>
          <w:szCs w:val="24"/>
          <w:shd w:val="clear" w:fill="FFFFFF"/>
          <w:lang w:val="en-US" w:eastAsia="zh-CN" w:bidi="ar"/>
        </w:rPr>
        <w:t>件。</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1" w:firstLineChars="200"/>
        <w:jc w:val="left"/>
        <w:textAlignment w:val="auto"/>
        <w:rPr>
          <w:rFonts w:hint="eastAsia" w:ascii="宋体" w:hAnsi="宋体" w:eastAsia="宋体" w:cs="宋体"/>
          <w:b/>
          <w:bCs/>
          <w:i w:val="0"/>
          <w:caps w:val="0"/>
          <w:color w:val="3F3F3F" w:themeColor="text1" w:themeTint="BF"/>
          <w:spacing w:val="0"/>
          <w:kern w:val="0"/>
          <w:sz w:val="24"/>
          <w:szCs w:val="24"/>
          <w:shd w:val="clear" w:fill="FFFFFF"/>
          <w:lang w:val="en-US" w:eastAsia="zh-CN" w:bidi="ar"/>
        </w:rPr>
      </w:pPr>
      <w:r>
        <w:rPr>
          <w:rFonts w:hint="eastAsia" w:ascii="宋体" w:hAnsi="宋体" w:eastAsia="宋体" w:cs="宋体"/>
          <w:b/>
          <w:bCs/>
          <w:i w:val="0"/>
          <w:caps w:val="0"/>
          <w:color w:val="3F3F3F" w:themeColor="text1" w:themeTint="BF"/>
          <w:spacing w:val="0"/>
          <w:kern w:val="0"/>
          <w:sz w:val="24"/>
          <w:szCs w:val="24"/>
          <w:shd w:val="clear" w:fill="FFFFFF"/>
          <w:lang w:val="en-US" w:eastAsia="zh-CN" w:bidi="ar"/>
        </w:rPr>
        <w:t>（四）平台建设情况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i w:val="0"/>
          <w:caps w:val="0"/>
          <w:color w:val="3F3F3F" w:themeColor="text1" w:themeTint="BF"/>
          <w:spacing w:val="0"/>
          <w:kern w:val="0"/>
          <w:sz w:val="24"/>
          <w:szCs w:val="24"/>
          <w:shd w:val="clear" w:fill="FFFFFF"/>
          <w:lang w:val="en-US" w:eastAsia="zh-CN" w:bidi="ar"/>
        </w:rPr>
      </w:pPr>
      <w:r>
        <w:rPr>
          <w:rFonts w:hint="eastAsia" w:ascii="宋体" w:hAnsi="宋体" w:eastAsia="宋体" w:cs="宋体"/>
          <w:i w:val="0"/>
          <w:caps w:val="0"/>
          <w:color w:val="3F3F3F" w:themeColor="text1" w:themeTint="BF"/>
          <w:spacing w:val="0"/>
          <w:kern w:val="0"/>
          <w:sz w:val="24"/>
          <w:szCs w:val="24"/>
          <w:shd w:val="clear" w:fill="FFFFFF"/>
          <w:lang w:val="en-US" w:eastAsia="zh-CN" w:bidi="ar"/>
        </w:rPr>
        <w:t>一是规范政府网站运行。及时办理纠错留言、落实读网检查机制、完成网站IPv6改造，确保网站运行稳定、可靠、安全。二是进一步推进对政务新媒体的常态化监管。通过严格开设整合、严抓内容更新、严把内容安全，保障全县新媒体矩阵稳定健康运行。政府信息公开各个平台实现了信息发布、政策解读、政民互动等各项功能。2022年度全县共规范开设41个政务新媒体，其中微信公众号30个、微博5个、抖音4个、快手1个，今日头条1个，全年共发布政务信息17494条。</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1" w:firstLineChars="200"/>
        <w:jc w:val="left"/>
        <w:textAlignment w:val="auto"/>
        <w:rPr>
          <w:rFonts w:hint="eastAsia" w:ascii="宋体" w:hAnsi="宋体" w:eastAsia="宋体" w:cs="宋体"/>
          <w:b/>
          <w:bCs/>
          <w:i w:val="0"/>
          <w:caps w:val="0"/>
          <w:color w:val="3F3F3F" w:themeColor="text1" w:themeTint="BF"/>
          <w:spacing w:val="0"/>
          <w:kern w:val="0"/>
          <w:sz w:val="24"/>
          <w:szCs w:val="24"/>
          <w:shd w:val="clear" w:fill="FFFFFF"/>
          <w:lang w:val="en-US" w:eastAsia="zh-CN" w:bidi="ar"/>
        </w:rPr>
      </w:pPr>
      <w:r>
        <w:rPr>
          <w:rFonts w:hint="eastAsia" w:ascii="宋体" w:hAnsi="宋体" w:eastAsia="宋体" w:cs="宋体"/>
          <w:b/>
          <w:bCs/>
          <w:i w:val="0"/>
          <w:caps w:val="0"/>
          <w:color w:val="3F3F3F" w:themeColor="text1" w:themeTint="BF"/>
          <w:spacing w:val="0"/>
          <w:kern w:val="0"/>
          <w:sz w:val="24"/>
          <w:szCs w:val="24"/>
          <w:shd w:val="clear" w:fill="FFFFFF"/>
          <w:lang w:val="en-US" w:eastAsia="zh-CN" w:bidi="ar"/>
        </w:rPr>
        <w:t>（五）政府信息公开监督保障情况</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color w:val="3F3F3F" w:themeColor="text1" w:themeTint="BF"/>
          <w:spacing w:val="6"/>
          <w:sz w:val="24"/>
          <w:szCs w:val="24"/>
          <w:shd w:val="clear" w:color="auto" w:fill="FFFFFF"/>
          <w:lang w:eastAsia="zh-CN"/>
        </w:rPr>
      </w:pPr>
      <w:r>
        <w:rPr>
          <w:rFonts w:hint="eastAsia" w:ascii="宋体" w:hAnsi="宋体" w:eastAsia="宋体" w:cs="宋体"/>
          <w:i w:val="0"/>
          <w:caps w:val="0"/>
          <w:color w:val="3F3F3F" w:themeColor="text1" w:themeTint="BF"/>
          <w:spacing w:val="0"/>
          <w:kern w:val="0"/>
          <w:sz w:val="24"/>
          <w:szCs w:val="24"/>
          <w:shd w:val="clear" w:fill="FFFFFF"/>
          <w:lang w:val="en-US" w:eastAsia="zh-CN" w:bidi="ar"/>
        </w:rPr>
        <w:t>一是加强组织领导。</w:t>
      </w:r>
      <w:r>
        <w:rPr>
          <w:rFonts w:hint="eastAsia" w:asciiTheme="minorEastAsia" w:hAnsiTheme="minorEastAsia" w:eastAsiaTheme="minorEastAsia" w:cstheme="minorEastAsia"/>
          <w:color w:val="3F3F3F" w:themeColor="text1" w:themeTint="BF"/>
          <w:spacing w:val="6"/>
          <w:sz w:val="24"/>
          <w:szCs w:val="24"/>
          <w:shd w:val="clear" w:color="auto" w:fill="FFFFFF"/>
        </w:rPr>
        <w:t>成立以</w:t>
      </w:r>
      <w:r>
        <w:rPr>
          <w:rFonts w:hint="eastAsia" w:asciiTheme="minorEastAsia" w:hAnsiTheme="minorEastAsia" w:eastAsiaTheme="minorEastAsia" w:cstheme="minorEastAsia"/>
          <w:color w:val="3F3F3F" w:themeColor="text1" w:themeTint="BF"/>
          <w:spacing w:val="6"/>
          <w:sz w:val="24"/>
          <w:szCs w:val="24"/>
          <w:shd w:val="clear" w:color="auto" w:fill="FFFFFF"/>
          <w:lang w:val="en-US" w:eastAsia="zh-CN"/>
        </w:rPr>
        <w:t>常务副县长</w:t>
      </w:r>
      <w:r>
        <w:rPr>
          <w:rFonts w:hint="eastAsia" w:asciiTheme="minorEastAsia" w:hAnsiTheme="minorEastAsia" w:eastAsiaTheme="minorEastAsia" w:cstheme="minorEastAsia"/>
          <w:color w:val="3F3F3F" w:themeColor="text1" w:themeTint="BF"/>
          <w:spacing w:val="6"/>
          <w:sz w:val="24"/>
          <w:szCs w:val="24"/>
          <w:shd w:val="clear" w:color="auto" w:fill="FFFFFF"/>
        </w:rPr>
        <w:t>为组长的政务公开工作领导小组，对</w:t>
      </w:r>
      <w:r>
        <w:rPr>
          <w:rFonts w:hint="eastAsia" w:asciiTheme="minorEastAsia" w:hAnsiTheme="minorEastAsia" w:eastAsiaTheme="minorEastAsia" w:cstheme="minorEastAsia"/>
          <w:color w:val="3F3F3F" w:themeColor="text1" w:themeTint="BF"/>
          <w:spacing w:val="6"/>
          <w:sz w:val="24"/>
          <w:szCs w:val="24"/>
          <w:shd w:val="clear" w:color="auto" w:fill="FFFFFF"/>
          <w:lang w:eastAsia="zh-CN"/>
        </w:rPr>
        <w:t>全年</w:t>
      </w:r>
      <w:r>
        <w:rPr>
          <w:rFonts w:hint="eastAsia" w:asciiTheme="minorEastAsia" w:hAnsiTheme="minorEastAsia" w:eastAsiaTheme="minorEastAsia" w:cstheme="minorEastAsia"/>
          <w:color w:val="3F3F3F" w:themeColor="text1" w:themeTint="BF"/>
          <w:spacing w:val="6"/>
          <w:sz w:val="24"/>
          <w:szCs w:val="24"/>
          <w:shd w:val="clear" w:color="auto" w:fill="FFFFFF"/>
        </w:rPr>
        <w:t>工作做出重要安排部署</w:t>
      </w:r>
      <w:r>
        <w:rPr>
          <w:rFonts w:hint="eastAsia" w:asciiTheme="minorEastAsia" w:hAnsiTheme="minorEastAsia" w:eastAsiaTheme="minorEastAsia" w:cstheme="minorEastAsia"/>
          <w:color w:val="3F3F3F" w:themeColor="text1" w:themeTint="BF"/>
          <w:spacing w:val="6"/>
          <w:sz w:val="24"/>
          <w:szCs w:val="24"/>
          <w:shd w:val="clear" w:color="auto" w:fill="FFFFFF"/>
          <w:lang w:eastAsia="zh-CN"/>
        </w:rPr>
        <w:t>，</w:t>
      </w:r>
      <w:r>
        <w:rPr>
          <w:rFonts w:hint="eastAsia" w:ascii="宋体" w:hAnsi="宋体" w:eastAsia="宋体" w:cs="宋体"/>
          <w:i w:val="0"/>
          <w:caps w:val="0"/>
          <w:color w:val="3F3F3F" w:themeColor="text1" w:themeTint="BF"/>
          <w:spacing w:val="0"/>
          <w:kern w:val="0"/>
          <w:sz w:val="24"/>
          <w:szCs w:val="24"/>
          <w:shd w:val="clear" w:fill="FFFFFF"/>
          <w:lang w:val="en-US" w:eastAsia="zh-CN" w:bidi="ar"/>
        </w:rPr>
        <w:t>保障全县政务公开工作顺利开展；二是健全工作机构。各部门、各乡镇分别明确政务公开工作主管领导的、具体股室及负责人员；三是充实人员队伍。组织各单位选齐配强政务公开工作人员，专岗专责抓好政务公开工作落实；四是</w:t>
      </w:r>
      <w:r>
        <w:rPr>
          <w:rFonts w:hint="eastAsia" w:asciiTheme="minorEastAsia" w:hAnsiTheme="minorEastAsia" w:eastAsiaTheme="minorEastAsia" w:cstheme="minorEastAsia"/>
          <w:b w:val="0"/>
          <w:bCs/>
          <w:color w:val="3F3F3F" w:themeColor="text1" w:themeTint="BF"/>
          <w:spacing w:val="6"/>
          <w:sz w:val="24"/>
          <w:szCs w:val="24"/>
          <w:shd w:val="clear" w:color="auto" w:fill="FFFFFF"/>
        </w:rPr>
        <w:t>强化业务</w:t>
      </w:r>
      <w:r>
        <w:rPr>
          <w:rFonts w:hint="eastAsia" w:asciiTheme="minorEastAsia" w:hAnsiTheme="minorEastAsia" w:eastAsiaTheme="minorEastAsia" w:cstheme="minorEastAsia"/>
          <w:b w:val="0"/>
          <w:bCs/>
          <w:color w:val="3F3F3F" w:themeColor="text1" w:themeTint="BF"/>
          <w:spacing w:val="6"/>
          <w:sz w:val="24"/>
          <w:szCs w:val="24"/>
          <w:shd w:val="clear" w:color="auto" w:fill="FFFFFF"/>
          <w:lang w:eastAsia="zh-CN"/>
        </w:rPr>
        <w:t>知识学习</w:t>
      </w:r>
      <w:r>
        <w:rPr>
          <w:rFonts w:hint="eastAsia" w:asciiTheme="minorEastAsia" w:hAnsiTheme="minorEastAsia" w:eastAsiaTheme="minorEastAsia" w:cstheme="minorEastAsia"/>
          <w:b w:val="0"/>
          <w:bCs/>
          <w:color w:val="3F3F3F" w:themeColor="text1" w:themeTint="BF"/>
          <w:spacing w:val="6"/>
          <w:sz w:val="24"/>
          <w:szCs w:val="24"/>
          <w:shd w:val="clear" w:color="auto" w:fill="FFFFFF"/>
        </w:rPr>
        <w:t>。</w:t>
      </w:r>
      <w:r>
        <w:rPr>
          <w:rFonts w:hint="eastAsia" w:asciiTheme="minorEastAsia" w:hAnsiTheme="minorEastAsia" w:eastAsiaTheme="minorEastAsia" w:cstheme="minorEastAsia"/>
          <w:b w:val="0"/>
          <w:bCs/>
          <w:color w:val="3F3F3F" w:themeColor="text1" w:themeTint="BF"/>
          <w:spacing w:val="6"/>
          <w:sz w:val="24"/>
          <w:szCs w:val="24"/>
          <w:shd w:val="clear" w:color="auto" w:fill="FFFFFF"/>
          <w:lang w:eastAsia="zh-CN"/>
        </w:rPr>
        <w:t>按照省市要求，于</w:t>
      </w:r>
      <w:r>
        <w:rPr>
          <w:rFonts w:hint="eastAsia" w:asciiTheme="minorEastAsia" w:hAnsiTheme="minorEastAsia" w:eastAsiaTheme="minorEastAsia" w:cstheme="minorEastAsia"/>
          <w:b w:val="0"/>
          <w:bCs/>
          <w:color w:val="3F3F3F" w:themeColor="text1" w:themeTint="BF"/>
          <w:spacing w:val="6"/>
          <w:sz w:val="24"/>
          <w:szCs w:val="24"/>
          <w:shd w:val="clear" w:color="auto" w:fill="FFFFFF"/>
          <w:lang w:val="en-US" w:eastAsia="zh-CN"/>
        </w:rPr>
        <w:t>5月18日组织开展政府信息公开法律知识学习问答活动，全县共2020名在职人员</w:t>
      </w:r>
      <w:r>
        <w:rPr>
          <w:rFonts w:hint="eastAsia" w:asciiTheme="minorEastAsia" w:hAnsiTheme="minorEastAsia" w:eastAsiaTheme="minorEastAsia" w:cstheme="minorEastAsia"/>
          <w:color w:val="3F3F3F" w:themeColor="text1" w:themeTint="BF"/>
          <w:spacing w:val="6"/>
          <w:sz w:val="24"/>
          <w:szCs w:val="24"/>
          <w:shd w:val="clear" w:color="auto" w:fill="FFFFFF"/>
          <w:lang w:eastAsia="zh-CN"/>
        </w:rPr>
        <w:t>参加了答题活动，以测促学，推动机关工作人员学习宣传贯彻政府信息公开相关法律。</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505" w:firstLineChars="200"/>
        <w:jc w:val="left"/>
        <w:textAlignment w:val="auto"/>
        <w:rPr>
          <w:rFonts w:hint="eastAsia" w:asciiTheme="minorEastAsia" w:hAnsiTheme="minorEastAsia" w:eastAsiaTheme="minorEastAsia" w:cstheme="minorEastAsia"/>
          <w:b/>
          <w:bCs/>
          <w:color w:val="3F3F3F" w:themeColor="text1" w:themeTint="BF"/>
          <w:spacing w:val="6"/>
          <w:sz w:val="24"/>
          <w:szCs w:val="24"/>
          <w:shd w:val="clear" w:color="auto" w:fill="FFFFFF"/>
          <w:lang w:eastAsia="zh-CN"/>
        </w:rPr>
      </w:pPr>
      <w:r>
        <w:rPr>
          <w:rFonts w:hint="eastAsia" w:asciiTheme="minorEastAsia" w:hAnsiTheme="minorEastAsia" w:eastAsiaTheme="minorEastAsia" w:cstheme="minorEastAsia"/>
          <w:b/>
          <w:bCs/>
          <w:color w:val="3F3F3F" w:themeColor="text1" w:themeTint="BF"/>
          <w:spacing w:val="6"/>
          <w:sz w:val="24"/>
          <w:szCs w:val="24"/>
          <w:shd w:val="clear" w:color="auto" w:fill="FFFFFF"/>
          <w:lang w:eastAsia="zh-CN"/>
        </w:rPr>
        <w:t>二、主动公开政府信息情况</w:t>
      </w:r>
    </w:p>
    <w:tbl>
      <w:tblPr>
        <w:tblStyle w:val="6"/>
        <w:tblpPr w:leftFromText="180" w:rightFromText="180" w:vertAnchor="text" w:horzAnchor="page" w:tblpX="2153" w:tblpY="322"/>
        <w:tblOverlap w:val="never"/>
        <w:tblW w:w="0" w:type="auto"/>
        <w:tblInd w:w="0" w:type="dxa"/>
        <w:tblLayout w:type="fixed"/>
        <w:tblCellMar>
          <w:top w:w="0" w:type="dxa"/>
          <w:left w:w="0" w:type="dxa"/>
          <w:bottom w:w="0" w:type="dxa"/>
          <w:right w:w="0" w:type="dxa"/>
        </w:tblCellMar>
      </w:tblPr>
      <w:tblGrid>
        <w:gridCol w:w="3113"/>
        <w:gridCol w:w="1721"/>
        <w:gridCol w:w="1425"/>
        <w:gridCol w:w="1881"/>
      </w:tblGrid>
      <w:tr>
        <w:tblPrEx>
          <w:tblCellMar>
            <w:top w:w="0" w:type="dxa"/>
            <w:left w:w="0" w:type="dxa"/>
            <w:bottom w:w="0" w:type="dxa"/>
            <w:right w:w="0" w:type="dxa"/>
          </w:tblCellMar>
        </w:tblPrEx>
        <w:trPr>
          <w:trHeight w:val="495" w:hRule="atLeast"/>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第二十条第（一）项</w:t>
            </w:r>
          </w:p>
        </w:tc>
      </w:tr>
      <w:tr>
        <w:trPr>
          <w:trHeight w:val="411"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信息内容</w:t>
            </w:r>
          </w:p>
        </w:tc>
        <w:tc>
          <w:tcPr>
            <w:tcW w:w="1721"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color w:val="3F3F3F" w:themeColor="text1" w:themeTint="BF"/>
                <w:lang w:eastAsia="zh-CN"/>
              </w:rPr>
            </w:pPr>
            <w:r>
              <w:rPr>
                <w:rFonts w:hint="eastAsia" w:ascii="宋体" w:hAnsi="宋体" w:eastAsia="宋体" w:cs="宋体"/>
                <w:color w:val="3F3F3F" w:themeColor="text1" w:themeTint="BF"/>
                <w:kern w:val="0"/>
                <w:sz w:val="20"/>
                <w:szCs w:val="20"/>
              </w:rPr>
              <w:t>本年</w:t>
            </w:r>
            <w:r>
              <w:rPr>
                <w:rFonts w:hint="eastAsia" w:ascii="宋体" w:hAnsi="宋体" w:eastAsia="宋体" w:cs="宋体"/>
                <w:color w:val="3F3F3F" w:themeColor="text1" w:themeTint="BF"/>
                <w:kern w:val="0"/>
                <w:sz w:val="20"/>
                <w:szCs w:val="20"/>
                <w:lang w:eastAsia="zh-CN"/>
              </w:rPr>
              <w:t>制发件数</w:t>
            </w:r>
          </w:p>
        </w:tc>
        <w:tc>
          <w:tcPr>
            <w:tcW w:w="142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宋体"/>
                <w:color w:val="3F3F3F" w:themeColor="text1" w:themeTint="BF"/>
                <w:lang w:eastAsia="zh-CN"/>
              </w:rPr>
            </w:pPr>
            <w:r>
              <w:rPr>
                <w:rFonts w:hint="eastAsia" w:ascii="宋体" w:hAnsi="宋体" w:eastAsia="宋体" w:cs="宋体"/>
                <w:color w:val="3F3F3F" w:themeColor="text1" w:themeTint="BF"/>
                <w:kern w:val="0"/>
                <w:sz w:val="20"/>
                <w:szCs w:val="20"/>
              </w:rPr>
              <w:t>本年</w:t>
            </w:r>
            <w:r>
              <w:rPr>
                <w:rFonts w:hint="eastAsia" w:ascii="宋体" w:hAnsi="宋体" w:eastAsia="宋体" w:cs="宋体"/>
                <w:color w:val="3F3F3F" w:themeColor="text1" w:themeTint="BF"/>
                <w:kern w:val="0"/>
                <w:sz w:val="20"/>
                <w:szCs w:val="20"/>
                <w:lang w:eastAsia="zh-CN"/>
              </w:rPr>
              <w:t>废止件数</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color w:val="3F3F3F" w:themeColor="text1" w:themeTint="BF"/>
                <w:lang w:eastAsia="zh-CN"/>
              </w:rPr>
            </w:pPr>
            <w:r>
              <w:rPr>
                <w:rFonts w:hint="eastAsia" w:ascii="宋体" w:hAnsi="宋体" w:eastAsia="宋体" w:cs="宋体"/>
                <w:color w:val="3F3F3F" w:themeColor="text1" w:themeTint="BF"/>
                <w:kern w:val="0"/>
                <w:sz w:val="20"/>
                <w:szCs w:val="20"/>
                <w:lang w:eastAsia="zh-CN"/>
              </w:rPr>
              <w:t>现行有效件数</w:t>
            </w:r>
          </w:p>
        </w:tc>
      </w:tr>
      <w:tr>
        <w:tblPrEx>
          <w:tblCellMar>
            <w:top w:w="0" w:type="dxa"/>
            <w:left w:w="0" w:type="dxa"/>
            <w:bottom w:w="0" w:type="dxa"/>
            <w:right w:w="0" w:type="dxa"/>
          </w:tblCellMar>
        </w:tblPrEx>
        <w:trPr>
          <w:trHeight w:val="413"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rPr>
              <w:t>规章</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0</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0</w:t>
            </w:r>
          </w:p>
        </w:tc>
      </w:tr>
      <w:tr>
        <w:trPr>
          <w:trHeight w:val="90"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lang w:eastAsia="zh-CN"/>
              </w:rPr>
              <w:t>行政</w:t>
            </w:r>
            <w:r>
              <w:rPr>
                <w:rFonts w:hint="eastAsia" w:ascii="宋体" w:hAnsi="宋体" w:eastAsia="宋体" w:cs="宋体"/>
                <w:color w:val="3F3F3F" w:themeColor="text1" w:themeTint="BF"/>
                <w:kern w:val="0"/>
                <w:sz w:val="20"/>
                <w:szCs w:val="20"/>
              </w:rPr>
              <w:t>规范性文件</w:t>
            </w:r>
          </w:p>
        </w:tc>
        <w:tc>
          <w:tcPr>
            <w:tcW w:w="172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7</w:t>
            </w:r>
          </w:p>
        </w:tc>
        <w:tc>
          <w:tcPr>
            <w:tcW w:w="142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11</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41</w:t>
            </w:r>
          </w:p>
        </w:tc>
      </w:tr>
      <w:tr>
        <w:tblPrEx>
          <w:tblCellMar>
            <w:top w:w="0" w:type="dxa"/>
            <w:left w:w="0" w:type="dxa"/>
            <w:bottom w:w="0" w:type="dxa"/>
            <w:right w:w="0" w:type="dxa"/>
          </w:tblCellMar>
        </w:tblPrEx>
        <w:trPr>
          <w:trHeight w:val="480"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第二十条第（五）项</w:t>
            </w:r>
          </w:p>
        </w:tc>
      </w:tr>
      <w:tr>
        <w:trPr>
          <w:trHeight w:val="406"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color w:val="3F3F3F" w:themeColor="text1" w:themeTint="BF"/>
                <w:lang w:eastAsia="zh-CN"/>
              </w:rPr>
            </w:pPr>
            <w:r>
              <w:rPr>
                <w:rFonts w:hint="eastAsia" w:ascii="宋体" w:hAnsi="宋体" w:eastAsia="宋体" w:cs="宋体"/>
                <w:color w:val="3F3F3F" w:themeColor="text1" w:themeTint="BF"/>
                <w:kern w:val="0"/>
                <w:sz w:val="20"/>
                <w:szCs w:val="20"/>
                <w:lang w:eastAsia="zh-CN"/>
              </w:rPr>
              <w:t>本年处理决定数量</w:t>
            </w:r>
          </w:p>
        </w:tc>
      </w:tr>
      <w:tr>
        <w:tblPrEx>
          <w:tblCellMar>
            <w:top w:w="0" w:type="dxa"/>
            <w:left w:w="0" w:type="dxa"/>
            <w:bottom w:w="0" w:type="dxa"/>
            <w:right w:w="0" w:type="dxa"/>
          </w:tblCellMar>
        </w:tblPrEx>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rPr>
              <w:t>行政许可</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color w:val="3F3F3F" w:themeColor="text1" w:themeTint="BF"/>
                <w:sz w:val="20"/>
                <w:szCs w:val="20"/>
                <w:lang w:val="en-US"/>
              </w:rPr>
            </w:pPr>
            <w:r>
              <w:rPr>
                <w:rFonts w:hint="eastAsia" w:ascii="宋体" w:hAnsi="宋体" w:eastAsia="宋体" w:cs="宋体"/>
                <w:color w:val="3F3F3F" w:themeColor="text1" w:themeTint="BF"/>
                <w:kern w:val="0"/>
                <w:sz w:val="20"/>
                <w:szCs w:val="20"/>
                <w:lang w:val="en-US" w:eastAsia="zh-CN"/>
              </w:rPr>
              <w:t>3487</w:t>
            </w:r>
          </w:p>
        </w:tc>
      </w:tr>
      <w:tr>
        <w:trPr>
          <w:trHeight w:val="406"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第二十条第（六）项</w:t>
            </w:r>
          </w:p>
        </w:tc>
      </w:tr>
      <w:tr>
        <w:tblPrEx>
          <w:tblCellMar>
            <w:top w:w="0" w:type="dxa"/>
            <w:left w:w="0" w:type="dxa"/>
            <w:bottom w:w="0" w:type="dxa"/>
            <w:right w:w="0" w:type="dxa"/>
          </w:tblCellMar>
        </w:tblPrEx>
        <w:trPr>
          <w:trHeight w:val="404" w:hRule="atLeas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信息内容</w:t>
            </w:r>
          </w:p>
        </w:tc>
        <w:tc>
          <w:tcPr>
            <w:tcW w:w="5027" w:type="dxa"/>
            <w:gridSpan w:val="3"/>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eastAsia="仿宋_GB2312"/>
                <w:color w:val="3F3F3F" w:themeColor="text1" w:themeTint="BF"/>
                <w:lang w:eastAsia="zh-CN"/>
              </w:rPr>
            </w:pPr>
            <w:r>
              <w:rPr>
                <w:rFonts w:hint="eastAsia" w:ascii="宋体" w:hAnsi="宋体" w:eastAsia="宋体" w:cs="宋体"/>
                <w:color w:val="3F3F3F" w:themeColor="text1" w:themeTint="BF"/>
                <w:kern w:val="0"/>
                <w:sz w:val="20"/>
                <w:szCs w:val="20"/>
                <w:lang w:eastAsia="zh-CN"/>
              </w:rPr>
              <w:t>本年处理决定数量</w:t>
            </w:r>
          </w:p>
        </w:tc>
      </w:tr>
      <w:tr>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rPr>
              <w:t>行政处罚</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color w:val="3F3F3F" w:themeColor="text1" w:themeTint="BF"/>
                <w:sz w:val="20"/>
                <w:szCs w:val="20"/>
              </w:rPr>
            </w:pPr>
            <w:r>
              <w:rPr>
                <w:rFonts w:hint="eastAsia" w:ascii="宋体" w:hAnsi="宋体" w:eastAsia="宋体" w:cs="宋体"/>
                <w:color w:val="3F3F3F" w:themeColor="text1" w:themeTint="BF"/>
                <w:kern w:val="0"/>
                <w:sz w:val="20"/>
                <w:szCs w:val="20"/>
                <w:lang w:val="en-US" w:eastAsia="zh-CN"/>
              </w:rPr>
              <w:t>649</w:t>
            </w:r>
          </w:p>
        </w:tc>
      </w:tr>
      <w:tr>
        <w:tblPrEx>
          <w:tblCellMar>
            <w:top w:w="0" w:type="dxa"/>
            <w:left w:w="0" w:type="dxa"/>
            <w:bottom w:w="0" w:type="dxa"/>
            <w:right w:w="0" w:type="dxa"/>
          </w:tblCellMar>
        </w:tblPrEx>
        <w:trPr>
          <w:trHeight w:val="432"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rPr>
              <w:t>行政强制</w:t>
            </w:r>
          </w:p>
        </w:tc>
        <w:tc>
          <w:tcPr>
            <w:tcW w:w="5027" w:type="dxa"/>
            <w:gridSpan w:val="3"/>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default" w:eastAsia="宋体"/>
                <w:color w:val="3F3F3F" w:themeColor="text1" w:themeTint="BF"/>
                <w:sz w:val="20"/>
                <w:szCs w:val="20"/>
                <w:lang w:val="en-US" w:eastAsia="zh-CN"/>
              </w:rPr>
            </w:pPr>
            <w:r>
              <w:rPr>
                <w:rFonts w:hint="eastAsia" w:ascii="宋体" w:hAnsi="宋体" w:eastAsia="宋体" w:cs="宋体"/>
                <w:color w:val="3F3F3F" w:themeColor="text1" w:themeTint="BF"/>
                <w:kern w:val="0"/>
                <w:sz w:val="20"/>
                <w:szCs w:val="20"/>
                <w:lang w:val="en-US" w:eastAsia="zh-CN"/>
              </w:rPr>
              <w:t>406</w:t>
            </w:r>
          </w:p>
        </w:tc>
      </w:tr>
      <w:tr>
        <w:trPr>
          <w:trHeight w:val="474" w:hRule="atLeast"/>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第二十条第（八）项</w:t>
            </w:r>
          </w:p>
        </w:tc>
      </w:tr>
      <w:tr>
        <w:tblPrEx>
          <w:tblCellMar>
            <w:top w:w="0" w:type="dxa"/>
            <w:left w:w="0" w:type="dxa"/>
            <w:bottom w:w="0" w:type="dxa"/>
            <w:right w:w="0" w:type="dxa"/>
          </w:tblCellMar>
        </w:tblPrEx>
        <w:trPr>
          <w:trHeight w:val="388"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rPr>
              <w:t>信息内容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color w:val="3F3F3F" w:themeColor="text1" w:themeTint="BF"/>
              </w:rPr>
            </w:pPr>
            <w:r>
              <w:rPr>
                <w:rFonts w:hint="eastAsia" w:ascii="宋体" w:hAnsi="宋体" w:eastAsia="宋体" w:cs="宋体"/>
                <w:color w:val="3F3F3F" w:themeColor="text1" w:themeTint="BF"/>
                <w:kern w:val="0"/>
                <w:sz w:val="20"/>
                <w:szCs w:val="20"/>
                <w:lang w:eastAsia="zh-CN"/>
              </w:rPr>
              <w:t>本年收费金额（单位：万元）</w:t>
            </w:r>
          </w:p>
        </w:tc>
      </w:tr>
      <w:tr>
        <w:trPr>
          <w:trHeight w:val="452" w:hRule="exact"/>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color w:val="3F3F3F" w:themeColor="text1" w:themeTint="BF"/>
              </w:rPr>
            </w:pPr>
            <w:r>
              <w:rPr>
                <w:rFonts w:hint="eastAsia" w:ascii="宋体" w:hAnsi="宋体" w:eastAsia="宋体" w:cs="宋体"/>
                <w:color w:val="3F3F3F" w:themeColor="text1" w:themeTint="BF"/>
                <w:kern w:val="0"/>
                <w:sz w:val="20"/>
                <w:szCs w:val="20"/>
              </w:rPr>
              <w:t>行政事业性收费</w:t>
            </w:r>
          </w:p>
        </w:tc>
        <w:tc>
          <w:tcPr>
            <w:tcW w:w="5027" w:type="dxa"/>
            <w:gridSpan w:val="3"/>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default" w:asciiTheme="minorEastAsia" w:hAnsiTheme="minorEastAsia" w:eastAsiaTheme="minorEastAsia" w:cstheme="minorEastAsia"/>
                <w:color w:val="3F3F3F" w:themeColor="text1" w:themeTint="BF"/>
                <w:sz w:val="20"/>
                <w:szCs w:val="20"/>
                <w:lang w:val="en-US" w:eastAsia="zh-CN"/>
              </w:rPr>
            </w:pPr>
            <w:r>
              <w:rPr>
                <w:rFonts w:hint="eastAsia" w:asciiTheme="minorEastAsia" w:hAnsiTheme="minorEastAsia" w:eastAsiaTheme="minorEastAsia" w:cstheme="minorEastAsia"/>
                <w:color w:val="3F3F3F" w:themeColor="text1" w:themeTint="BF"/>
                <w:sz w:val="20"/>
                <w:szCs w:val="20"/>
                <w:lang w:val="en-US" w:eastAsia="zh-CN"/>
              </w:rPr>
              <w:t>607</w:t>
            </w:r>
          </w:p>
        </w:tc>
      </w:tr>
    </w:tbl>
    <w:p>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b/>
          <w:bCs/>
          <w:color w:val="C00000"/>
        </w:rPr>
      </w:pPr>
      <w:r>
        <w:rPr>
          <w:rFonts w:hint="eastAsia" w:asciiTheme="minorEastAsia" w:hAnsiTheme="minorEastAsia" w:eastAsiaTheme="minorEastAsia" w:cstheme="minorEastAsia"/>
          <w:b/>
          <w:bCs/>
          <w:color w:val="3F3F3F" w:themeColor="text1" w:themeTint="BF"/>
          <w:spacing w:val="6"/>
          <w:sz w:val="24"/>
          <w:szCs w:val="24"/>
          <w:shd w:val="clear" w:color="auto" w:fill="FFFFFF"/>
          <w:lang w:eastAsia="zh-CN"/>
        </w:rPr>
        <w:t>三、收到和处理政府信息公开申请情况</w:t>
      </w:r>
    </w:p>
    <w:tbl>
      <w:tblPr>
        <w:tblStyle w:val="6"/>
        <w:tblpPr w:leftFromText="180" w:rightFromText="180" w:vertAnchor="text" w:horzAnchor="page" w:tblpXSpec="center" w:tblpY="80"/>
        <w:tblOverlap w:val="never"/>
        <w:tblW w:w="8744"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59"/>
        <w:gridCol w:w="935"/>
        <w:gridCol w:w="2701"/>
        <w:gridCol w:w="560"/>
        <w:gridCol w:w="665"/>
        <w:gridCol w:w="720"/>
        <w:gridCol w:w="665"/>
        <w:gridCol w:w="637"/>
        <w:gridCol w:w="541"/>
        <w:gridCol w:w="561"/>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4395"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楷体" w:hAnsi="楷体" w:eastAsia="楷体" w:cs="楷体"/>
                <w:color w:val="auto"/>
                <w:kern w:val="0"/>
                <w:sz w:val="20"/>
                <w:szCs w:val="20"/>
                <w:lang w:val="en-US" w:eastAsia="zh-CN" w:bidi="ar"/>
              </w:rPr>
              <w:t>（本列数据的勾稽关系为：第一项加第二项之和，等于第三项加第四项之和）</w:t>
            </w:r>
          </w:p>
        </w:tc>
        <w:tc>
          <w:tcPr>
            <w:tcW w:w="4349"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95"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60" w:type="dxa"/>
            <w:vMerge w:val="restart"/>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人</w:t>
            </w:r>
          </w:p>
        </w:tc>
        <w:tc>
          <w:tcPr>
            <w:tcW w:w="3228"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法人或其他组织</w:t>
            </w:r>
          </w:p>
        </w:tc>
        <w:tc>
          <w:tcPr>
            <w:tcW w:w="561"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95"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pPr>
              <w:rPr>
                <w:rFonts w:hint="eastAsia" w:ascii="宋体"/>
                <w:sz w:val="24"/>
                <w:szCs w:val="24"/>
              </w:rPr>
            </w:pPr>
          </w:p>
        </w:tc>
        <w:tc>
          <w:tcPr>
            <w:tcW w:w="560" w:type="dxa"/>
            <w:vMerge w:val="continue"/>
            <w:tcBorders>
              <w:top w:val="nil"/>
              <w:left w:val="nil"/>
              <w:bottom w:val="single" w:color="auto" w:sz="8" w:space="0"/>
              <w:right w:val="single" w:color="auto" w:sz="8" w:space="0"/>
            </w:tcBorders>
            <w:noWrap w:val="0"/>
            <w:tcMar>
              <w:left w:w="57" w:type="dxa"/>
              <w:right w:w="57" w:type="dxa"/>
            </w:tcMar>
            <w:vAlign w:val="center"/>
          </w:tcPr>
          <w:p>
            <w:pPr>
              <w:rPr>
                <w:rFonts w:hint="eastAsia" w:ascii="宋体"/>
                <w:sz w:val="24"/>
                <w:szCs w:val="24"/>
              </w:rPr>
            </w:pP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企业</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机构</w:t>
            </w:r>
          </w:p>
        </w:tc>
        <w:tc>
          <w:tcPr>
            <w:tcW w:w="665"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社会公益组织</w:t>
            </w:r>
          </w:p>
        </w:tc>
        <w:tc>
          <w:tcPr>
            <w:tcW w:w="637"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法律服务机构</w:t>
            </w:r>
          </w:p>
        </w:tc>
        <w:tc>
          <w:tcPr>
            <w:tcW w:w="541" w:type="dxa"/>
            <w:tcBorders>
              <w:top w:val="single" w:color="auto" w:sz="8" w:space="0"/>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kern w:val="0"/>
                <w:sz w:val="20"/>
                <w:szCs w:val="20"/>
                <w:lang w:val="en-US" w:eastAsia="zh-CN" w:bidi="ar"/>
              </w:rPr>
            </w:pPr>
            <w:r>
              <w:rPr>
                <w:rFonts w:hint="eastAsia" w:ascii="宋体" w:hAnsi="宋体" w:eastAsia="宋体" w:cs="宋体"/>
                <w:color w:val="auto"/>
                <w:kern w:val="0"/>
                <w:sz w:val="20"/>
                <w:szCs w:val="20"/>
                <w:lang w:val="en-US" w:eastAsia="zh-CN" w:bidi="ar"/>
              </w:rPr>
              <w:t>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auto"/>
                <w:kern w:val="0"/>
                <w:sz w:val="20"/>
                <w:szCs w:val="20"/>
                <w:lang w:val="en-US" w:eastAsia="zh-CN" w:bidi="ar"/>
              </w:rPr>
              <w:t>他</w:t>
            </w:r>
          </w:p>
        </w:tc>
        <w:tc>
          <w:tcPr>
            <w:tcW w:w="561"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95"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一、本年新收政府信息公开申请数量</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52</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52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95"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二、上年结转政府信息公开申请数量</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三、本年度办理结果</w:t>
            </w:r>
          </w:p>
        </w:tc>
        <w:tc>
          <w:tcPr>
            <w:tcW w:w="3636"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（一）予以公开</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34</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single" w:color="auto" w:sz="8" w:space="0"/>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34</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636"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（二）部分公开</w:t>
            </w:r>
            <w:r>
              <w:rPr>
                <w:rFonts w:hint="default" w:ascii="楷体" w:hAnsi="楷体" w:eastAsia="楷体" w:cs="楷体"/>
                <w:color w:val="auto"/>
                <w:kern w:val="0"/>
                <w:sz w:val="20"/>
                <w:szCs w:val="20"/>
                <w:lang w:val="en-US" w:eastAsia="zh-CN" w:bidi="ar"/>
              </w:rPr>
              <w:t>（区分处理的，只计这一情形，不计其他情形）</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（三）不予公开</w:t>
            </w: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1.属于国家秘密</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1</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single" w:color="auto" w:sz="8" w:space="0"/>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2.其他法律行政法规禁止公开</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3.危及“三安全一稳定”</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4.保护第三方合法权益</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2</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5.属于三类内部事务信息</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6.属于四类过程性信息</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7.属于行政执法案卷</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8.属于行政查询事项</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（四）无法提供</w:t>
            </w: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1.本机关不掌握相关政府信息</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5</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2.没有现成信息需要另行制作</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9</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3.补正后申请内容仍不明确</w:t>
            </w:r>
          </w:p>
        </w:tc>
        <w:tc>
          <w:tcPr>
            <w:tcW w:w="560"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restart"/>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（五）不予处理</w:t>
            </w: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1.信访举报投诉类申请</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2.重复申请</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3.要求提供公开出版物</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4.无正当理由大量反复申请</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779" w:hRule="atLeast"/>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nil"/>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5.要求行政机关确认或重新出具已获取信息</w:t>
            </w:r>
          </w:p>
        </w:tc>
        <w:tc>
          <w:tcPr>
            <w:tcW w:w="56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outset" w:color="auto" w:sz="8" w:space="0"/>
              <w:right w:val="single" w:color="auto" w:sz="8" w:space="0"/>
            </w:tcBorders>
            <w:noWrap w:val="0"/>
            <w:tcMar>
              <w:left w:w="57" w:type="dxa"/>
              <w:right w:w="57" w:type="dxa"/>
            </w:tcMar>
            <w:vAlign w:val="top"/>
          </w:tcPr>
          <w:p>
            <w:pPr>
              <w:jc w:val="both"/>
              <w:rPr>
                <w:rFonts w:hint="eastAsia" w:ascii="Calibri" w:hAnsi="Calibri" w:eastAsia="宋体" w:cs="Calibri"/>
                <w:color w:val="auto"/>
                <w:kern w:val="0"/>
                <w:sz w:val="20"/>
                <w:szCs w:val="20"/>
                <w:lang w:val="en-US" w:eastAsia="zh-CN" w:bidi="ar"/>
              </w:rPr>
            </w:pPr>
          </w:p>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（六）其他处理</w:t>
            </w:r>
          </w:p>
        </w:tc>
        <w:tc>
          <w:tcPr>
            <w:tcW w:w="270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1.申请人无正当理由逾期不补正、行政机关不再处理其政府信息公开申请</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1</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Calibri" w:hAnsi="Calibri" w:eastAsia="宋体" w:cs="Calibri"/>
                <w:color w:val="auto"/>
                <w:kern w:val="0"/>
                <w:sz w:val="20"/>
                <w:szCs w:val="20"/>
                <w:lang w:val="en-US" w:eastAsia="zh-CN" w:bidi="ar"/>
              </w:rPr>
            </w:pPr>
          </w:p>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宋体" w:hAnsi="宋体" w:eastAsia="宋体" w:cs="宋体"/>
                <w:color w:val="auto"/>
                <w:kern w:val="0"/>
                <w:sz w:val="20"/>
                <w:szCs w:val="20"/>
                <w:lang w:val="en-US" w:eastAsia="zh-CN" w:bidi="ar"/>
              </w:rPr>
              <w:t>2.申请人逾期未按收费通知要求缴纳费用、行政机关不再处理其政府信息公开申请</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935"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270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3.其他</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仿宋_GB2312" w:hAnsi="Times New Roman" w:eastAsia="仿宋_GB2312" w:cs="Times New Roman"/>
                <w:kern w:val="2"/>
                <w:sz w:val="32"/>
                <w:szCs w:val="24"/>
                <w:lang w:val="en-US" w:eastAsia="zh-CN" w:bidi="ar-SA"/>
              </w:rP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仿宋_GB2312" w:hAnsi="Times New Roman" w:eastAsia="仿宋_GB2312" w:cs="Times New Roman"/>
                <w:kern w:val="2"/>
                <w:sz w:val="32"/>
                <w:szCs w:val="24"/>
                <w:lang w:val="en-US" w:eastAsia="zh-CN" w:bidi="ar-SA"/>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hAnsi="Times New Roman" w:eastAsia="仿宋_GB2312" w:cs="Times New Roman"/>
                <w:kern w:val="2"/>
                <w:sz w:val="24"/>
                <w:szCs w:val="24"/>
                <w:lang w:val="en-US" w:eastAsia="zh-CN" w:bidi="ar-SA"/>
              </w:rPr>
            </w:pPr>
            <w:r>
              <w:rPr>
                <w:rFonts w:hint="eastAsia" w:ascii="Calibri" w:hAnsi="Calibri" w:eastAsia="宋体" w:cs="Calibri"/>
                <w:color w:val="auto"/>
                <w:kern w:val="0"/>
                <w:sz w:val="20"/>
                <w:szCs w:val="20"/>
                <w:lang w:val="en-US" w:eastAsia="zh-CN" w:bidi="ar"/>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59"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pPr>
              <w:rPr>
                <w:rFonts w:hint="eastAsia" w:ascii="宋体"/>
                <w:sz w:val="24"/>
                <w:szCs w:val="24"/>
              </w:rPr>
            </w:pPr>
          </w:p>
        </w:tc>
        <w:tc>
          <w:tcPr>
            <w:tcW w:w="3636" w:type="dxa"/>
            <w:gridSpan w:val="2"/>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（七）总计</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52</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 xml:space="preserve"> 0</w:t>
            </w:r>
            <w:r>
              <w:rPr>
                <w:rFonts w:hint="default" w:ascii="Calibri" w:hAnsi="Calibri" w:eastAsia="宋体" w:cs="Calibri"/>
                <w:color w:val="auto"/>
                <w:kern w:val="0"/>
                <w:sz w:val="20"/>
                <w:szCs w:val="20"/>
                <w:lang w:val="en-US" w:eastAsia="zh-CN" w:bidi="ar"/>
              </w:rPr>
              <w:t> </w:t>
            </w:r>
          </w:p>
        </w:tc>
        <w:tc>
          <w:tcPr>
            <w:tcW w:w="561" w:type="dxa"/>
            <w:tcBorders>
              <w:top w:val="nil"/>
              <w:left w:val="nil"/>
              <w:bottom w:val="single" w:color="auto" w:sz="8" w:space="0"/>
              <w:right w:val="single" w:color="auto" w:sz="8" w:space="0"/>
            </w:tcBorders>
            <w:noWrap w:val="0"/>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Calibri" w:hAnsi="Calibri" w:eastAsia="宋体" w:cs="Calibri"/>
                <w:color w:val="auto"/>
                <w:kern w:val="0"/>
                <w:sz w:val="20"/>
                <w:szCs w:val="20"/>
                <w:lang w:val="en-US" w:eastAsia="zh-CN" w:bidi="ar"/>
              </w:rPr>
              <w:t>52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95"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auto"/>
                <w:kern w:val="0"/>
                <w:sz w:val="20"/>
                <w:szCs w:val="20"/>
                <w:lang w:val="en-US" w:eastAsia="zh-CN" w:bidi="ar"/>
              </w:rPr>
              <w:t>四、结转下年度继续办理</w:t>
            </w:r>
          </w:p>
        </w:tc>
        <w:tc>
          <w:tcPr>
            <w:tcW w:w="56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Calibri" w:hAnsi="Calibri" w:eastAsia="宋体" w:cs="Calibri"/>
                <w:color w:val="auto"/>
                <w:kern w:val="0"/>
                <w:sz w:val="20"/>
                <w:szCs w:val="20"/>
                <w:lang w:val="en-US" w:eastAsia="zh-CN" w:bidi="ar"/>
              </w:rPr>
              <w:t>0</w:t>
            </w:r>
            <w:r>
              <w:rPr>
                <w:rFonts w:hint="default" w:ascii="Calibri" w:hAnsi="Calibri" w:eastAsia="宋体" w:cs="Calibri"/>
                <w:color w:val="auto"/>
                <w:kern w:val="0"/>
                <w:sz w:val="20"/>
                <w:szCs w:val="20"/>
                <w:lang w:val="en-US" w:eastAsia="zh-CN" w:bidi="ar"/>
              </w:rPr>
              <w:t> </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720"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65"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637"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41" w:type="dxa"/>
            <w:tcBorders>
              <w:top w:val="nil"/>
              <w:left w:val="nil"/>
              <w:bottom w:val="single" w:color="auto" w:sz="8" w:space="0"/>
              <w:right w:val="single" w:color="auto" w:sz="8" w:space="0"/>
            </w:tcBorders>
            <w:noWrap w:val="0"/>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default" w:ascii="Calibri" w:hAnsi="Calibri" w:eastAsia="宋体" w:cs="Calibri"/>
                <w:color w:val="auto"/>
                <w:kern w:val="0"/>
                <w:sz w:val="20"/>
                <w:szCs w:val="20"/>
                <w:lang w:val="en-US" w:eastAsia="zh-CN" w:bidi="ar"/>
              </w:rPr>
              <w:t> </w:t>
            </w:r>
            <w:r>
              <w:rPr>
                <w:rFonts w:hint="eastAsia" w:ascii="Calibri" w:hAnsi="Calibri" w:eastAsia="宋体" w:cs="Calibri"/>
                <w:color w:val="auto"/>
                <w:kern w:val="0"/>
                <w:sz w:val="20"/>
                <w:szCs w:val="20"/>
                <w:lang w:val="en-US" w:eastAsia="zh-CN" w:bidi="ar"/>
              </w:rPr>
              <w:t>0</w:t>
            </w:r>
          </w:p>
        </w:tc>
        <w:tc>
          <w:tcPr>
            <w:tcW w:w="561" w:type="dxa"/>
            <w:tcBorders>
              <w:top w:val="nil"/>
              <w:left w:val="nil"/>
              <w:bottom w:val="single" w:color="auto" w:sz="8" w:space="0"/>
              <w:right w:val="single" w:color="auto" w:sz="8" w:space="0"/>
            </w:tcBorders>
            <w:noWrap w:val="0"/>
            <w:tcMar>
              <w:left w:w="57" w:type="dxa"/>
              <w:right w:w="57" w:type="dxa"/>
            </w:tcMar>
            <w:vAlign w:val="top"/>
          </w:tcPr>
          <w:p>
            <w:pPr>
              <w:jc w:val="center"/>
              <w:rPr>
                <w:rFonts w:hint="eastAsia" w:ascii="宋体" w:eastAsia="仿宋_GB2312"/>
                <w:sz w:val="24"/>
                <w:szCs w:val="24"/>
                <w:lang w:val="en-US" w:eastAsia="zh-CN"/>
              </w:rPr>
            </w:pPr>
            <w:r>
              <w:rPr>
                <w:rFonts w:hint="eastAsia" w:ascii="Calibri" w:hAnsi="Calibri" w:eastAsia="宋体" w:cs="Calibri"/>
                <w:color w:val="auto"/>
                <w:kern w:val="0"/>
                <w:sz w:val="20"/>
                <w:szCs w:val="20"/>
                <w:lang w:val="en-US" w:eastAsia="zh-CN" w:bidi="ar"/>
              </w:rPr>
              <w:t>0</w:t>
            </w:r>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95" w:afterAutospacing="0" w:line="460" w:lineRule="exact"/>
        <w:ind w:right="0"/>
        <w:jc w:val="left"/>
        <w:textAlignment w:val="auto"/>
        <w:rPr>
          <w:rFonts w:hint="eastAsia" w:asciiTheme="minorEastAsia" w:hAnsiTheme="minorEastAsia" w:eastAsiaTheme="minorEastAsia" w:cstheme="minorEastAsia"/>
          <w:b/>
          <w:bCs/>
          <w:i w:val="0"/>
          <w:caps w:val="0"/>
          <w:color w:val="3F3F3F" w:themeColor="text1" w:themeTint="BF"/>
          <w:spacing w:val="0"/>
          <w:sz w:val="24"/>
          <w:szCs w:val="24"/>
        </w:rPr>
      </w:pPr>
      <w:r>
        <w:rPr>
          <w:rFonts w:hint="eastAsia" w:asciiTheme="minorEastAsia" w:hAnsiTheme="minorEastAsia" w:eastAsiaTheme="minorEastAsia" w:cstheme="minorEastAsia"/>
          <w:b/>
          <w:bCs/>
          <w:i w:val="0"/>
          <w:caps w:val="0"/>
          <w:color w:val="3F3F3F" w:themeColor="text1" w:themeTint="BF"/>
          <w:spacing w:val="0"/>
          <w:sz w:val="24"/>
          <w:szCs w:val="24"/>
        </w:rPr>
        <w:t>四、政府信息公开行政复议、行政诉讼情况</w:t>
      </w:r>
    </w:p>
    <w:tbl>
      <w:tblPr>
        <w:tblStyle w:val="6"/>
        <w:tblpPr w:leftFromText="180" w:rightFromText="180" w:vertAnchor="text" w:horzAnchor="page" w:tblpX="1538" w:tblpY="587"/>
        <w:tblOverlap w:val="never"/>
        <w:tblW w:w="930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50"/>
        <w:gridCol w:w="645"/>
        <w:gridCol w:w="645"/>
        <w:gridCol w:w="660"/>
        <w:gridCol w:w="480"/>
        <w:gridCol w:w="675"/>
        <w:gridCol w:w="705"/>
        <w:gridCol w:w="660"/>
        <w:gridCol w:w="630"/>
        <w:gridCol w:w="480"/>
        <w:gridCol w:w="621"/>
        <w:gridCol w:w="692"/>
        <w:gridCol w:w="663"/>
        <w:gridCol w:w="664"/>
        <w:gridCol w:w="43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03" w:hRule="atLeast"/>
        </w:trPr>
        <w:tc>
          <w:tcPr>
            <w:tcW w:w="3080"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行政复议</w:t>
            </w:r>
          </w:p>
        </w:tc>
        <w:tc>
          <w:tcPr>
            <w:tcW w:w="6223"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trPr>
        <w:tc>
          <w:tcPr>
            <w:tcW w:w="650"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结果维持</w:t>
            </w:r>
          </w:p>
        </w:tc>
        <w:tc>
          <w:tcPr>
            <w:tcW w:w="645"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纠正</w:t>
            </w:r>
          </w:p>
        </w:tc>
        <w:tc>
          <w:tcPr>
            <w:tcW w:w="645"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其他</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结果</w:t>
            </w:r>
          </w:p>
        </w:tc>
        <w:tc>
          <w:tcPr>
            <w:tcW w:w="660"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尚未</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审结</w:t>
            </w:r>
          </w:p>
        </w:tc>
        <w:tc>
          <w:tcPr>
            <w:tcW w:w="480"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总计</w:t>
            </w:r>
          </w:p>
        </w:tc>
        <w:tc>
          <w:tcPr>
            <w:tcW w:w="3150"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未经复议直接起诉</w:t>
            </w:r>
          </w:p>
        </w:tc>
        <w:tc>
          <w:tcPr>
            <w:tcW w:w="3073"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10" w:hRule="atLeast"/>
        </w:trPr>
        <w:tc>
          <w:tcPr>
            <w:tcW w:w="650"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3F3F3F" w:themeColor="text1" w:themeTint="BF"/>
                <w:sz w:val="24"/>
                <w:szCs w:val="24"/>
              </w:rPr>
            </w:pPr>
          </w:p>
        </w:tc>
        <w:tc>
          <w:tcPr>
            <w:tcW w:w="645"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3F3F3F" w:themeColor="text1" w:themeTint="BF"/>
                <w:sz w:val="24"/>
                <w:szCs w:val="24"/>
              </w:rPr>
            </w:pPr>
          </w:p>
        </w:tc>
        <w:tc>
          <w:tcPr>
            <w:tcW w:w="645"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3F3F3F" w:themeColor="text1" w:themeTint="BF"/>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3F3F3F" w:themeColor="text1" w:themeTint="BF"/>
                <w:sz w:val="24"/>
                <w:szCs w:val="24"/>
              </w:rPr>
            </w:pPr>
          </w:p>
        </w:tc>
        <w:tc>
          <w:tcPr>
            <w:tcW w:w="480"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color w:val="3F3F3F" w:themeColor="text1" w:themeTint="BF"/>
                <w:sz w:val="24"/>
                <w:szCs w:val="24"/>
              </w:rPr>
            </w:pP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维持</w:t>
            </w:r>
          </w:p>
        </w:tc>
        <w:tc>
          <w:tcPr>
            <w:tcW w:w="70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纠正</w:t>
            </w:r>
          </w:p>
        </w:tc>
        <w:tc>
          <w:tcPr>
            <w:tcW w:w="66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其他</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结果</w:t>
            </w:r>
          </w:p>
        </w:tc>
        <w:tc>
          <w:tcPr>
            <w:tcW w:w="63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尚未</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审结</w:t>
            </w:r>
          </w:p>
        </w:tc>
        <w:tc>
          <w:tcPr>
            <w:tcW w:w="48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总计</w:t>
            </w:r>
          </w:p>
        </w:tc>
        <w:tc>
          <w:tcPr>
            <w:tcW w:w="621"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维持</w:t>
            </w:r>
          </w:p>
        </w:tc>
        <w:tc>
          <w:tcPr>
            <w:tcW w:w="692"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结果</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纠正</w:t>
            </w:r>
          </w:p>
        </w:tc>
        <w:tc>
          <w:tcPr>
            <w:tcW w:w="66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其他</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结果</w:t>
            </w:r>
          </w:p>
        </w:tc>
        <w:tc>
          <w:tcPr>
            <w:tcW w:w="66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尚未</w:t>
            </w:r>
            <w:r>
              <w:rPr>
                <w:rFonts w:hint="eastAsia" w:ascii="宋体" w:hAnsi="宋体" w:eastAsia="宋体" w:cs="宋体"/>
                <w:color w:val="3F3F3F" w:themeColor="text1" w:themeTint="BF"/>
                <w:kern w:val="0"/>
                <w:sz w:val="20"/>
                <w:szCs w:val="20"/>
                <w:lang w:val="en-US" w:eastAsia="zh-CN" w:bidi="ar"/>
              </w:rPr>
              <w:br w:type="textWrapping"/>
            </w:r>
            <w:r>
              <w:rPr>
                <w:rFonts w:hint="eastAsia" w:ascii="宋体" w:hAnsi="宋体" w:eastAsia="宋体" w:cs="宋体"/>
                <w:color w:val="3F3F3F" w:themeColor="text1" w:themeTint="BF"/>
                <w:kern w:val="0"/>
                <w:sz w:val="20"/>
                <w:szCs w:val="20"/>
                <w:lang w:val="en-US" w:eastAsia="zh-CN" w:bidi="ar"/>
              </w:rPr>
              <w:t>审结</w:t>
            </w:r>
          </w:p>
        </w:tc>
        <w:tc>
          <w:tcPr>
            <w:tcW w:w="43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宋体" w:hAnsi="宋体" w:eastAsia="宋体" w:cs="宋体"/>
                <w:color w:val="3F3F3F" w:themeColor="text1" w:themeTint="BF"/>
                <w:kern w:val="0"/>
                <w:sz w:val="20"/>
                <w:szCs w:val="20"/>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trPr>
        <w:tc>
          <w:tcPr>
            <w:tcW w:w="65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64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US"/>
              </w:rPr>
            </w:pPr>
            <w:r>
              <w:rPr>
                <w:rFonts w:hint="default" w:ascii="黑体" w:hAnsi="宋体" w:eastAsia="黑体" w:cs="黑体"/>
                <w:color w:val="3F3F3F" w:themeColor="text1" w:themeTint="BF"/>
                <w:kern w:val="0"/>
                <w:sz w:val="20"/>
                <w:szCs w:val="20"/>
                <w:lang w:val="en" w:eastAsia="zh-CN" w:bidi="ar"/>
              </w:rPr>
              <w:t>0</w:t>
            </w:r>
            <w:r>
              <w:rPr>
                <w:rFonts w:hint="default" w:ascii="黑体" w:hAnsi="宋体" w:eastAsia="黑体" w:cs="黑体"/>
                <w:color w:val="3F3F3F" w:themeColor="text1" w:themeTint="BF"/>
                <w:kern w:val="0"/>
                <w:sz w:val="20"/>
                <w:szCs w:val="20"/>
                <w:lang w:val="en-US" w:eastAsia="zh-CN" w:bidi="ar"/>
              </w:rPr>
              <w:t> </w:t>
            </w:r>
          </w:p>
        </w:tc>
        <w:tc>
          <w:tcPr>
            <w:tcW w:w="64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66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3F3F3F" w:themeColor="text1" w:themeTint="BF"/>
              </w:rPr>
            </w:pPr>
            <w:r>
              <w:rPr>
                <w:rFonts w:hint="eastAsia" w:ascii="黑体" w:hAnsi="宋体" w:eastAsia="黑体" w:cs="黑体"/>
                <w:color w:val="3F3F3F" w:themeColor="text1" w:themeTint="BF"/>
                <w:kern w:val="0"/>
                <w:sz w:val="20"/>
                <w:szCs w:val="20"/>
                <w:lang w:val="en-US" w:eastAsia="zh-CN" w:bidi="ar"/>
              </w:rPr>
              <w:t>0</w:t>
            </w:r>
          </w:p>
        </w:tc>
        <w:tc>
          <w:tcPr>
            <w:tcW w:w="48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eastAsia" w:ascii="CESI黑体-GB2312" w:hAnsi="CESI黑体-GB2312" w:eastAsia="CESI黑体-GB2312" w:cs="CESI黑体-GB2312"/>
                <w:color w:val="3F3F3F" w:themeColor="text1" w:themeTint="BF"/>
                <w:sz w:val="20"/>
                <w:szCs w:val="20"/>
                <w:lang w:val="en"/>
              </w:rPr>
              <w:t>0</w:t>
            </w:r>
          </w:p>
        </w:tc>
        <w:tc>
          <w:tcPr>
            <w:tcW w:w="67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3</w:t>
            </w:r>
          </w:p>
        </w:tc>
        <w:tc>
          <w:tcPr>
            <w:tcW w:w="705"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3</w:t>
            </w:r>
          </w:p>
        </w:tc>
        <w:tc>
          <w:tcPr>
            <w:tcW w:w="66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63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480"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color w:val="3F3F3F" w:themeColor="text1" w:themeTint="BF"/>
                <w:lang w:val="en"/>
              </w:rPr>
            </w:pPr>
            <w:r>
              <w:rPr>
                <w:rFonts w:hint="eastAsia" w:ascii="CESI黑体-GB2312" w:hAnsi="CESI黑体-GB2312" w:eastAsia="CESI黑体-GB2312" w:cs="CESI黑体-GB2312"/>
                <w:color w:val="3F3F3F" w:themeColor="text1" w:themeTint="BF"/>
                <w:sz w:val="20"/>
                <w:szCs w:val="20"/>
                <w:lang w:val="en"/>
              </w:rPr>
              <w:t>6</w:t>
            </w:r>
          </w:p>
        </w:tc>
        <w:tc>
          <w:tcPr>
            <w:tcW w:w="621"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692"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
              </w:rPr>
            </w:pPr>
            <w:r>
              <w:rPr>
                <w:rFonts w:hint="default" w:ascii="黑体" w:hAnsi="宋体" w:eastAsia="黑体" w:cs="黑体"/>
                <w:color w:val="3F3F3F" w:themeColor="text1" w:themeTint="BF"/>
                <w:kern w:val="0"/>
                <w:sz w:val="20"/>
                <w:szCs w:val="20"/>
                <w:lang w:val="en" w:eastAsia="zh-CN" w:bidi="ar"/>
              </w:rPr>
              <w:t>0</w:t>
            </w:r>
          </w:p>
        </w:tc>
        <w:tc>
          <w:tcPr>
            <w:tcW w:w="663"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US"/>
              </w:rPr>
            </w:pPr>
            <w:r>
              <w:rPr>
                <w:rFonts w:hint="default" w:ascii="黑体" w:hAnsi="宋体" w:eastAsia="黑体" w:cs="黑体"/>
                <w:color w:val="3F3F3F" w:themeColor="text1" w:themeTint="BF"/>
                <w:kern w:val="0"/>
                <w:sz w:val="20"/>
                <w:szCs w:val="20"/>
                <w:lang w:val="en-US" w:eastAsia="zh-CN" w:bidi="ar"/>
              </w:rPr>
              <w:t> </w:t>
            </w:r>
            <w:r>
              <w:rPr>
                <w:rFonts w:hint="eastAsia" w:ascii="黑体" w:hAnsi="宋体" w:eastAsia="黑体" w:cs="黑体"/>
                <w:color w:val="3F3F3F" w:themeColor="text1" w:themeTint="BF"/>
                <w:kern w:val="0"/>
                <w:sz w:val="20"/>
                <w:szCs w:val="20"/>
                <w:lang w:val="en-US" w:eastAsia="zh-CN" w:bidi="ar"/>
              </w:rPr>
              <w:t>0</w:t>
            </w:r>
          </w:p>
        </w:tc>
        <w:tc>
          <w:tcPr>
            <w:tcW w:w="664" w:type="dxa"/>
            <w:tcBorders>
              <w:top w:val="nil"/>
              <w:left w:val="single" w:color="auto" w:sz="8" w:space="0"/>
              <w:bottom w:val="single" w:color="auto" w:sz="8" w:space="0"/>
              <w:right w:val="single" w:color="auto" w:sz="8" w:space="0"/>
            </w:tcBorders>
            <w:noWrap w:val="0"/>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color w:val="3F3F3F" w:themeColor="text1" w:themeTint="BF"/>
                <w:lang w:val="en-US"/>
              </w:rPr>
            </w:pPr>
            <w:r>
              <w:rPr>
                <w:rFonts w:hint="default" w:ascii="黑体" w:hAnsi="宋体" w:eastAsia="黑体" w:cs="黑体"/>
                <w:color w:val="3F3F3F" w:themeColor="text1" w:themeTint="BF"/>
                <w:kern w:val="0"/>
                <w:sz w:val="20"/>
                <w:szCs w:val="20"/>
                <w:lang w:val="en-US" w:eastAsia="zh-CN" w:bidi="ar"/>
              </w:rPr>
              <w:t> </w:t>
            </w:r>
            <w:r>
              <w:rPr>
                <w:rFonts w:hint="eastAsia" w:ascii="黑体" w:hAnsi="宋体" w:eastAsia="黑体" w:cs="黑体"/>
                <w:color w:val="3F3F3F" w:themeColor="text1" w:themeTint="BF"/>
                <w:kern w:val="0"/>
                <w:sz w:val="20"/>
                <w:szCs w:val="20"/>
                <w:lang w:val="en-US" w:eastAsia="zh-CN" w:bidi="ar"/>
              </w:rPr>
              <w:t>0</w:t>
            </w:r>
          </w:p>
        </w:tc>
        <w:tc>
          <w:tcPr>
            <w:tcW w:w="433" w:type="dxa"/>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default" w:ascii="宋体" w:eastAsia="仿宋_GB2312"/>
                <w:color w:val="3F3F3F" w:themeColor="text1" w:themeTint="BF"/>
                <w:sz w:val="24"/>
                <w:szCs w:val="24"/>
                <w:lang w:val="en" w:eastAsia="zh-CN"/>
              </w:rPr>
            </w:pPr>
            <w:r>
              <w:rPr>
                <w:rFonts w:hint="default" w:ascii="黑体" w:hAnsi="宋体" w:eastAsia="黑体" w:cs="黑体"/>
                <w:color w:val="3F3F3F" w:themeColor="text1" w:themeTint="BF"/>
                <w:kern w:val="0"/>
                <w:sz w:val="20"/>
                <w:szCs w:val="20"/>
                <w:lang w:val="en" w:eastAsia="zh-CN" w:bidi="ar"/>
              </w:rPr>
              <w:t>0</w:t>
            </w:r>
            <w:bookmarkStart w:id="0" w:name="_GoBack"/>
            <w:bookmarkEnd w:id="0"/>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95" w:afterAutospacing="0" w:line="460" w:lineRule="exact"/>
        <w:ind w:right="0"/>
        <w:jc w:val="left"/>
        <w:textAlignment w:val="auto"/>
        <w:rPr>
          <w:rFonts w:hint="eastAsia" w:asciiTheme="minorEastAsia" w:hAnsiTheme="minorEastAsia" w:eastAsiaTheme="minorEastAsia" w:cstheme="minorEastAsia"/>
          <w:b/>
          <w:bCs/>
          <w:i w:val="0"/>
          <w:caps w:val="0"/>
          <w:color w:val="3F3F3F" w:themeColor="text1" w:themeTint="BF"/>
          <w:spacing w:val="0"/>
          <w:sz w:val="24"/>
          <w:szCs w:val="24"/>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95" w:afterAutospacing="0" w:line="460" w:lineRule="exact"/>
        <w:ind w:right="0" w:firstLine="481" w:firstLineChars="200"/>
        <w:jc w:val="left"/>
        <w:textAlignment w:val="auto"/>
        <w:rPr>
          <w:rFonts w:hint="eastAsia" w:asciiTheme="minorEastAsia" w:hAnsiTheme="minorEastAsia" w:eastAsiaTheme="minorEastAsia" w:cstheme="minorEastAsia"/>
          <w:b/>
          <w:bCs/>
          <w:i w:val="0"/>
          <w:caps w:val="0"/>
          <w:color w:val="3F3F3F" w:themeColor="text1" w:themeTint="BF"/>
          <w:spacing w:val="0"/>
          <w:sz w:val="24"/>
          <w:szCs w:val="24"/>
        </w:rPr>
      </w:pPr>
      <w:r>
        <w:rPr>
          <w:rFonts w:hint="eastAsia" w:asciiTheme="minorEastAsia" w:hAnsiTheme="minorEastAsia" w:eastAsiaTheme="minorEastAsia" w:cstheme="minorEastAsia"/>
          <w:b/>
          <w:bCs/>
          <w:i w:val="0"/>
          <w:caps w:val="0"/>
          <w:color w:val="3F3F3F" w:themeColor="text1" w:themeTint="BF"/>
          <w:spacing w:val="0"/>
          <w:sz w:val="24"/>
          <w:szCs w:val="24"/>
        </w:rPr>
        <w:t>五、存在的主要问题及改进情况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95" w:afterAutospacing="0" w:line="460" w:lineRule="exact"/>
        <w:ind w:right="0" w:firstLine="480" w:firstLineChars="200"/>
        <w:jc w:val="left"/>
        <w:textAlignment w:val="auto"/>
        <w:rPr>
          <w:rFonts w:hint="eastAsia" w:asciiTheme="minorEastAsia" w:hAnsiTheme="minorEastAsia" w:eastAsiaTheme="minorEastAsia" w:cstheme="minorEastAsia"/>
          <w:i w:val="0"/>
          <w:caps w:val="0"/>
          <w:color w:val="3F3F3F" w:themeColor="text1" w:themeTint="BF"/>
          <w:spacing w:val="0"/>
          <w:sz w:val="24"/>
          <w:szCs w:val="24"/>
        </w:rPr>
      </w:pPr>
      <w:r>
        <w:rPr>
          <w:rFonts w:hint="eastAsia" w:asciiTheme="minorEastAsia" w:hAnsiTheme="minorEastAsia" w:eastAsiaTheme="minorEastAsia" w:cstheme="minorEastAsia"/>
          <w:i w:val="0"/>
          <w:caps w:val="0"/>
          <w:color w:val="3F3F3F" w:themeColor="text1" w:themeTint="BF"/>
          <w:spacing w:val="0"/>
          <w:sz w:val="24"/>
          <w:szCs w:val="24"/>
        </w:rPr>
        <w:t>一是政务公开内容不够全面、及时，与群众的信息需求尚有差距。二是一些部门对政务公开工作认识不到位，不够重视。三是政务公开考核和监督评议等工作机制有待进一步健全完善。</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i w:val="0"/>
          <w:caps w:val="0"/>
          <w:color w:val="3F3F3F" w:themeColor="text1" w:themeTint="BF"/>
          <w:spacing w:val="0"/>
          <w:sz w:val="24"/>
          <w:szCs w:val="24"/>
        </w:rPr>
      </w:pPr>
      <w:r>
        <w:rPr>
          <w:rFonts w:ascii="Calibri" w:hAnsi="Calibri" w:eastAsia="宋体" w:cs="Calibri"/>
          <w:i w:val="0"/>
          <w:caps w:val="0"/>
          <w:color w:val="3F3F3F" w:themeColor="text1" w:themeTint="BF"/>
          <w:spacing w:val="0"/>
          <w:kern w:val="0"/>
          <w:sz w:val="24"/>
          <w:szCs w:val="24"/>
          <w:shd w:val="clear" w:fill="FFFFFF"/>
          <w:lang w:val="en-US" w:eastAsia="zh-CN" w:bidi="ar"/>
        </w:rPr>
        <w:t>202</w:t>
      </w:r>
      <w:r>
        <w:rPr>
          <w:rFonts w:hint="eastAsia" w:ascii="Calibri" w:hAnsi="Calibri" w:eastAsia="宋体" w:cs="Calibri"/>
          <w:i w:val="0"/>
          <w:caps w:val="0"/>
          <w:color w:val="3F3F3F" w:themeColor="text1" w:themeTint="BF"/>
          <w:spacing w:val="0"/>
          <w:kern w:val="0"/>
          <w:sz w:val="24"/>
          <w:szCs w:val="24"/>
          <w:shd w:val="clear" w:fill="FFFFFF"/>
          <w:lang w:val="en-US" w:eastAsia="zh-CN" w:bidi="ar"/>
        </w:rPr>
        <w:t>3</w:t>
      </w:r>
      <w:r>
        <w:rPr>
          <w:rFonts w:hint="eastAsia" w:ascii="宋体" w:hAnsi="宋体" w:eastAsia="宋体" w:cs="宋体"/>
          <w:i w:val="0"/>
          <w:caps w:val="0"/>
          <w:color w:val="3F3F3F" w:themeColor="text1" w:themeTint="BF"/>
          <w:spacing w:val="0"/>
          <w:kern w:val="0"/>
          <w:sz w:val="24"/>
          <w:szCs w:val="24"/>
          <w:shd w:val="clear" w:fill="FFFFFF"/>
          <w:lang w:val="en-US" w:eastAsia="zh-CN" w:bidi="ar"/>
        </w:rPr>
        <w:t>年，阜平县将坚持以人民为中心深化政府信息公开工作，贯彻执行《政府信息公开条例》，加强政务信息管理，完善政府信息公开配套制度，推动政府信息公开工作取得新进展。</w:t>
      </w:r>
      <w:r>
        <w:rPr>
          <w:rFonts w:hint="eastAsia" w:asciiTheme="minorEastAsia" w:hAnsiTheme="minorEastAsia" w:eastAsiaTheme="minorEastAsia" w:cstheme="minorEastAsia"/>
          <w:i w:val="0"/>
          <w:caps w:val="0"/>
          <w:color w:val="3F3F3F" w:themeColor="text1" w:themeTint="BF"/>
          <w:spacing w:val="0"/>
          <w:sz w:val="24"/>
          <w:szCs w:val="24"/>
        </w:rPr>
        <w:t>一是进一步梳理、规范政务公开内容，加大政府网站政务公开力度，切实保障群众的合法权益</w:t>
      </w:r>
      <w:r>
        <w:rPr>
          <w:rFonts w:hint="eastAsia" w:asciiTheme="minorEastAsia" w:hAnsiTheme="minorEastAsia" w:eastAsiaTheme="minorEastAsia" w:cstheme="minorEastAsia"/>
          <w:i w:val="0"/>
          <w:caps w:val="0"/>
          <w:color w:val="3F3F3F" w:themeColor="text1" w:themeTint="BF"/>
          <w:spacing w:val="0"/>
          <w:sz w:val="24"/>
          <w:szCs w:val="24"/>
          <w:lang w:eastAsia="zh-CN"/>
        </w:rPr>
        <w:t>。</w:t>
      </w:r>
      <w:r>
        <w:rPr>
          <w:rFonts w:hint="eastAsia" w:asciiTheme="minorEastAsia" w:hAnsiTheme="minorEastAsia" w:eastAsiaTheme="minorEastAsia" w:cstheme="minorEastAsia"/>
          <w:i w:val="0"/>
          <w:caps w:val="0"/>
          <w:color w:val="3F3F3F" w:themeColor="text1" w:themeTint="BF"/>
          <w:spacing w:val="0"/>
          <w:sz w:val="24"/>
          <w:szCs w:val="24"/>
        </w:rPr>
        <w:t>二是加强宣传教育力度，增强全县各级组织和广大干部群众对推行政务公开工作的重要性和必要性的认识，为更好地开展政务公开工作营造良好的社会环境。三是加强监督检查，健全监督制约机制，确保政务公开工作常态化开展。</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1" w:firstLineChars="200"/>
        <w:jc w:val="left"/>
        <w:textAlignment w:val="auto"/>
        <w:rPr>
          <w:rFonts w:hint="eastAsia" w:asciiTheme="minorEastAsia" w:hAnsiTheme="minorEastAsia" w:eastAsiaTheme="minorEastAsia" w:cstheme="minorEastAsia"/>
          <w:b/>
          <w:bCs/>
          <w:i w:val="0"/>
          <w:caps w:val="0"/>
          <w:color w:val="3F3F3F" w:themeColor="text1" w:themeTint="BF"/>
          <w:spacing w:val="0"/>
          <w:kern w:val="0"/>
          <w:sz w:val="24"/>
          <w:szCs w:val="24"/>
          <w:shd w:val="clear" w:fill="FFFFFF"/>
          <w:lang w:val="en-US" w:eastAsia="zh-CN" w:bidi="ar"/>
        </w:rPr>
      </w:pPr>
      <w:r>
        <w:rPr>
          <w:rFonts w:hint="eastAsia" w:asciiTheme="minorEastAsia" w:hAnsiTheme="minorEastAsia" w:eastAsiaTheme="minorEastAsia" w:cstheme="minorEastAsia"/>
          <w:b/>
          <w:bCs/>
          <w:i w:val="0"/>
          <w:caps w:val="0"/>
          <w:color w:val="3F3F3F" w:themeColor="text1" w:themeTint="BF"/>
          <w:spacing w:val="0"/>
          <w:kern w:val="0"/>
          <w:sz w:val="24"/>
          <w:szCs w:val="24"/>
          <w:shd w:val="clear" w:fill="FFFFFF"/>
          <w:lang w:val="en-US" w:eastAsia="zh-CN" w:bidi="ar"/>
        </w:rPr>
        <w:t>六、其他需要报告的事项</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pPr>
      <w:r>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t>认真贯彻执行国务院办公厅《政府信息公开信息处理费管理办法》，落细落实信息处理费政策。2022年我县未收取信息处理费。</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520" w:firstLineChars="2300"/>
        <w:jc w:val="left"/>
        <w:textAlignment w:val="auto"/>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pPr>
      <w:r>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t xml:space="preserve">  阜平县人民政府</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color w:val="auto"/>
          <w:spacing w:val="6"/>
          <w:shd w:val="clear" w:color="auto" w:fill="FFFFFF"/>
        </w:rPr>
      </w:pPr>
      <w:r>
        <w:rPr>
          <w:rFonts w:hint="eastAsia" w:asciiTheme="minorEastAsia" w:hAnsiTheme="minorEastAsia" w:eastAsiaTheme="minorEastAsia" w:cstheme="minorEastAsia"/>
          <w:i w:val="0"/>
          <w:caps w:val="0"/>
          <w:color w:val="3F3F3F" w:themeColor="text1" w:themeTint="BF"/>
          <w:spacing w:val="0"/>
          <w:kern w:val="0"/>
          <w:sz w:val="24"/>
          <w:szCs w:val="24"/>
          <w:shd w:val="clear" w:fill="FFFFFF"/>
          <w:lang w:val="en-US" w:eastAsia="zh-CN" w:bidi="ar"/>
        </w:rPr>
        <w:t xml:space="preserve">                                              2023年2月</w:t>
      </w:r>
      <w:r>
        <w:rPr>
          <w:rFonts w:hint="default"/>
          <w:color w:val="C00000"/>
          <w:spacing w:val="6"/>
          <w:shd w:val="clear" w:color="auto" w:fill="FFFFFF"/>
          <w:lang w:val="en" w:eastAsia="zh-CN"/>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95E23"/>
    <w:multiLevelType w:val="singleLevel"/>
    <w:tmpl w:val="EEB95E2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3E5B229F"/>
    <w:rsid w:val="000168E7"/>
    <w:rsid w:val="00091070"/>
    <w:rsid w:val="00102236"/>
    <w:rsid w:val="00121401"/>
    <w:rsid w:val="00157AC8"/>
    <w:rsid w:val="001801D5"/>
    <w:rsid w:val="00296580"/>
    <w:rsid w:val="002B2C96"/>
    <w:rsid w:val="00455C5D"/>
    <w:rsid w:val="004F0B4A"/>
    <w:rsid w:val="00586B59"/>
    <w:rsid w:val="00631E81"/>
    <w:rsid w:val="00653E36"/>
    <w:rsid w:val="008E1B1A"/>
    <w:rsid w:val="008E44F4"/>
    <w:rsid w:val="00A53DE3"/>
    <w:rsid w:val="00B5390F"/>
    <w:rsid w:val="00C06F06"/>
    <w:rsid w:val="00C51C9D"/>
    <w:rsid w:val="00CB4FF3"/>
    <w:rsid w:val="00CE1DC8"/>
    <w:rsid w:val="00D26420"/>
    <w:rsid w:val="00D36948"/>
    <w:rsid w:val="00E06057"/>
    <w:rsid w:val="00E212AC"/>
    <w:rsid w:val="00E41BBC"/>
    <w:rsid w:val="00E57F2A"/>
    <w:rsid w:val="00EA3ADC"/>
    <w:rsid w:val="00EF14E8"/>
    <w:rsid w:val="00F24E13"/>
    <w:rsid w:val="00FA6E92"/>
    <w:rsid w:val="00FC07B6"/>
    <w:rsid w:val="01285338"/>
    <w:rsid w:val="09813DFD"/>
    <w:rsid w:val="0B2121D5"/>
    <w:rsid w:val="0B7C5990"/>
    <w:rsid w:val="0DD66EB3"/>
    <w:rsid w:val="11B05C5A"/>
    <w:rsid w:val="179F46E2"/>
    <w:rsid w:val="19DE11D5"/>
    <w:rsid w:val="19FF4020"/>
    <w:rsid w:val="1A0F4175"/>
    <w:rsid w:val="1DEF69BE"/>
    <w:rsid w:val="1FEFF2B1"/>
    <w:rsid w:val="1FF5D700"/>
    <w:rsid w:val="238E43F5"/>
    <w:rsid w:val="2E8A0E7B"/>
    <w:rsid w:val="33FFD013"/>
    <w:rsid w:val="341765DF"/>
    <w:rsid w:val="35FE7141"/>
    <w:rsid w:val="37F46A5B"/>
    <w:rsid w:val="38CB1FBA"/>
    <w:rsid w:val="3B214D37"/>
    <w:rsid w:val="3E5B229F"/>
    <w:rsid w:val="3EEBE8A9"/>
    <w:rsid w:val="3FFF7323"/>
    <w:rsid w:val="43DA9812"/>
    <w:rsid w:val="4ADF9822"/>
    <w:rsid w:val="4D617EE6"/>
    <w:rsid w:val="4E137BDD"/>
    <w:rsid w:val="4EE79DBD"/>
    <w:rsid w:val="4F274EB4"/>
    <w:rsid w:val="541E6540"/>
    <w:rsid w:val="56BF5A8E"/>
    <w:rsid w:val="571C05B0"/>
    <w:rsid w:val="5A6F3991"/>
    <w:rsid w:val="5B7F443C"/>
    <w:rsid w:val="5BFA69C9"/>
    <w:rsid w:val="5CFF3EEF"/>
    <w:rsid w:val="5F617440"/>
    <w:rsid w:val="61022B79"/>
    <w:rsid w:val="6373F47C"/>
    <w:rsid w:val="68C13E1A"/>
    <w:rsid w:val="695D0560"/>
    <w:rsid w:val="69C937CA"/>
    <w:rsid w:val="6B1C25CA"/>
    <w:rsid w:val="6CFAF742"/>
    <w:rsid w:val="6FDF47DB"/>
    <w:rsid w:val="71A62D78"/>
    <w:rsid w:val="72826491"/>
    <w:rsid w:val="74ED2BBE"/>
    <w:rsid w:val="764322DF"/>
    <w:rsid w:val="76FA3100"/>
    <w:rsid w:val="77BB3DCB"/>
    <w:rsid w:val="77CFF03C"/>
    <w:rsid w:val="7BFBB451"/>
    <w:rsid w:val="7C6E4983"/>
    <w:rsid w:val="7D292759"/>
    <w:rsid w:val="7DDEB177"/>
    <w:rsid w:val="7DEFBE5B"/>
    <w:rsid w:val="7E2247C9"/>
    <w:rsid w:val="7ED53247"/>
    <w:rsid w:val="7EFF9FE8"/>
    <w:rsid w:val="7FA76860"/>
    <w:rsid w:val="7FDF440F"/>
    <w:rsid w:val="7FE38852"/>
    <w:rsid w:val="7FEE8593"/>
    <w:rsid w:val="7FFC88C4"/>
    <w:rsid w:val="9FF7D4FF"/>
    <w:rsid w:val="A3D775E9"/>
    <w:rsid w:val="AEF9A45C"/>
    <w:rsid w:val="AFDECBE8"/>
    <w:rsid w:val="B97F9973"/>
    <w:rsid w:val="B9DFDC13"/>
    <w:rsid w:val="BBB71264"/>
    <w:rsid w:val="BD6FD311"/>
    <w:rsid w:val="BF66FE93"/>
    <w:rsid w:val="BFCF8893"/>
    <w:rsid w:val="CB6DC77E"/>
    <w:rsid w:val="CFEFBAE5"/>
    <w:rsid w:val="D37503A7"/>
    <w:rsid w:val="D5B7F995"/>
    <w:rsid w:val="D77D2529"/>
    <w:rsid w:val="D9EE45DA"/>
    <w:rsid w:val="DB1D1EEE"/>
    <w:rsid w:val="DBDDB440"/>
    <w:rsid w:val="DBFF1194"/>
    <w:rsid w:val="DFF57DD0"/>
    <w:rsid w:val="E3EA3B5B"/>
    <w:rsid w:val="E3FF804C"/>
    <w:rsid w:val="E76F7604"/>
    <w:rsid w:val="E78ED94A"/>
    <w:rsid w:val="EB7E0412"/>
    <w:rsid w:val="ED778BFD"/>
    <w:rsid w:val="EF7B5EE5"/>
    <w:rsid w:val="EF9D1059"/>
    <w:rsid w:val="EFCC4925"/>
    <w:rsid w:val="F3DE2570"/>
    <w:rsid w:val="F3FBD8AA"/>
    <w:rsid w:val="F5BD8CAB"/>
    <w:rsid w:val="F5D66D0B"/>
    <w:rsid w:val="F5EB275E"/>
    <w:rsid w:val="F6882F8F"/>
    <w:rsid w:val="F6DFA701"/>
    <w:rsid w:val="F75718EB"/>
    <w:rsid w:val="F7EF0654"/>
    <w:rsid w:val="F9FF92A5"/>
    <w:rsid w:val="FB7EC6C4"/>
    <w:rsid w:val="FBDD3C77"/>
    <w:rsid w:val="FBED223C"/>
    <w:rsid w:val="FBEF7A64"/>
    <w:rsid w:val="FBFF4CAC"/>
    <w:rsid w:val="FCBAD453"/>
    <w:rsid w:val="FDF59E94"/>
    <w:rsid w:val="FE2FCC54"/>
    <w:rsid w:val="FF270620"/>
    <w:rsid w:val="FF5E54C9"/>
    <w:rsid w:val="FF9DE2AA"/>
    <w:rsid w:val="FFFB0191"/>
    <w:rsid w:val="FFFB750C"/>
    <w:rsid w:val="FFFB8E35"/>
    <w:rsid w:val="FFFE4E2F"/>
    <w:rsid w:val="FFFF57FF"/>
    <w:rsid w:val="FFFF8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customStyle="1" w:styleId="8">
    <w:name w:val="页眉 Char"/>
    <w:basedOn w:val="7"/>
    <w:link w:val="3"/>
    <w:qFormat/>
    <w:uiPriority w:val="0"/>
    <w:rPr>
      <w:rFonts w:ascii="仿宋_GB2312" w:eastAsia="仿宋_GB2312"/>
      <w:kern w:val="2"/>
      <w:sz w:val="18"/>
      <w:szCs w:val="18"/>
    </w:rPr>
  </w:style>
  <w:style w:type="character" w:customStyle="1" w:styleId="9">
    <w:name w:val="页脚 Char"/>
    <w:basedOn w:val="7"/>
    <w:link w:val="2"/>
    <w:qFormat/>
    <w:uiPriority w:val="0"/>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543</Words>
  <Characters>3100</Characters>
  <Lines>25</Lines>
  <Paragraphs>7</Paragraphs>
  <TotalTime>9</TotalTime>
  <ScaleCrop>false</ScaleCrop>
  <LinksUpToDate>false</LinksUpToDate>
  <CharactersWithSpaces>3636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2020-01-05T19:38:00Z</dcterms:created>
  <dc:creator>小公举</dc:creator>
  <cp:lastModifiedBy>work</cp:lastModifiedBy>
  <cp:lastPrinted>2023-01-14T16:50:00Z</cp:lastPrinted>
  <dcterms:modified xsi:type="dcterms:W3CDTF">2023-02-20T15:34:29Z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