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3" w:name="_GoBack"/>
      <w:bookmarkStart w:id="0" w:name="OLE_LINK1"/>
      <w:bookmarkStart w:id="1" w:name="OLE_LINK2"/>
      <w:bookmarkStart w:id="2" w:name="OLE_LINK3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阜平县1-7月份限额以上消费品零售额情况</w:t>
      </w:r>
      <w:bookmarkEnd w:id="0"/>
      <w:bookmarkEnd w:id="1"/>
      <w:bookmarkEnd w:id="2"/>
    </w:p>
    <w:bookmarkEnd w:id="3"/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1-7月份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，全县限额以上消费品零售额完成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1.99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亿元，增速为</w:t>
      </w: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  <w:lang w:val="en-US" w:eastAsia="zh-CN"/>
        </w:rPr>
        <w:t>27.0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%。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阜平县统计局</w:t>
      </w:r>
    </w:p>
    <w:p>
      <w:pPr>
        <w:ind w:firstLine="640" w:firstLineChars="20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2025年8月19日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49202E"/>
    <w:rsid w:val="0349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2025-08-19T01:40:00Z</dcterms:created>
  <dc:creator>lzx</dc:creator>
  <cp:lastModifiedBy>lzx</cp:lastModifiedBy>
  <dcterms:modified xsi:type="dcterms:W3CDTF">2025-08-19T01:41:34Z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EDA075F2FC4D451C99B1CD48D880A552</vt:lpwstr>
  </property>
</Properties>
</file>