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BFE7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0" w:name="OLE_LINK1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阜平县1-7月份固定资产投资完成情况</w:t>
      </w:r>
      <w:bookmarkEnd w:id="0"/>
    </w:p>
    <w:p w14:paraId="6BA634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2" w:name="_GoBack"/>
      <w:bookmarkEnd w:id="2"/>
    </w:p>
    <w:p w14:paraId="280D39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1-7月份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，全县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固定资产投资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增速为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>-25.4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%，全市排第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位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eastAsia="zh-CN"/>
        </w:rPr>
        <w:t>，</w:t>
      </w:r>
      <w:bookmarkStart w:id="1" w:name="OLE_LINK3"/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比全市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eastAsia="zh-CN"/>
        </w:rPr>
        <w:t>增速低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>15.5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个百分点</w:t>
      </w:r>
      <w:bookmarkEnd w:id="1"/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。</w:t>
      </w:r>
    </w:p>
    <w:p w14:paraId="2AAA66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B343D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502A9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阜平县统计局</w:t>
      </w:r>
    </w:p>
    <w:p w14:paraId="195A1A82">
      <w:pPr>
        <w:jc w:val="right"/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31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0C2587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A4697009-C0AA-443E-96D2-007026B5B19E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BAA67997-2E0B-4478-A518-4D59F6CE521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BEC8073E-5CF2-4CDA-85C4-1FD08C0604F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CB614E"/>
    <w:rsid w:val="6ECB6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2026-08-31T06:48:00Z</dcterms:created>
  <dc:creator>刘子萱</dc:creator>
  <cp:lastModifiedBy>刘子萱</cp:lastModifiedBy>
  <cp:lastPrinted>2026-08-31T06:51:05Z</cp:lastPrinted>
  <dcterms:modified xsi:type="dcterms:W3CDTF">2026-08-31T06:51:34Z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B6A53135F44E49E7A04510ACF1CB39B8_11</vt:lpwstr>
  </property>
  <property fmtid="{D5CDD505-2E9C-101B-9397-08002B2CF9AE}" pid="4" name="KSOTemplateDocerSaveRecord">
    <vt:lpwstr>eyJoZGlkIjoiMWU3NTBmYTJlZTY0MTRjZjAxZjBlNzE4ZjdlODkyMjciLCJ1c2VySWQiOiIxNjc5NDU0ODIxIn0=</vt:lpwstr>
  </property>
</Properties>
</file>