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pacing w:line="560" w:lineRule="exact"/>
        <w:jc w:val="center"/>
        <w:textAlignment w:val="auto"/>
        <w:rPr>
          <w:rFonts w:hint="default" w:cs="方正小标宋简体" w:asciiTheme="majorEastAsia" w:hAnsiTheme="majorEastAsia" w:eastAsiaTheme="majorEastAsia"/>
          <w:b/>
          <w:color w:val="auto"/>
          <w:spacing w:val="-11"/>
          <w:sz w:val="36"/>
          <w:szCs w:val="36"/>
          <w:lang w:val="en-US" w:eastAsia="zh-CN"/>
        </w:rPr>
      </w:pPr>
      <w:r>
        <w:rPr>
          <w:rFonts w:hint="eastAsia" w:cs="方正小标宋简体" w:asciiTheme="majorEastAsia" w:hAnsiTheme="majorEastAsia" w:eastAsiaTheme="majorEastAsia"/>
          <w:b/>
          <w:color w:val="auto"/>
          <w:spacing w:val="-11"/>
          <w:sz w:val="36"/>
          <w:szCs w:val="36"/>
          <w:lang w:val="en-US" w:eastAsia="zh-CN"/>
        </w:rPr>
        <w:t>吴王口乡人民政府</w:t>
      </w:r>
    </w:p>
    <w:p>
      <w:pPr>
        <w:keepNext w:val="0"/>
        <w:keepLines w:val="0"/>
        <w:pageBreakBefore w:val="0"/>
        <w:kinsoku/>
        <w:wordWrap/>
        <w:overflowPunct/>
        <w:topLinePunct w:val="0"/>
        <w:autoSpaceDE/>
        <w:autoSpaceDN/>
        <w:bidi w:val="0"/>
        <w:adjustRightInd/>
        <w:spacing w:line="560" w:lineRule="exact"/>
        <w:jc w:val="center"/>
        <w:textAlignment w:val="auto"/>
        <w:rPr>
          <w:b/>
          <w:color w:val="333333"/>
          <w:spacing w:val="6"/>
          <w:sz w:val="36"/>
          <w:szCs w:val="36"/>
          <w:shd w:val="clear" w:color="auto" w:fill="FFFFFF"/>
        </w:rPr>
      </w:pPr>
      <w:r>
        <w:rPr>
          <w:rFonts w:hint="eastAsia" w:cs="方正小标宋简体" w:asciiTheme="majorEastAsia" w:hAnsiTheme="majorEastAsia" w:eastAsiaTheme="majorEastAsia"/>
          <w:b/>
          <w:color w:val="000000"/>
          <w:spacing w:val="-11"/>
          <w:sz w:val="36"/>
          <w:szCs w:val="36"/>
        </w:rPr>
        <w:t>202</w:t>
      </w:r>
      <w:r>
        <w:rPr>
          <w:rFonts w:hint="eastAsia" w:cs="方正小标宋简体" w:asciiTheme="majorEastAsia" w:hAnsiTheme="majorEastAsia" w:eastAsiaTheme="majorEastAsia"/>
          <w:b/>
          <w:color w:val="000000"/>
          <w:spacing w:val="-11"/>
          <w:sz w:val="36"/>
          <w:szCs w:val="36"/>
          <w:lang w:val="en-US" w:eastAsia="zh-CN"/>
        </w:rPr>
        <w:t>3</w:t>
      </w:r>
      <w:r>
        <w:rPr>
          <w:rFonts w:hint="eastAsia" w:cs="方正小标宋简体" w:asciiTheme="majorEastAsia" w:hAnsiTheme="majorEastAsia" w:eastAsiaTheme="majorEastAsia"/>
          <w:b/>
          <w:color w:val="000000"/>
          <w:spacing w:val="-11"/>
          <w:sz w:val="36"/>
          <w:szCs w:val="36"/>
        </w:rPr>
        <w:t>年政府信息公开工作年度报告</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lang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rPr>
      </w:pPr>
      <w:r>
        <w:rPr>
          <w:rFonts w:hint="eastAsia" w:asciiTheme="minorEastAsia" w:hAnsiTheme="minorEastAsia" w:eastAsiaTheme="minorEastAsia" w:cstheme="minorEastAsia"/>
          <w:b w:val="0"/>
          <w:bCs/>
          <w:color w:val="000000"/>
          <w:spacing w:val="-11"/>
          <w:sz w:val="24"/>
          <w:szCs w:val="24"/>
          <w:lang w:eastAsia="zh-CN"/>
        </w:rPr>
        <w:t>根</w:t>
      </w:r>
      <w:r>
        <w:rPr>
          <w:rFonts w:hint="eastAsia" w:asciiTheme="minorEastAsia" w:hAnsiTheme="minorEastAsia" w:eastAsiaTheme="minorEastAsia" w:cstheme="minorEastAsia"/>
          <w:b w:val="0"/>
          <w:bCs/>
          <w:color w:val="000000"/>
          <w:spacing w:val="-11"/>
          <w:sz w:val="24"/>
          <w:szCs w:val="24"/>
        </w:rPr>
        <w:t>据《中华人民共和国政府信息公开条例》《</w:t>
      </w:r>
      <w:r>
        <w:rPr>
          <w:rFonts w:hint="eastAsia" w:asciiTheme="minorEastAsia" w:hAnsiTheme="minorEastAsia" w:eastAsiaTheme="minorEastAsia" w:cstheme="minorEastAsia"/>
          <w:b w:val="0"/>
          <w:bCs/>
          <w:color w:val="000000"/>
          <w:spacing w:val="-11"/>
          <w:sz w:val="24"/>
          <w:szCs w:val="24"/>
          <w:lang w:eastAsia="zh-CN"/>
        </w:rPr>
        <w:t>河北省实施</w:t>
      </w:r>
      <w:r>
        <w:rPr>
          <w:rFonts w:hint="eastAsia" w:asciiTheme="minorEastAsia" w:hAnsiTheme="minorEastAsia" w:eastAsiaTheme="minorEastAsia" w:cstheme="minorEastAsia"/>
          <w:b w:val="0"/>
          <w:bCs/>
          <w:color w:val="000000"/>
          <w:spacing w:val="-11"/>
          <w:sz w:val="24"/>
          <w:szCs w:val="24"/>
          <w:lang w:val="en-US" w:eastAsia="zh-CN"/>
        </w:rPr>
        <w:t xml:space="preserve"> </w:t>
      </w:r>
      <w:r>
        <w:rPr>
          <w:rFonts w:hint="eastAsia" w:ascii="CESI仿宋-GB2312" w:hAnsi="CESI仿宋-GB2312" w:eastAsia="CESI仿宋-GB2312" w:cs="CESI仿宋-GB2312"/>
          <w:b w:val="0"/>
          <w:bCs/>
          <w:color w:val="000000"/>
          <w:spacing w:val="-11"/>
          <w:sz w:val="24"/>
          <w:szCs w:val="24"/>
          <w:lang w:eastAsia="zh-CN"/>
        </w:rPr>
        <w:t>&lt;</w:t>
      </w:r>
      <w:r>
        <w:rPr>
          <w:rFonts w:hint="eastAsia" w:asciiTheme="minorEastAsia" w:hAnsiTheme="minorEastAsia" w:eastAsiaTheme="minorEastAsia" w:cstheme="minorEastAsia"/>
          <w:b w:val="0"/>
          <w:bCs/>
          <w:color w:val="000000"/>
          <w:spacing w:val="-11"/>
          <w:sz w:val="24"/>
          <w:szCs w:val="24"/>
        </w:rPr>
        <w:t>中华人民共和国政府信息公开</w:t>
      </w:r>
      <w:r>
        <w:rPr>
          <w:rFonts w:hint="eastAsia" w:asciiTheme="minorEastAsia" w:hAnsiTheme="minorEastAsia" w:eastAsiaTheme="minorEastAsia" w:cstheme="minorEastAsia"/>
          <w:b w:val="0"/>
          <w:bCs/>
          <w:color w:val="000000"/>
          <w:spacing w:val="-11"/>
          <w:sz w:val="24"/>
          <w:szCs w:val="24"/>
          <w:lang w:eastAsia="zh-CN"/>
        </w:rPr>
        <w:t>条例</w:t>
      </w:r>
      <w:r>
        <w:rPr>
          <w:rFonts w:hint="eastAsia" w:asciiTheme="minorEastAsia" w:hAnsiTheme="minorEastAsia" w:eastAsiaTheme="minorEastAsia" w:cstheme="minorEastAsia"/>
          <w:b w:val="0"/>
          <w:bCs/>
          <w:color w:val="000000"/>
          <w:spacing w:val="-11"/>
          <w:sz w:val="24"/>
          <w:szCs w:val="24"/>
          <w:lang w:val="en-US" w:eastAsia="zh-CN"/>
        </w:rPr>
        <w:t xml:space="preserve"> </w:t>
      </w:r>
      <w:r>
        <w:rPr>
          <w:rFonts w:hint="eastAsia" w:ascii="CESI仿宋-GB2312" w:hAnsi="CESI仿宋-GB2312" w:eastAsia="CESI仿宋-GB2312" w:cs="CESI仿宋-GB2312"/>
          <w:b w:val="0"/>
          <w:bCs/>
          <w:color w:val="000000"/>
          <w:spacing w:val="-11"/>
          <w:sz w:val="24"/>
          <w:szCs w:val="24"/>
          <w:lang w:eastAsia="zh-CN"/>
        </w:rPr>
        <w:t>&gt;</w:t>
      </w:r>
      <w:r>
        <w:rPr>
          <w:rFonts w:hint="eastAsia" w:ascii="CESI仿宋-GB2312" w:hAnsi="CESI仿宋-GB2312" w:eastAsia="CESI仿宋-GB2312" w:cs="CESI仿宋-GB2312"/>
          <w:b w:val="0"/>
          <w:bCs/>
          <w:color w:val="000000"/>
          <w:spacing w:val="-11"/>
          <w:sz w:val="24"/>
          <w:szCs w:val="24"/>
          <w:lang w:val="en-US" w:eastAsia="zh-CN"/>
        </w:rPr>
        <w:t xml:space="preserve"> </w:t>
      </w:r>
      <w:r>
        <w:rPr>
          <w:rFonts w:hint="eastAsia" w:asciiTheme="minorEastAsia" w:hAnsiTheme="minorEastAsia" w:eastAsiaTheme="minorEastAsia" w:cstheme="minorEastAsia"/>
          <w:b w:val="0"/>
          <w:bCs/>
          <w:color w:val="000000"/>
          <w:spacing w:val="-11"/>
          <w:sz w:val="24"/>
          <w:szCs w:val="24"/>
          <w:lang w:eastAsia="zh-CN"/>
        </w:rPr>
        <w:t>办法</w:t>
      </w:r>
      <w:r>
        <w:rPr>
          <w:rFonts w:hint="eastAsia" w:asciiTheme="minorEastAsia" w:hAnsiTheme="minorEastAsia" w:eastAsiaTheme="minorEastAsia" w:cstheme="minorEastAsia"/>
          <w:b w:val="0"/>
          <w:bCs/>
          <w:color w:val="000000"/>
          <w:spacing w:val="-11"/>
          <w:sz w:val="24"/>
          <w:szCs w:val="24"/>
        </w:rPr>
        <w:t>》</w:t>
      </w:r>
      <w:r>
        <w:rPr>
          <w:rFonts w:hint="eastAsia" w:asciiTheme="minorEastAsia" w:hAnsiTheme="minorEastAsia" w:eastAsiaTheme="minorEastAsia" w:cstheme="minorEastAsia"/>
          <w:b w:val="0"/>
          <w:bCs/>
          <w:color w:val="000000"/>
          <w:spacing w:val="-11"/>
          <w:sz w:val="24"/>
          <w:szCs w:val="24"/>
          <w:lang w:eastAsia="zh-CN"/>
        </w:rPr>
        <w:t>等规定，发布本年度报告</w:t>
      </w:r>
      <w:r>
        <w:rPr>
          <w:rFonts w:hint="eastAsia" w:asciiTheme="minorEastAsia" w:hAnsiTheme="minorEastAsia" w:eastAsiaTheme="minorEastAsia" w:cstheme="minorEastAsia"/>
          <w:b w:val="0"/>
          <w:bCs/>
          <w:color w:val="000000"/>
          <w:spacing w:val="-11"/>
          <w:sz w:val="24"/>
          <w:szCs w:val="24"/>
        </w:rPr>
        <w:t>。报告中所列数据统计期限</w:t>
      </w:r>
      <w:r>
        <w:rPr>
          <w:rFonts w:hint="eastAsia" w:asciiTheme="minorEastAsia" w:hAnsiTheme="minorEastAsia" w:eastAsiaTheme="minorEastAsia" w:cstheme="minorEastAsia"/>
          <w:b w:val="0"/>
          <w:bCs/>
          <w:color w:val="000000"/>
          <w:spacing w:val="-11"/>
          <w:sz w:val="24"/>
          <w:szCs w:val="24"/>
          <w:lang w:eastAsia="zh-CN"/>
        </w:rPr>
        <w:t>为</w:t>
      </w:r>
      <w:r>
        <w:rPr>
          <w:rFonts w:hint="eastAsia" w:asciiTheme="minorEastAsia" w:hAnsiTheme="minorEastAsia" w:eastAsiaTheme="minorEastAsia" w:cstheme="minorEastAsia"/>
          <w:b w:val="0"/>
          <w:bCs/>
          <w:color w:val="000000"/>
          <w:spacing w:val="-11"/>
          <w:sz w:val="24"/>
          <w:szCs w:val="24"/>
        </w:rPr>
        <w:t>2023年1月1日至2023年12月31日。</w:t>
      </w:r>
    </w:p>
    <w:p>
      <w:pPr>
        <w:keepNext w:val="0"/>
        <w:keepLines w:val="0"/>
        <w:pageBreakBefore w:val="0"/>
        <w:widowControl w:val="0"/>
        <w:kinsoku/>
        <w:wordWrap/>
        <w:overflowPunct/>
        <w:topLinePunct w:val="0"/>
        <w:autoSpaceDE/>
        <w:autoSpaceDN/>
        <w:bidi w:val="0"/>
        <w:adjustRightInd/>
        <w:snapToGrid/>
        <w:spacing w:line="480" w:lineRule="exact"/>
        <w:ind w:firstLine="438" w:firstLineChars="200"/>
        <w:jc w:val="left"/>
        <w:textAlignment w:val="auto"/>
        <w:rPr>
          <w:rFonts w:hint="eastAsia" w:asciiTheme="minorEastAsia" w:hAnsiTheme="minorEastAsia" w:eastAsiaTheme="minorEastAsia" w:cstheme="minorEastAsia"/>
          <w:b/>
          <w:bCs w:val="0"/>
          <w:color w:val="000000"/>
          <w:spacing w:val="-11"/>
          <w:sz w:val="24"/>
          <w:szCs w:val="24"/>
        </w:rPr>
      </w:pPr>
      <w:r>
        <w:rPr>
          <w:rFonts w:hint="eastAsia" w:asciiTheme="minorEastAsia" w:hAnsiTheme="minorEastAsia" w:eastAsiaTheme="minorEastAsia" w:cstheme="minorEastAsia"/>
          <w:b/>
          <w:bCs w:val="0"/>
          <w:color w:val="000000"/>
          <w:spacing w:val="-11"/>
          <w:sz w:val="24"/>
          <w:szCs w:val="24"/>
        </w:rPr>
        <w:t>一、总体情况</w:t>
      </w:r>
    </w:p>
    <w:p>
      <w:pPr>
        <w:keepNext w:val="0"/>
        <w:keepLines w:val="0"/>
        <w:pageBreakBefore w:val="0"/>
        <w:widowControl w:val="0"/>
        <w:kinsoku/>
        <w:wordWrap/>
        <w:overflowPunct/>
        <w:topLinePunct w:val="0"/>
        <w:autoSpaceDE/>
        <w:autoSpaceDN/>
        <w:bidi w:val="0"/>
        <w:adjustRightInd/>
        <w:snapToGrid/>
        <w:spacing w:line="480" w:lineRule="exact"/>
        <w:ind w:firstLine="438" w:firstLineChars="200"/>
        <w:jc w:val="left"/>
        <w:textAlignment w:val="auto"/>
        <w:rPr>
          <w:rFonts w:hint="eastAsia" w:asciiTheme="minorEastAsia" w:hAnsiTheme="minorEastAsia" w:eastAsiaTheme="minorEastAsia" w:cstheme="minorEastAsia"/>
          <w:b/>
          <w:bCs w:val="0"/>
          <w:color w:val="000000"/>
          <w:spacing w:val="-11"/>
          <w:sz w:val="24"/>
          <w:szCs w:val="24"/>
        </w:rPr>
      </w:pPr>
      <w:r>
        <w:rPr>
          <w:rFonts w:hint="eastAsia" w:asciiTheme="minorEastAsia" w:hAnsiTheme="minorEastAsia" w:eastAsiaTheme="minorEastAsia" w:cstheme="minorEastAsia"/>
          <w:b/>
          <w:bCs w:val="0"/>
          <w:color w:val="000000"/>
          <w:spacing w:val="-11"/>
          <w:sz w:val="24"/>
          <w:szCs w:val="24"/>
        </w:rPr>
        <w:t>（一）主动公开政府信息情况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rPr>
      </w:pPr>
      <w:r>
        <w:rPr>
          <w:rFonts w:hint="eastAsia" w:asciiTheme="minorEastAsia" w:hAnsiTheme="minorEastAsia" w:eastAsiaTheme="minorEastAsia" w:cstheme="minorEastAsia"/>
          <w:b w:val="0"/>
          <w:bCs/>
          <w:color w:val="000000"/>
          <w:spacing w:val="-11"/>
          <w:sz w:val="24"/>
          <w:szCs w:val="24"/>
        </w:rPr>
        <w:t>我单位按照“决策公开、执行公开、管理公开、服务公开、结果公开”的部署要求，遵循公正、公平、合法、便民的原则，正确执行政府信息主动公开新规定，聚焦公开重点，规范公开方式。2023年度主动公开政府信息27条。</w:t>
      </w:r>
    </w:p>
    <w:p>
      <w:pPr>
        <w:keepNext w:val="0"/>
        <w:keepLines w:val="0"/>
        <w:pageBreakBefore w:val="0"/>
        <w:widowControl w:val="0"/>
        <w:kinsoku/>
        <w:wordWrap/>
        <w:overflowPunct/>
        <w:topLinePunct w:val="0"/>
        <w:autoSpaceDE/>
        <w:autoSpaceDN/>
        <w:bidi w:val="0"/>
        <w:adjustRightInd/>
        <w:snapToGrid/>
        <w:spacing w:line="480" w:lineRule="exact"/>
        <w:ind w:firstLine="438" w:firstLineChars="200"/>
        <w:jc w:val="left"/>
        <w:textAlignment w:val="auto"/>
        <w:rPr>
          <w:rFonts w:hint="eastAsia" w:asciiTheme="minorEastAsia" w:hAnsiTheme="minorEastAsia" w:eastAsiaTheme="minorEastAsia" w:cstheme="minorEastAsia"/>
          <w:b/>
          <w:bCs w:val="0"/>
          <w:color w:val="000000"/>
          <w:spacing w:val="-11"/>
          <w:sz w:val="24"/>
          <w:szCs w:val="24"/>
        </w:rPr>
      </w:pPr>
      <w:r>
        <w:rPr>
          <w:rFonts w:hint="eastAsia" w:asciiTheme="minorEastAsia" w:hAnsiTheme="minorEastAsia" w:eastAsiaTheme="minorEastAsia" w:cstheme="minorEastAsia"/>
          <w:b/>
          <w:bCs w:val="0"/>
          <w:color w:val="000000"/>
          <w:spacing w:val="-11"/>
          <w:sz w:val="24"/>
          <w:szCs w:val="24"/>
        </w:rPr>
        <w:t>（二）依申请公开政府信息情况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rPr>
      </w:pPr>
      <w:r>
        <w:rPr>
          <w:rFonts w:hint="eastAsia" w:asciiTheme="minorEastAsia" w:hAnsiTheme="minorEastAsia" w:eastAsiaTheme="minorEastAsia" w:cstheme="minorEastAsia"/>
          <w:b w:val="0"/>
          <w:bCs/>
          <w:color w:val="000000"/>
          <w:spacing w:val="-11"/>
          <w:sz w:val="24"/>
          <w:szCs w:val="24"/>
        </w:rPr>
        <w:t>严格按照《河北省人民政府办公厅关于印发河北省政府信息公开申请办理规范的通知》，规范政府信息公开申请办理，健全完善政府信息公开申请登记、审核、办理、答复、归档制度，规范依申请公开工作流程，开设网络、信函、当面申请等渠道，依法依规有序推进政府信息依申请公开工作，确保及时、全面公开和回复申请人，充分尊重保障公众知情权。2023年，共收到政府信息公开申请</w:t>
      </w:r>
      <w:r>
        <w:rPr>
          <w:rFonts w:hint="eastAsia" w:asciiTheme="minorEastAsia" w:hAnsiTheme="minorEastAsia" w:eastAsiaTheme="minorEastAsia" w:cstheme="minorEastAsia"/>
          <w:b w:val="0"/>
          <w:bCs/>
          <w:color w:val="000000"/>
          <w:spacing w:val="-11"/>
          <w:sz w:val="24"/>
          <w:szCs w:val="24"/>
          <w:lang w:val="en-US" w:eastAsia="zh-CN"/>
        </w:rPr>
        <w:t>1</w:t>
      </w:r>
      <w:r>
        <w:rPr>
          <w:rFonts w:hint="eastAsia" w:asciiTheme="minorEastAsia" w:hAnsiTheme="minorEastAsia" w:eastAsiaTheme="minorEastAsia" w:cstheme="minorEastAsia"/>
          <w:b w:val="0"/>
          <w:bCs/>
          <w:color w:val="000000"/>
          <w:spacing w:val="-11"/>
          <w:sz w:val="24"/>
          <w:szCs w:val="24"/>
        </w:rPr>
        <w:t>件</w:t>
      </w:r>
      <w:r>
        <w:rPr>
          <w:rFonts w:hint="eastAsia" w:asciiTheme="minorEastAsia" w:hAnsiTheme="minorEastAsia" w:eastAsiaTheme="minorEastAsia" w:cstheme="minorEastAsia"/>
          <w:b w:val="0"/>
          <w:bCs/>
          <w:color w:val="000000"/>
          <w:spacing w:val="-11"/>
          <w:sz w:val="24"/>
          <w:szCs w:val="24"/>
          <w:lang w:eastAsia="zh-CN"/>
        </w:rPr>
        <w:t>，按期答复</w:t>
      </w:r>
      <w:r>
        <w:rPr>
          <w:rFonts w:hint="eastAsia" w:asciiTheme="minorEastAsia" w:hAnsiTheme="minorEastAsia" w:eastAsiaTheme="minorEastAsia" w:cstheme="minorEastAsia"/>
          <w:b w:val="0"/>
          <w:bCs/>
          <w:color w:val="000000"/>
          <w:spacing w:val="-11"/>
          <w:sz w:val="24"/>
          <w:szCs w:val="24"/>
          <w:lang w:val="en-US" w:eastAsia="zh-CN"/>
        </w:rPr>
        <w:t>1件</w:t>
      </w:r>
      <w:r>
        <w:rPr>
          <w:rFonts w:hint="eastAsia" w:asciiTheme="minorEastAsia" w:hAnsiTheme="minorEastAsia" w:eastAsiaTheme="minorEastAsia" w:cstheme="minorEastAsia"/>
          <w:b w:val="0"/>
          <w:bCs/>
          <w:color w:val="000000"/>
          <w:spacing w:val="-11"/>
          <w:sz w:val="24"/>
          <w:szCs w:val="24"/>
        </w:rPr>
        <w:t>。</w:t>
      </w:r>
    </w:p>
    <w:p>
      <w:pPr>
        <w:keepNext w:val="0"/>
        <w:keepLines w:val="0"/>
        <w:pageBreakBefore w:val="0"/>
        <w:widowControl w:val="0"/>
        <w:kinsoku/>
        <w:wordWrap/>
        <w:overflowPunct/>
        <w:topLinePunct w:val="0"/>
        <w:autoSpaceDE/>
        <w:autoSpaceDN/>
        <w:bidi w:val="0"/>
        <w:adjustRightInd/>
        <w:snapToGrid/>
        <w:spacing w:line="480" w:lineRule="exact"/>
        <w:ind w:firstLine="438" w:firstLineChars="200"/>
        <w:jc w:val="left"/>
        <w:textAlignment w:val="auto"/>
        <w:rPr>
          <w:rFonts w:hint="eastAsia" w:asciiTheme="minorEastAsia" w:hAnsiTheme="minorEastAsia" w:eastAsiaTheme="minorEastAsia" w:cstheme="minorEastAsia"/>
          <w:b/>
          <w:bCs w:val="0"/>
          <w:color w:val="000000"/>
          <w:spacing w:val="-11"/>
          <w:sz w:val="24"/>
          <w:szCs w:val="24"/>
        </w:rPr>
      </w:pPr>
      <w:r>
        <w:rPr>
          <w:rFonts w:hint="eastAsia" w:asciiTheme="minorEastAsia" w:hAnsiTheme="minorEastAsia" w:eastAsiaTheme="minorEastAsia" w:cstheme="minorEastAsia"/>
          <w:b/>
          <w:bCs w:val="0"/>
          <w:color w:val="000000"/>
          <w:spacing w:val="-11"/>
          <w:sz w:val="24"/>
          <w:szCs w:val="24"/>
        </w:rPr>
        <w:t>（三）政府信息管理情况</w:t>
      </w:r>
    </w:p>
    <w:p>
      <w:pPr>
        <w:keepNext w:val="0"/>
        <w:keepLines w:val="0"/>
        <w:pageBreakBefore w:val="0"/>
        <w:widowControl w:val="0"/>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rPr>
      </w:pPr>
      <w:r>
        <w:rPr>
          <w:rFonts w:hint="eastAsia" w:asciiTheme="minorEastAsia" w:hAnsiTheme="minorEastAsia" w:eastAsiaTheme="minorEastAsia" w:cstheme="minorEastAsia"/>
          <w:b w:val="0"/>
          <w:bCs/>
          <w:color w:val="000000"/>
          <w:spacing w:val="-11"/>
          <w:sz w:val="24"/>
          <w:szCs w:val="24"/>
        </w:rPr>
        <w:t>我乡明确政府信息公开义务主体，按照《吴王口乡权责清单》《阜平县基层政务公开标准目录汇编》，梳理确定了一批政府信息公开义务主体，在县政府门户网站上主动公开，并在阜平县吴王口乡人民政府微信公众号上公开相关事项。</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firstLine="438" w:firstLineChars="200"/>
        <w:jc w:val="left"/>
        <w:textAlignment w:val="auto"/>
        <w:rPr>
          <w:rFonts w:hint="eastAsia" w:asciiTheme="minorEastAsia" w:hAnsiTheme="minorEastAsia" w:eastAsiaTheme="minorEastAsia" w:cstheme="minorEastAsia"/>
          <w:b/>
          <w:bCs w:val="0"/>
          <w:color w:val="000000"/>
          <w:spacing w:val="-11"/>
          <w:sz w:val="24"/>
          <w:szCs w:val="24"/>
        </w:rPr>
      </w:pPr>
      <w:r>
        <w:rPr>
          <w:rFonts w:hint="eastAsia" w:asciiTheme="minorEastAsia" w:hAnsiTheme="minorEastAsia" w:eastAsiaTheme="minorEastAsia" w:cstheme="minorEastAsia"/>
          <w:b/>
          <w:bCs w:val="0"/>
          <w:color w:val="000000"/>
          <w:spacing w:val="-11"/>
          <w:sz w:val="24"/>
          <w:szCs w:val="24"/>
        </w:rPr>
        <w:t>平台建设情况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rPr>
      </w:pPr>
      <w:r>
        <w:rPr>
          <w:rFonts w:hint="eastAsia" w:asciiTheme="minorEastAsia" w:hAnsiTheme="minorEastAsia" w:eastAsiaTheme="minorEastAsia" w:cstheme="minorEastAsia"/>
          <w:b w:val="0"/>
          <w:bCs/>
          <w:color w:val="000000"/>
          <w:spacing w:val="-11"/>
          <w:sz w:val="24"/>
          <w:szCs w:val="24"/>
        </w:rPr>
        <w:t>进一步加强政务新媒体管理充分依托政务新媒体平台，做好信息发布、政策解读和办事服务工作。规范开设微信公众号1个，2023年共发布政务信息332条。</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8" w:firstLineChars="200"/>
        <w:jc w:val="left"/>
        <w:textAlignment w:val="auto"/>
        <w:rPr>
          <w:rFonts w:hint="eastAsia" w:asciiTheme="minorEastAsia" w:hAnsiTheme="minorEastAsia" w:eastAsiaTheme="minorEastAsia" w:cstheme="minorEastAsia"/>
          <w:b/>
          <w:bCs w:val="0"/>
          <w:color w:val="000000"/>
          <w:spacing w:val="-11"/>
          <w:sz w:val="24"/>
          <w:szCs w:val="24"/>
        </w:rPr>
      </w:pPr>
      <w:r>
        <w:rPr>
          <w:rFonts w:hint="eastAsia" w:asciiTheme="minorEastAsia" w:hAnsiTheme="minorEastAsia" w:eastAsiaTheme="minorEastAsia" w:cstheme="minorEastAsia"/>
          <w:b/>
          <w:bCs w:val="0"/>
          <w:color w:val="000000"/>
          <w:spacing w:val="-11"/>
          <w:sz w:val="24"/>
          <w:szCs w:val="24"/>
        </w:rPr>
        <w:t>（五）政府信息公开监督保障情况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rPr>
      </w:pPr>
      <w:r>
        <w:rPr>
          <w:rFonts w:hint="eastAsia" w:asciiTheme="minorEastAsia" w:hAnsiTheme="minorEastAsia" w:eastAsiaTheme="minorEastAsia" w:cstheme="minorEastAsia"/>
          <w:b w:val="0"/>
          <w:bCs/>
          <w:color w:val="000000"/>
          <w:spacing w:val="-11"/>
          <w:sz w:val="24"/>
          <w:szCs w:val="24"/>
        </w:rPr>
        <w:t>1.加强组织领导。成立以副乡长李阳为组长的政务公开工作领导小组，对全年工作做出重要安排部署，并及时研究解决政务公开和政府信息公开工作中重大问题。</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rPr>
      </w:pPr>
      <w:r>
        <w:rPr>
          <w:rFonts w:hint="eastAsia" w:asciiTheme="minorEastAsia" w:hAnsiTheme="minorEastAsia" w:eastAsiaTheme="minorEastAsia" w:cstheme="minorEastAsia"/>
          <w:b w:val="0"/>
          <w:bCs/>
          <w:color w:val="000000"/>
          <w:spacing w:val="-11"/>
          <w:sz w:val="24"/>
          <w:szCs w:val="24"/>
        </w:rPr>
        <w:t>2.完善机构建设。明确党政综合办公室具体承担政务公开工作，配备5名工作人员专门负责单位政务公开工作。</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rPr>
      </w:pPr>
      <w:r>
        <w:rPr>
          <w:rFonts w:hint="eastAsia" w:asciiTheme="minorEastAsia" w:hAnsiTheme="minorEastAsia" w:eastAsiaTheme="minorEastAsia" w:cstheme="minorEastAsia"/>
          <w:b w:val="0"/>
          <w:bCs/>
          <w:color w:val="000000"/>
          <w:spacing w:val="-11"/>
          <w:sz w:val="24"/>
          <w:szCs w:val="24"/>
        </w:rPr>
        <w:t>3.加大经费保障。2023年为保障政务公开日常工作有序进行，将此经费纳入单位财政预算。</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6" w:firstLineChars="200"/>
        <w:jc w:val="left"/>
        <w:textAlignment w:val="auto"/>
        <w:rPr>
          <w:rFonts w:hint="eastAsia" w:asciiTheme="minorEastAsia" w:hAnsiTheme="minorEastAsia" w:eastAsiaTheme="minorEastAsia" w:cstheme="minorEastAsia"/>
          <w:b w:val="0"/>
          <w:bCs/>
          <w:color w:val="000000"/>
          <w:spacing w:val="-11"/>
          <w:sz w:val="24"/>
          <w:szCs w:val="24"/>
        </w:rPr>
      </w:pPr>
      <w:r>
        <w:rPr>
          <w:rFonts w:hint="eastAsia" w:asciiTheme="minorEastAsia" w:hAnsiTheme="minorEastAsia" w:eastAsiaTheme="minorEastAsia" w:cstheme="minorEastAsia"/>
          <w:b w:val="0"/>
          <w:bCs/>
          <w:color w:val="000000"/>
          <w:spacing w:val="-11"/>
          <w:sz w:val="24"/>
          <w:szCs w:val="24"/>
        </w:rPr>
        <w:t>4.深化宣传引导。通过微信、公示栏公示等形式向社会宣传政务公开工作，今后我单位将加大向县政府政务公开部门信息报送力度，通过各级各类新闻媒体大力宣传政务公开新举措、新成效，及时总结推广典型经验做法。</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38" w:firstLineChars="200"/>
        <w:jc w:val="left"/>
        <w:textAlignment w:val="auto"/>
        <w:rPr>
          <w:rFonts w:hint="eastAsia" w:asciiTheme="minorEastAsia" w:hAnsiTheme="minorEastAsia" w:eastAsiaTheme="minorEastAsia" w:cstheme="minorEastAsia"/>
          <w:b w:val="0"/>
          <w:bCs/>
          <w:color w:val="000000"/>
          <w:spacing w:val="-11"/>
          <w:sz w:val="24"/>
          <w:szCs w:val="24"/>
        </w:rPr>
      </w:pPr>
      <w:r>
        <w:rPr>
          <w:rFonts w:hint="eastAsia" w:asciiTheme="minorEastAsia" w:hAnsiTheme="minorEastAsia" w:eastAsiaTheme="minorEastAsia" w:cstheme="minorEastAsia"/>
          <w:b/>
          <w:bCs w:val="0"/>
          <w:color w:val="000000"/>
          <w:spacing w:val="-11"/>
          <w:sz w:val="24"/>
          <w:szCs w:val="24"/>
        </w:rPr>
        <w:t>（六）强化业务知识学习。</w:t>
      </w:r>
      <w:r>
        <w:rPr>
          <w:rFonts w:hint="eastAsia" w:asciiTheme="minorEastAsia" w:hAnsiTheme="minorEastAsia" w:eastAsiaTheme="minorEastAsia" w:cstheme="minorEastAsia"/>
          <w:b w:val="0"/>
          <w:bCs/>
          <w:color w:val="000000"/>
          <w:spacing w:val="-11"/>
          <w:sz w:val="24"/>
          <w:szCs w:val="24"/>
        </w:rPr>
        <w:t>按照省、市、县要求，于5月18日组织开展政府信息公开法律知识学习问答活动，本单位共46名人员参加了答题活动，以测促学，推动工作人员学习宣传贯彻政府信息公开相关法律。</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240" w:afterAutospacing="0" w:line="480" w:lineRule="exact"/>
        <w:ind w:firstLine="420"/>
        <w:jc w:val="both"/>
        <w:textAlignment w:val="auto"/>
        <w:rPr>
          <w:rFonts w:hint="eastAsia" w:eastAsia="宋体"/>
          <w:b/>
          <w:color w:val="333333"/>
          <w:shd w:val="clear" w:color="auto" w:fill="FFFFFF"/>
          <w:lang w:val="en" w:eastAsia="zh-CN"/>
        </w:rPr>
      </w:pPr>
      <w:r>
        <w:rPr>
          <w:rFonts w:hint="eastAsia"/>
          <w:b/>
          <w:color w:val="333333"/>
          <w:shd w:val="clear" w:color="auto" w:fill="FFFFFF"/>
          <w:lang w:val="en" w:eastAsia="zh-CN"/>
        </w:rPr>
        <w:t>二、主动公开政府信息情况</w:t>
      </w:r>
    </w:p>
    <w:tbl>
      <w:tblPr>
        <w:tblStyle w:val="5"/>
        <w:tblW w:w="0" w:type="auto"/>
        <w:jc w:val="center"/>
        <w:tblLayout w:type="fixed"/>
        <w:tblCellMar>
          <w:top w:w="0" w:type="dxa"/>
          <w:left w:w="0" w:type="dxa"/>
          <w:bottom w:w="0" w:type="dxa"/>
          <w:right w:w="0" w:type="dxa"/>
        </w:tblCellMar>
      </w:tblPr>
      <w:tblGrid>
        <w:gridCol w:w="3113"/>
        <w:gridCol w:w="1721"/>
        <w:gridCol w:w="1425"/>
        <w:gridCol w:w="1881"/>
      </w:tblGrid>
      <w:tr>
        <w:tblPrEx>
          <w:tblCellMar>
            <w:top w:w="0" w:type="dxa"/>
            <w:left w:w="0" w:type="dxa"/>
            <w:bottom w:w="0" w:type="dxa"/>
            <w:right w:w="0" w:type="dxa"/>
          </w:tblCellMar>
        </w:tblPrEx>
        <w:trPr>
          <w:trHeight w:val="495" w:hRule="atLeast"/>
          <w:jc w:val="center"/>
        </w:trPr>
        <w:tc>
          <w:tcPr>
            <w:tcW w:w="8140" w:type="dxa"/>
            <w:gridSpan w:val="4"/>
            <w:tcBorders>
              <w:top w:val="single" w:color="auto" w:sz="8" w:space="0"/>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第二十条第（一）项</w:t>
            </w:r>
          </w:p>
        </w:tc>
      </w:tr>
      <w:tr>
        <w:tblPrEx>
          <w:tblCellMar>
            <w:top w:w="0" w:type="dxa"/>
            <w:left w:w="0" w:type="dxa"/>
            <w:bottom w:w="0" w:type="dxa"/>
            <w:right w:w="0" w:type="dxa"/>
          </w:tblCellMar>
        </w:tblPrEx>
        <w:trPr>
          <w:trHeight w:val="411"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1721"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lang w:eastAsia="zh-CN"/>
              </w:rPr>
            </w:pPr>
            <w:r>
              <w:rPr>
                <w:rFonts w:hint="eastAsia" w:ascii="宋体" w:hAnsi="宋体" w:eastAsia="宋体" w:cs="宋体"/>
                <w:color w:val="000000"/>
                <w:kern w:val="0"/>
                <w:sz w:val="20"/>
                <w:szCs w:val="20"/>
              </w:rPr>
              <w:t>本年</w:t>
            </w:r>
            <w:r>
              <w:rPr>
                <w:rFonts w:hint="eastAsia" w:ascii="宋体" w:hAnsi="宋体" w:eastAsia="宋体" w:cs="宋体"/>
                <w:color w:val="000000"/>
                <w:kern w:val="0"/>
                <w:sz w:val="20"/>
                <w:szCs w:val="20"/>
                <w:lang w:eastAsia="zh-CN"/>
              </w:rPr>
              <w:t>制发件数</w:t>
            </w:r>
          </w:p>
        </w:tc>
        <w:tc>
          <w:tcPr>
            <w:tcW w:w="1425"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lang w:eastAsia="zh-CN"/>
              </w:rPr>
            </w:pPr>
            <w:r>
              <w:rPr>
                <w:rFonts w:hint="eastAsia" w:ascii="宋体" w:hAnsi="宋体" w:eastAsia="宋体" w:cs="宋体"/>
                <w:color w:val="000000"/>
                <w:kern w:val="0"/>
                <w:sz w:val="20"/>
                <w:szCs w:val="20"/>
              </w:rPr>
              <w:t>本年</w:t>
            </w:r>
            <w:r>
              <w:rPr>
                <w:rFonts w:hint="eastAsia" w:ascii="宋体" w:hAnsi="宋体" w:eastAsia="宋体" w:cs="宋体"/>
                <w:color w:val="000000"/>
                <w:kern w:val="0"/>
                <w:sz w:val="20"/>
                <w:szCs w:val="20"/>
                <w:lang w:eastAsia="zh-CN"/>
              </w:rPr>
              <w:t>废止件数</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现行有效件数</w:t>
            </w:r>
          </w:p>
        </w:tc>
      </w:tr>
      <w:tr>
        <w:tblPrEx>
          <w:tblCellMar>
            <w:top w:w="0" w:type="dxa"/>
            <w:left w:w="0" w:type="dxa"/>
            <w:bottom w:w="0" w:type="dxa"/>
            <w:right w:w="0" w:type="dxa"/>
          </w:tblCellMar>
        </w:tblPrEx>
        <w:trPr>
          <w:trHeight w:val="413"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规章</w:t>
            </w:r>
          </w:p>
        </w:tc>
        <w:tc>
          <w:tcPr>
            <w:tcW w:w="172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425"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r>
        <w:tblPrEx>
          <w:tblCellMar>
            <w:top w:w="0" w:type="dxa"/>
            <w:left w:w="0" w:type="dxa"/>
            <w:bottom w:w="0" w:type="dxa"/>
            <w:right w:w="0" w:type="dxa"/>
          </w:tblCellMar>
        </w:tblPrEx>
        <w:trPr>
          <w:trHeight w:val="90"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lang w:eastAsia="zh-CN"/>
              </w:rPr>
              <w:t>行政</w:t>
            </w:r>
            <w:r>
              <w:rPr>
                <w:rFonts w:hint="eastAsia" w:ascii="宋体" w:hAnsi="宋体" w:eastAsia="宋体" w:cs="宋体"/>
                <w:color w:val="000000"/>
                <w:kern w:val="0"/>
                <w:sz w:val="20"/>
                <w:szCs w:val="20"/>
              </w:rPr>
              <w:t>规范性文件</w:t>
            </w:r>
          </w:p>
        </w:tc>
        <w:tc>
          <w:tcPr>
            <w:tcW w:w="172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425"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r>
        <w:tblPrEx>
          <w:tblCellMar>
            <w:top w:w="0" w:type="dxa"/>
            <w:left w:w="0" w:type="dxa"/>
            <w:bottom w:w="0" w:type="dxa"/>
            <w:right w:w="0" w:type="dxa"/>
          </w:tblCellMar>
        </w:tblPrEx>
        <w:trPr>
          <w:trHeight w:val="480"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第二十条第（五）项</w:t>
            </w:r>
          </w:p>
        </w:tc>
      </w:tr>
      <w:tr>
        <w:tblPrEx>
          <w:tblCellMar>
            <w:top w:w="0" w:type="dxa"/>
            <w:left w:w="0" w:type="dxa"/>
            <w:bottom w:w="0" w:type="dxa"/>
            <w:right w:w="0" w:type="dxa"/>
          </w:tblCellMar>
        </w:tblPrEx>
        <w:trPr>
          <w:trHeight w:val="406"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5027" w:type="dxa"/>
            <w:gridSpan w:val="3"/>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本年处理决定数量</w:t>
            </w:r>
          </w:p>
        </w:tc>
      </w:tr>
      <w:tr>
        <w:tblPrEx>
          <w:tblCellMar>
            <w:top w:w="0" w:type="dxa"/>
            <w:left w:w="0" w:type="dxa"/>
            <w:bottom w:w="0" w:type="dxa"/>
            <w:right w:w="0" w:type="dxa"/>
          </w:tblCellMar>
        </w:tblPrEx>
        <w:trPr>
          <w:trHeight w:val="388"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行政许可</w:t>
            </w:r>
          </w:p>
        </w:tc>
        <w:tc>
          <w:tcPr>
            <w:tcW w:w="5027"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sz w:val="20"/>
                <w:szCs w:val="20"/>
                <w:lang w:val="en-US" w:eastAsia="zh-CN"/>
              </w:rPr>
            </w:pPr>
            <w:r>
              <w:rPr>
                <w:rFonts w:hint="eastAsia" w:ascii="宋体" w:hAnsi="宋体" w:eastAsia="宋体" w:cs="宋体"/>
                <w:color w:val="000000"/>
                <w:kern w:val="0"/>
                <w:sz w:val="20"/>
                <w:szCs w:val="20"/>
                <w:lang w:val="en-US" w:eastAsia="zh-CN"/>
              </w:rPr>
              <w:t>0</w:t>
            </w:r>
          </w:p>
          <w:p>
            <w:pPr>
              <w:widowControl/>
              <w:spacing w:after="180"/>
              <w:jc w:val="left"/>
              <w:rPr>
                <w:sz w:val="20"/>
                <w:szCs w:val="20"/>
              </w:rPr>
            </w:pPr>
            <w:r>
              <w:rPr>
                <w:rFonts w:hint="eastAsia" w:ascii="宋体" w:hAnsi="宋体" w:eastAsia="宋体" w:cs="宋体"/>
                <w:color w:val="000000"/>
                <w:kern w:val="0"/>
                <w:sz w:val="20"/>
                <w:szCs w:val="20"/>
              </w:rPr>
              <w:t> </w:t>
            </w:r>
          </w:p>
        </w:tc>
      </w:tr>
      <w:tr>
        <w:tblPrEx>
          <w:tblCellMar>
            <w:top w:w="0" w:type="dxa"/>
            <w:left w:w="0" w:type="dxa"/>
            <w:bottom w:w="0" w:type="dxa"/>
            <w:right w:w="0" w:type="dxa"/>
          </w:tblCellMar>
        </w:tblPrEx>
        <w:trPr>
          <w:trHeight w:val="406"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第二十条第（六）项</w:t>
            </w:r>
          </w:p>
        </w:tc>
      </w:tr>
      <w:tr>
        <w:tblPrEx>
          <w:tblCellMar>
            <w:top w:w="0" w:type="dxa"/>
            <w:left w:w="0" w:type="dxa"/>
            <w:bottom w:w="0" w:type="dxa"/>
            <w:right w:w="0" w:type="dxa"/>
          </w:tblCellMar>
        </w:tblPrEx>
        <w:trPr>
          <w:trHeight w:val="404"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5027" w:type="dxa"/>
            <w:gridSpan w:val="3"/>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lang w:eastAsia="zh-CN"/>
              </w:rPr>
            </w:pPr>
            <w:r>
              <w:rPr>
                <w:rFonts w:hint="eastAsia" w:ascii="宋体" w:hAnsi="宋体" w:eastAsia="宋体" w:cs="宋体"/>
                <w:color w:val="000000"/>
                <w:kern w:val="0"/>
                <w:sz w:val="20"/>
                <w:szCs w:val="20"/>
                <w:lang w:eastAsia="zh-CN"/>
              </w:rPr>
              <w:t>本年处理决定数量</w:t>
            </w:r>
          </w:p>
        </w:tc>
      </w:tr>
      <w:tr>
        <w:tblPrEx>
          <w:tblCellMar>
            <w:top w:w="0" w:type="dxa"/>
            <w:left w:w="0" w:type="dxa"/>
            <w:bottom w:w="0" w:type="dxa"/>
            <w:right w:w="0" w:type="dxa"/>
          </w:tblCellMar>
        </w:tblPrEx>
        <w:trPr>
          <w:trHeight w:val="388"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行政处罚</w:t>
            </w:r>
          </w:p>
        </w:tc>
        <w:tc>
          <w:tcPr>
            <w:tcW w:w="5027"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sz w:val="20"/>
                <w:szCs w:val="20"/>
                <w:lang w:val="en-US" w:eastAsia="zh-CN"/>
              </w:rPr>
            </w:pPr>
            <w:r>
              <w:rPr>
                <w:rFonts w:hint="eastAsia" w:ascii="宋体" w:hAnsi="宋体" w:eastAsia="宋体" w:cs="宋体"/>
                <w:color w:val="000000"/>
                <w:kern w:val="0"/>
                <w:sz w:val="20"/>
                <w:szCs w:val="20"/>
                <w:lang w:val="en-US" w:eastAsia="zh-CN"/>
              </w:rPr>
              <w:t>0</w:t>
            </w:r>
          </w:p>
          <w:p>
            <w:pPr>
              <w:widowControl/>
              <w:spacing w:after="180"/>
              <w:jc w:val="center"/>
              <w:rPr>
                <w:sz w:val="20"/>
                <w:szCs w:val="20"/>
              </w:rPr>
            </w:pPr>
          </w:p>
          <w:p>
            <w:pPr>
              <w:widowControl/>
              <w:spacing w:after="180"/>
              <w:jc w:val="left"/>
              <w:rPr>
                <w:sz w:val="20"/>
                <w:szCs w:val="20"/>
              </w:rPr>
            </w:pPr>
            <w:r>
              <w:rPr>
                <w:rFonts w:hint="eastAsia" w:ascii="宋体" w:hAnsi="宋体" w:eastAsia="宋体" w:cs="宋体"/>
                <w:color w:val="000000"/>
                <w:kern w:val="0"/>
                <w:sz w:val="20"/>
                <w:szCs w:val="20"/>
              </w:rPr>
              <w:t>　</w:t>
            </w:r>
          </w:p>
        </w:tc>
      </w:tr>
      <w:tr>
        <w:tblPrEx>
          <w:tblCellMar>
            <w:top w:w="0" w:type="dxa"/>
            <w:left w:w="0" w:type="dxa"/>
            <w:bottom w:w="0" w:type="dxa"/>
            <w:right w:w="0" w:type="dxa"/>
          </w:tblCellMar>
        </w:tblPrEx>
        <w:trPr>
          <w:trHeight w:val="432"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行政强制</w:t>
            </w:r>
          </w:p>
        </w:tc>
        <w:tc>
          <w:tcPr>
            <w:tcW w:w="5027"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sz w:val="20"/>
                <w:szCs w:val="20"/>
                <w:lang w:val="en-US" w:eastAsia="zh-CN"/>
              </w:rPr>
            </w:pPr>
            <w:r>
              <w:rPr>
                <w:rFonts w:hint="eastAsia" w:ascii="宋体" w:hAnsi="宋体" w:eastAsia="宋体" w:cs="宋体"/>
                <w:color w:val="000000"/>
                <w:kern w:val="0"/>
                <w:sz w:val="20"/>
                <w:szCs w:val="20"/>
                <w:lang w:val="en-US" w:eastAsia="zh-CN"/>
              </w:rPr>
              <w:t>0</w:t>
            </w:r>
          </w:p>
        </w:tc>
      </w:tr>
      <w:tr>
        <w:tblPrEx>
          <w:tblCellMar>
            <w:top w:w="0" w:type="dxa"/>
            <w:left w:w="0" w:type="dxa"/>
            <w:bottom w:w="0" w:type="dxa"/>
            <w:right w:w="0" w:type="dxa"/>
          </w:tblCellMar>
        </w:tblPrEx>
        <w:trPr>
          <w:trHeight w:val="474"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第二十条第（八）项</w:t>
            </w:r>
          </w:p>
        </w:tc>
      </w:tr>
      <w:tr>
        <w:tblPrEx>
          <w:tblCellMar>
            <w:top w:w="0" w:type="dxa"/>
            <w:left w:w="0" w:type="dxa"/>
            <w:bottom w:w="0" w:type="dxa"/>
            <w:right w:w="0" w:type="dxa"/>
          </w:tblCellMar>
        </w:tblPrEx>
        <w:trPr>
          <w:trHeight w:val="388"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信息内容</w:t>
            </w:r>
          </w:p>
        </w:tc>
        <w:tc>
          <w:tcPr>
            <w:tcW w:w="5027" w:type="dxa"/>
            <w:gridSpan w:val="3"/>
            <w:tcBorders>
              <w:top w:val="nil"/>
              <w:left w:val="nil"/>
              <w:bottom w:val="single" w:color="auto" w:sz="8" w:space="0"/>
              <w:right w:val="single" w:color="000000" w:sz="8" w:space="0"/>
            </w:tcBorders>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lang w:eastAsia="zh-CN"/>
              </w:rPr>
              <w:t>本年收费金额（单位：万元）</w:t>
            </w:r>
          </w:p>
        </w:tc>
      </w:tr>
      <w:tr>
        <w:tblPrEx>
          <w:tblCellMar>
            <w:top w:w="0" w:type="dxa"/>
            <w:left w:w="0" w:type="dxa"/>
            <w:bottom w:w="0" w:type="dxa"/>
            <w:right w:w="0" w:type="dxa"/>
          </w:tblCellMar>
        </w:tblPrEx>
        <w:trPr>
          <w:trHeight w:val="452"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pPr>
            <w:r>
              <w:rPr>
                <w:rFonts w:hint="eastAsia" w:ascii="宋体" w:hAnsi="宋体" w:eastAsia="宋体" w:cs="宋体"/>
                <w:color w:val="000000"/>
                <w:kern w:val="0"/>
                <w:sz w:val="20"/>
                <w:szCs w:val="20"/>
              </w:rPr>
              <w:t>行政事业性收费</w:t>
            </w:r>
          </w:p>
        </w:tc>
        <w:tc>
          <w:tcPr>
            <w:tcW w:w="5027" w:type="dxa"/>
            <w:gridSpan w:val="3"/>
            <w:tcBorders>
              <w:top w:val="nil"/>
              <w:left w:val="nil"/>
              <w:bottom w:val="single" w:color="auto" w:sz="8" w:space="0"/>
              <w:right w:val="single" w:color="000000"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0</w:t>
            </w:r>
          </w:p>
        </w:tc>
      </w:tr>
    </w:tbl>
    <w:p>
      <w:pPr>
        <w:pStyle w:val="4"/>
        <w:shd w:val="clear" w:color="auto" w:fill="FFFFFF"/>
        <w:spacing w:before="0" w:beforeAutospacing="0" w:after="0" w:afterAutospacing="0"/>
        <w:jc w:val="both"/>
        <w:rPr>
          <w:color w:val="333333"/>
        </w:rPr>
      </w:pPr>
    </w:p>
    <w:p>
      <w:pPr>
        <w:pStyle w:val="4"/>
        <w:numPr>
          <w:ilvl w:val="0"/>
          <w:numId w:val="2"/>
        </w:numPr>
        <w:shd w:val="clear" w:color="auto" w:fill="FFFFFF"/>
        <w:spacing w:before="0" w:beforeAutospacing="0" w:after="240" w:afterAutospacing="0"/>
        <w:ind w:firstLine="420"/>
        <w:jc w:val="both"/>
        <w:outlineLvl w:val="0"/>
        <w:rPr>
          <w:rFonts w:hint="eastAsia"/>
          <w:b/>
          <w:color w:val="333333"/>
          <w:shd w:val="clear" w:color="auto" w:fill="FFFFFF"/>
        </w:rPr>
      </w:pPr>
      <w:r>
        <w:rPr>
          <w:rFonts w:hint="eastAsia"/>
          <w:b/>
          <w:color w:val="333333"/>
          <w:shd w:val="clear" w:color="auto" w:fill="FFFFFF"/>
        </w:rPr>
        <w:t>收到和处理政府信息公开申请情况</w:t>
      </w:r>
    </w:p>
    <w:tbl>
      <w:tblPr>
        <w:tblStyle w:val="5"/>
        <w:tblpPr w:leftFromText="180" w:rightFromText="180" w:vertAnchor="text" w:horzAnchor="page" w:tblpX="1399" w:tblpY="80"/>
        <w:tblOverlap w:val="never"/>
        <w:tblW w:w="8744"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768"/>
        <w:gridCol w:w="943"/>
        <w:gridCol w:w="2779"/>
        <w:gridCol w:w="519"/>
        <w:gridCol w:w="678"/>
        <w:gridCol w:w="735"/>
        <w:gridCol w:w="678"/>
        <w:gridCol w:w="649"/>
        <w:gridCol w:w="548"/>
        <w:gridCol w:w="447"/>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4490" w:type="dxa"/>
            <w:gridSpan w:val="3"/>
            <w:vMerge w:val="restart"/>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楷体" w:hAnsi="楷体" w:eastAsia="楷体" w:cs="楷体"/>
                <w:color w:val="auto"/>
                <w:kern w:val="0"/>
                <w:sz w:val="20"/>
                <w:szCs w:val="20"/>
                <w:lang w:val="en-US" w:eastAsia="zh-CN" w:bidi="ar"/>
              </w:rPr>
              <w:t>（本列数据的勾稽关系为：第一项加第二项之和，等于第三项加第四项之和）</w:t>
            </w:r>
          </w:p>
        </w:tc>
        <w:tc>
          <w:tcPr>
            <w:tcW w:w="4254" w:type="dxa"/>
            <w:gridSpan w:val="7"/>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519" w:type="dxa"/>
            <w:vMerge w:val="restart"/>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人</w:t>
            </w:r>
          </w:p>
        </w:tc>
        <w:tc>
          <w:tcPr>
            <w:tcW w:w="3288" w:type="dxa"/>
            <w:gridSpan w:val="5"/>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法人或其他组织</w:t>
            </w:r>
          </w:p>
        </w:tc>
        <w:tc>
          <w:tcPr>
            <w:tcW w:w="447" w:type="dxa"/>
            <w:vMerge w:val="restart"/>
            <w:tcBorders>
              <w:top w:val="single" w:color="auto" w:sz="8" w:space="0"/>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519" w:type="dxa"/>
            <w:vMerge w:val="continue"/>
            <w:tcBorders>
              <w:top w:val="nil"/>
              <w:left w:val="nil"/>
              <w:bottom w:val="single" w:color="auto" w:sz="8" w:space="0"/>
              <w:right w:val="single" w:color="auto" w:sz="8" w:space="0"/>
            </w:tcBorders>
            <w:noWrap w:val="0"/>
            <w:tcMar>
              <w:left w:w="57" w:type="dxa"/>
              <w:right w:w="57" w:type="dxa"/>
            </w:tcMar>
            <w:vAlign w:val="center"/>
          </w:tcPr>
          <w:p>
            <w:pPr>
              <w:rPr>
                <w:rFonts w:hint="eastAsia" w:ascii="宋体"/>
                <w:sz w:val="24"/>
                <w:szCs w:val="24"/>
              </w:rPr>
            </w:pP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商业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企业</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科研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机构</w:t>
            </w:r>
          </w:p>
        </w:tc>
        <w:tc>
          <w:tcPr>
            <w:tcW w:w="678"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社会公益组织</w:t>
            </w:r>
          </w:p>
        </w:tc>
        <w:tc>
          <w:tcPr>
            <w:tcW w:w="649"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法律服务机构</w:t>
            </w:r>
          </w:p>
        </w:tc>
        <w:tc>
          <w:tcPr>
            <w:tcW w:w="548"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他</w:t>
            </w:r>
          </w:p>
        </w:tc>
        <w:tc>
          <w:tcPr>
            <w:tcW w:w="447" w:type="dxa"/>
            <w:vMerge w:val="continue"/>
            <w:tcBorders>
              <w:top w:val="single"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一、本年新收政府信息公开申请数量</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1</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二、上年结转政府信息公开申请数量</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restart"/>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三、本年度办理结果</w:t>
            </w:r>
          </w:p>
        </w:tc>
        <w:tc>
          <w:tcPr>
            <w:tcW w:w="3722"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（一）予以公开</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447"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3722"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（二）部分公开</w:t>
            </w:r>
            <w:r>
              <w:rPr>
                <w:rFonts w:hint="default" w:ascii="楷体" w:hAnsi="楷体" w:eastAsia="楷体" w:cs="楷体"/>
                <w:color w:val="auto"/>
                <w:kern w:val="0"/>
                <w:sz w:val="20"/>
                <w:szCs w:val="20"/>
                <w:lang w:val="en-US" w:eastAsia="zh-CN" w:bidi="ar"/>
              </w:rPr>
              <w:t>（区分处理的，只计这一情形，不计其他情形）</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（三）不予公开</w:t>
            </w: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1.属于国家秘密</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2.其他法律行政法规禁止公开</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3.危及“三安全一稳定”</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4.保护第三方合法权益</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5.属于三类内部事务信息</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6.属于四类过程性信息</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7.属于行政执法案卷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8.属于行政查询事项</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（四）无法提供</w:t>
            </w: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1.本机关不掌握相关政府信息</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1</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2.没有现成信息需要另行制作</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3.补正后申请内容仍不明确</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（五）不予处理</w:t>
            </w: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1.信访举报投诉类申请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2.重复申请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3.要求提供公开出版物</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4.无正当理由大量反复申请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79" w:hRule="atLeast"/>
        </w:trPr>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5.要求行政机关确认或重新出具已获取信息</w:t>
            </w:r>
          </w:p>
        </w:tc>
        <w:tc>
          <w:tcPr>
            <w:tcW w:w="519"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restart"/>
            <w:tcBorders>
              <w:top w:val="outset" w:color="auto" w:sz="8" w:space="0"/>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（六）其他处理</w:t>
            </w: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1.申请人无正当理由逾期不补正、行政机关不再处理其政府信息公开申请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2.申请人逾期未按收费通知要求缴纳费用、行政机关不再处理其政府信息公开申请</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4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7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3.其他</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68"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3722"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（七）总计</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1</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90"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四、结转下年度继续办理</w:t>
            </w:r>
          </w:p>
        </w:tc>
        <w:tc>
          <w:tcPr>
            <w:tcW w:w="51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548"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4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r>
    </w:tbl>
    <w:p>
      <w:pPr>
        <w:pStyle w:val="4"/>
        <w:shd w:val="clear" w:color="auto" w:fill="FFFFFF"/>
        <w:spacing w:before="0" w:beforeAutospacing="0" w:after="0" w:afterAutospacing="0"/>
        <w:jc w:val="both"/>
        <w:rPr>
          <w:color w:val="333333"/>
        </w:rPr>
      </w:pPr>
    </w:p>
    <w:p>
      <w:pPr>
        <w:pStyle w:val="4"/>
        <w:numPr>
          <w:ilvl w:val="0"/>
          <w:numId w:val="3"/>
        </w:numPr>
        <w:shd w:val="clear" w:color="auto" w:fill="FFFFFF"/>
        <w:spacing w:before="0" w:beforeAutospacing="0" w:after="0" w:afterAutospacing="0"/>
        <w:ind w:firstLine="420"/>
        <w:jc w:val="both"/>
        <w:outlineLvl w:val="0"/>
        <w:rPr>
          <w:rFonts w:hint="eastAsia"/>
          <w:b/>
          <w:color w:val="333333"/>
          <w:shd w:val="clear" w:color="auto" w:fill="FFFFFF"/>
        </w:rPr>
      </w:pPr>
      <w:r>
        <w:rPr>
          <w:rFonts w:hint="eastAsia"/>
          <w:b/>
          <w:color w:val="333333"/>
          <w:shd w:val="clear" w:color="auto" w:fill="FFFFFF"/>
        </w:rPr>
        <w:t>政府信息公开行政复议、行政诉讼情况</w:t>
      </w:r>
    </w:p>
    <w:tbl>
      <w:tblPr>
        <w:tblStyle w:val="5"/>
        <w:tblpPr w:leftFromText="180" w:rightFromText="180" w:vertAnchor="text" w:horzAnchor="page" w:tblpX="1461" w:tblpY="184"/>
        <w:tblOverlap w:val="never"/>
        <w:tblW w:w="9303"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572"/>
        <w:gridCol w:w="649"/>
        <w:gridCol w:w="649"/>
        <w:gridCol w:w="649"/>
        <w:gridCol w:w="452"/>
        <w:gridCol w:w="678"/>
        <w:gridCol w:w="721"/>
        <w:gridCol w:w="663"/>
        <w:gridCol w:w="693"/>
        <w:gridCol w:w="389"/>
        <w:gridCol w:w="736"/>
        <w:gridCol w:w="692"/>
        <w:gridCol w:w="663"/>
        <w:gridCol w:w="664"/>
        <w:gridCol w:w="433"/>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03" w:hRule="atLeast"/>
        </w:trPr>
        <w:tc>
          <w:tcPr>
            <w:tcW w:w="2971"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行政复议</w:t>
            </w:r>
          </w:p>
        </w:tc>
        <w:tc>
          <w:tcPr>
            <w:tcW w:w="6332"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3" w:hRule="atLeast"/>
        </w:trPr>
        <w:tc>
          <w:tcPr>
            <w:tcW w:w="572"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结果维持</w:t>
            </w:r>
          </w:p>
        </w:tc>
        <w:tc>
          <w:tcPr>
            <w:tcW w:w="649"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49"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49"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52"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总计</w:t>
            </w:r>
          </w:p>
        </w:tc>
        <w:tc>
          <w:tcPr>
            <w:tcW w:w="3144"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未经复议直接起诉</w:t>
            </w:r>
          </w:p>
        </w:tc>
        <w:tc>
          <w:tcPr>
            <w:tcW w:w="3188"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10" w:hRule="atLeast"/>
        </w:trPr>
        <w:tc>
          <w:tcPr>
            <w:tcW w:w="572"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49"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452"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678"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72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6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其他</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结果</w:t>
            </w:r>
          </w:p>
        </w:tc>
        <w:tc>
          <w:tcPr>
            <w:tcW w:w="69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389"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c>
          <w:tcPr>
            <w:tcW w:w="73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维持</w:t>
            </w:r>
          </w:p>
        </w:tc>
        <w:tc>
          <w:tcPr>
            <w:tcW w:w="692"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结果</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纠正</w:t>
            </w:r>
          </w:p>
        </w:tc>
        <w:tc>
          <w:tcPr>
            <w:tcW w:w="66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6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auto"/>
                <w:kern w:val="0"/>
                <w:sz w:val="20"/>
                <w:szCs w:val="20"/>
                <w:lang w:val="en-US" w:eastAsia="zh-CN" w:bidi="ar"/>
              </w:rPr>
              <w:t>尚未</w:t>
            </w:r>
            <w:r>
              <w:rPr>
                <w:rFonts w:hint="eastAsia" w:ascii="宋体" w:hAnsi="宋体" w:eastAsia="宋体" w:cs="宋体"/>
                <w:color w:val="auto"/>
                <w:kern w:val="0"/>
                <w:sz w:val="20"/>
                <w:szCs w:val="20"/>
                <w:lang w:val="en-US" w:eastAsia="zh-CN" w:bidi="ar"/>
              </w:rPr>
              <w:br w:type="textWrapping"/>
            </w:r>
            <w:r>
              <w:rPr>
                <w:rFonts w:hint="eastAsia" w:ascii="宋体" w:hAnsi="宋体" w:eastAsia="宋体" w:cs="宋体"/>
                <w:color w:val="auto"/>
                <w:kern w:val="0"/>
                <w:sz w:val="20"/>
                <w:szCs w:val="20"/>
                <w:lang w:val="en-US" w:eastAsia="zh-CN" w:bidi="ar"/>
              </w:rPr>
              <w:t>审结</w:t>
            </w:r>
          </w:p>
        </w:tc>
        <w:tc>
          <w:tcPr>
            <w:tcW w:w="43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trPr>
        <w:tc>
          <w:tcPr>
            <w:tcW w:w="572"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4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52"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78"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2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9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389"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736"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92"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664"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p>
        </w:tc>
        <w:tc>
          <w:tcPr>
            <w:tcW w:w="433" w:type="dxa"/>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eastAsia="仿宋_GB2312"/>
                <w:sz w:val="24"/>
                <w:szCs w:val="24"/>
                <w:lang w:val="en-US" w:eastAsia="zh-CN"/>
              </w:rPr>
            </w:pPr>
            <w:r>
              <w:rPr>
                <w:rFonts w:hint="eastAsia" w:ascii="Calibri" w:hAnsi="Calibri" w:eastAsia="宋体" w:cs="Calibri"/>
                <w:color w:val="auto"/>
                <w:kern w:val="0"/>
                <w:sz w:val="20"/>
                <w:szCs w:val="20"/>
                <w:lang w:val="en-US" w:eastAsia="zh-CN" w:bidi="ar"/>
              </w:rPr>
              <w:t>0</w:t>
            </w:r>
          </w:p>
        </w:tc>
      </w:tr>
    </w:tbl>
    <w:p>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五、存在的主要问题及改进情况</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存在问题：一是政务公开信息量少。二是政务公开信息内容单一，人民群众关心的公共事务的决策依据类公开信息不多。三是群众参与政务公开工作的意识淡薄，网上互动不够。</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改进情况：一是进一步加强组织领导，明确推进政务公开的目标任务。要把政务公开工作作为经常性工作列入重要议事日程，从转变政府职能、执政为民、加强党的执政能力建设的高度认识并积极推进这一工作。二是进一步加强宣传力度，提高人</w:t>
      </w:r>
      <w:bookmarkStart w:id="0" w:name="_GoBack"/>
      <w:bookmarkEnd w:id="0"/>
      <w:r>
        <w:rPr>
          <w:rFonts w:hint="eastAsia" w:asciiTheme="minorEastAsia" w:hAnsiTheme="minorEastAsia" w:eastAsiaTheme="minorEastAsia" w:cstheme="minorEastAsia"/>
          <w:b w:val="0"/>
          <w:bCs w:val="0"/>
          <w:sz w:val="24"/>
          <w:szCs w:val="24"/>
        </w:rPr>
        <w:t>民群众参政议政水平，完善社会监督机制。要运用多种媒介加大政务公开的宣传力度，让广大人民群众熟悉政务公开，提高参政议政水平，进一步建立健全内外并举的监督制约、督办督察工作机制，将政务公开置于上级领导部门、社会各界、各新闻媒体的监督之下。三是进一步提升群众意识，促进转变政务公开职能。加大群众对政务公开的满意度测评和意见反馈频率，真正把服务理念贯穿始终，取计于民、用计于民。</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六、其他需要报告的事项</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color w:val="333333"/>
          <w:spacing w:val="6"/>
          <w:shd w:val="clear" w:color="auto" w:fill="FFFFFF"/>
        </w:rPr>
      </w:pPr>
      <w:r>
        <w:rPr>
          <w:rFonts w:hint="eastAsia" w:asciiTheme="minorEastAsia" w:hAnsiTheme="minorEastAsia" w:eastAsiaTheme="minorEastAsia" w:cstheme="minorEastAsia"/>
          <w:b w:val="0"/>
          <w:bCs w:val="0"/>
          <w:sz w:val="24"/>
          <w:szCs w:val="24"/>
        </w:rPr>
        <w:t>我</w:t>
      </w:r>
      <w:r>
        <w:rPr>
          <w:rFonts w:hint="eastAsia" w:asciiTheme="minorEastAsia" w:hAnsiTheme="minorEastAsia" w:eastAsiaTheme="minorEastAsia" w:cstheme="minorEastAsia"/>
          <w:b w:val="0"/>
          <w:bCs w:val="0"/>
          <w:sz w:val="24"/>
          <w:szCs w:val="24"/>
          <w:lang w:eastAsia="zh-CN"/>
        </w:rPr>
        <w:t>单位</w:t>
      </w:r>
      <w:r>
        <w:rPr>
          <w:rFonts w:hint="eastAsia" w:asciiTheme="minorEastAsia" w:hAnsiTheme="minorEastAsia" w:eastAsiaTheme="minorEastAsia" w:cstheme="minorEastAsia"/>
          <w:b w:val="0"/>
          <w:bCs w:val="0"/>
          <w:sz w:val="24"/>
          <w:szCs w:val="24"/>
        </w:rPr>
        <w:t>认真贯彻执行国务院办公厅《政府信息公开信息处理费管理办法》，</w:t>
      </w:r>
      <w:r>
        <w:rPr>
          <w:rFonts w:hint="eastAsia" w:asciiTheme="minorEastAsia" w:hAnsiTheme="minorEastAsia" w:eastAsiaTheme="minorEastAsia" w:cstheme="minorEastAsia"/>
          <w:b w:val="0"/>
          <w:bCs w:val="0"/>
          <w:sz w:val="24"/>
          <w:szCs w:val="24"/>
          <w:lang w:eastAsia="zh-CN"/>
        </w:rPr>
        <w:t>本年度</w:t>
      </w:r>
      <w:r>
        <w:rPr>
          <w:rFonts w:hint="eastAsia" w:asciiTheme="minorEastAsia" w:hAnsiTheme="minorEastAsia" w:eastAsiaTheme="minorEastAsia" w:cstheme="minorEastAsia"/>
          <w:b w:val="0"/>
          <w:bCs w:val="0"/>
          <w:sz w:val="24"/>
          <w:szCs w:val="24"/>
        </w:rPr>
        <w:t>未收取信息处理费</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9CD411"/>
    <w:multiLevelType w:val="singleLevel"/>
    <w:tmpl w:val="9D9CD411"/>
    <w:lvl w:ilvl="0" w:tentative="0">
      <w:start w:val="4"/>
      <w:numFmt w:val="chineseCounting"/>
      <w:suff w:val="nothing"/>
      <w:lvlText w:val="（%1）"/>
      <w:lvlJc w:val="left"/>
      <w:rPr>
        <w:rFonts w:hint="eastAsia"/>
      </w:rPr>
    </w:lvl>
  </w:abstractNum>
  <w:abstractNum w:abstractNumId="1">
    <w:nsid w:val="DDBFB7D3"/>
    <w:multiLevelType w:val="singleLevel"/>
    <w:tmpl w:val="DDBFB7D3"/>
    <w:lvl w:ilvl="0" w:tentative="0">
      <w:start w:val="3"/>
      <w:numFmt w:val="chineseCounting"/>
      <w:suff w:val="nothing"/>
      <w:lvlText w:val="%1、"/>
      <w:lvlJc w:val="left"/>
      <w:rPr>
        <w:rFonts w:hint="eastAsia"/>
      </w:rPr>
    </w:lvl>
  </w:abstractNum>
  <w:abstractNum w:abstractNumId="2">
    <w:nsid w:val="7EDCC3F2"/>
    <w:multiLevelType w:val="singleLevel"/>
    <w:tmpl w:val="7EDCC3F2"/>
    <w:lvl w:ilvl="0" w:tentative="0">
      <w:start w:val="4"/>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iNGRkNGFjN2Y2Yjg5YmY0NzI1MGI1YWIzMWMyZWYifQ=="/>
  </w:docVars>
  <w:rsids>
    <w:rsidRoot w:val="3E5B229F"/>
    <w:rsid w:val="000168E7"/>
    <w:rsid w:val="00091070"/>
    <w:rsid w:val="00102236"/>
    <w:rsid w:val="00121401"/>
    <w:rsid w:val="00157AC8"/>
    <w:rsid w:val="001801D5"/>
    <w:rsid w:val="00296580"/>
    <w:rsid w:val="002B2C96"/>
    <w:rsid w:val="00455C5D"/>
    <w:rsid w:val="004F0B4A"/>
    <w:rsid w:val="00586B59"/>
    <w:rsid w:val="00631E81"/>
    <w:rsid w:val="00653E36"/>
    <w:rsid w:val="008E1B1A"/>
    <w:rsid w:val="008E44F4"/>
    <w:rsid w:val="00A53DE3"/>
    <w:rsid w:val="00B5390F"/>
    <w:rsid w:val="00C06F06"/>
    <w:rsid w:val="00C51C9D"/>
    <w:rsid w:val="00CB4FF3"/>
    <w:rsid w:val="00CE1DC8"/>
    <w:rsid w:val="00D26420"/>
    <w:rsid w:val="00D36948"/>
    <w:rsid w:val="00E06057"/>
    <w:rsid w:val="00E212AC"/>
    <w:rsid w:val="00E41BBC"/>
    <w:rsid w:val="00E57F2A"/>
    <w:rsid w:val="00EA3ADC"/>
    <w:rsid w:val="00EF14E8"/>
    <w:rsid w:val="00F24E13"/>
    <w:rsid w:val="00FA6E92"/>
    <w:rsid w:val="00FC07B6"/>
    <w:rsid w:val="01285338"/>
    <w:rsid w:val="04D7440B"/>
    <w:rsid w:val="09813DFD"/>
    <w:rsid w:val="0A7C1F2F"/>
    <w:rsid w:val="0B2121D5"/>
    <w:rsid w:val="0D011F02"/>
    <w:rsid w:val="11B05C5A"/>
    <w:rsid w:val="136E3678"/>
    <w:rsid w:val="19DE11D5"/>
    <w:rsid w:val="1A0F4175"/>
    <w:rsid w:val="238E43F5"/>
    <w:rsid w:val="2E8A0E7B"/>
    <w:rsid w:val="341765DF"/>
    <w:rsid w:val="38CB1FBA"/>
    <w:rsid w:val="3B214D37"/>
    <w:rsid w:val="3C442460"/>
    <w:rsid w:val="3E5B229F"/>
    <w:rsid w:val="3FE1325F"/>
    <w:rsid w:val="43DA9812"/>
    <w:rsid w:val="4D617EE6"/>
    <w:rsid w:val="4E137BDD"/>
    <w:rsid w:val="541E6540"/>
    <w:rsid w:val="571C05B0"/>
    <w:rsid w:val="5A6F3991"/>
    <w:rsid w:val="5D4F0FEF"/>
    <w:rsid w:val="61022B79"/>
    <w:rsid w:val="63DE6402"/>
    <w:rsid w:val="68C13E1A"/>
    <w:rsid w:val="695D0560"/>
    <w:rsid w:val="69C937CA"/>
    <w:rsid w:val="6FDF47DB"/>
    <w:rsid w:val="71A62D78"/>
    <w:rsid w:val="72826491"/>
    <w:rsid w:val="74ED2BBE"/>
    <w:rsid w:val="764322DF"/>
    <w:rsid w:val="77BB3DCB"/>
    <w:rsid w:val="77CFF03C"/>
    <w:rsid w:val="7B7FB338"/>
    <w:rsid w:val="7D292759"/>
    <w:rsid w:val="7DDEB177"/>
    <w:rsid w:val="7E2247C9"/>
    <w:rsid w:val="7ED53247"/>
    <w:rsid w:val="7FA76860"/>
    <w:rsid w:val="7FDF440F"/>
    <w:rsid w:val="7FE38852"/>
    <w:rsid w:val="BEADFB8E"/>
    <w:rsid w:val="DFBB8E84"/>
    <w:rsid w:val="EF7B5EE5"/>
    <w:rsid w:val="F3FB9628"/>
    <w:rsid w:val="F75718EB"/>
    <w:rsid w:val="FB6F83DF"/>
    <w:rsid w:val="FCBAD453"/>
    <w:rsid w:val="FF79BD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character" w:customStyle="1" w:styleId="7">
    <w:name w:val="页眉 Char"/>
    <w:basedOn w:val="6"/>
    <w:link w:val="3"/>
    <w:qFormat/>
    <w:uiPriority w:val="0"/>
    <w:rPr>
      <w:rFonts w:ascii="仿宋_GB2312" w:eastAsia="仿宋_GB2312"/>
      <w:kern w:val="2"/>
      <w:sz w:val="18"/>
      <w:szCs w:val="18"/>
    </w:rPr>
  </w:style>
  <w:style w:type="character" w:customStyle="1" w:styleId="8">
    <w:name w:val="页脚 Char"/>
    <w:basedOn w:val="6"/>
    <w:link w:val="2"/>
    <w:qFormat/>
    <w:uiPriority w:val="0"/>
    <w:rPr>
      <w:rFonts w:ascii="仿宋_GB2312" w:eastAsia="仿宋_GB2312"/>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5</Pages>
  <Words>2495</Words>
  <Characters>2559</Characters>
  <Lines>25</Lines>
  <Paragraphs>7</Paragraphs>
  <TotalTime>6</TotalTime>
  <ScaleCrop>false</ScaleCrop>
  <LinksUpToDate>false</LinksUpToDate>
  <CharactersWithSpaces>2646</CharactersWithSpaces>
  <Application>WPS Office_11.8.2.12119_F1E327BC-269C-435d-A152-05C5408002CA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2020-01-02T03:38:00Z</dcterms:created>
  <dc:creator>小公举</dc:creator>
  <cp:lastModifiedBy>Administrator</cp:lastModifiedBy>
  <cp:lastPrinted>2023-01-11T00:50:00Z</cp:lastPrinted>
  <dcterms:modified xsi:type="dcterms:W3CDTF">2024-05-31T07:33:15Z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2052-11.8.2.12119</vt:lpwstr>
  </property>
  <property fmtid="{D5CDD505-2E9C-101B-9397-08002B2CF9AE}" pid="3" name="ICV">
    <vt:lpwstr>F770B26192DD415BB4C7C1324B9649E6_13</vt:lpwstr>
  </property>
</Properties>
</file>