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default" w:cs="方正小标宋简体" w:asciiTheme="majorEastAsia" w:hAnsiTheme="majorEastAsia" w:eastAsiaTheme="majorEastAsia"/>
          <w:b/>
          <w:color w:val="000000"/>
          <w:spacing w:val="-11"/>
          <w:sz w:val="36"/>
          <w:szCs w:val="36"/>
          <w:lang w:val="en-US" w:eastAsia="zh-CN"/>
        </w:rPr>
      </w:pPr>
      <w:r>
        <w:rPr>
          <w:rFonts w:hint="eastAsia" w:cs="方正小标宋简体" w:asciiTheme="majorEastAsia" w:hAnsiTheme="majorEastAsia" w:eastAsiaTheme="majorEastAsia"/>
          <w:b/>
          <w:color w:val="000000"/>
          <w:spacing w:val="-11"/>
          <w:sz w:val="36"/>
          <w:szCs w:val="36"/>
          <w:lang w:val="en-US" w:eastAsia="zh-CN"/>
        </w:rPr>
        <w:t>史家寨乡人民政府</w:t>
      </w:r>
    </w:p>
    <w:p>
      <w:pPr>
        <w:spacing w:line="540" w:lineRule="exact"/>
        <w:jc w:val="center"/>
        <w:rPr>
          <w:rFonts w:hint="eastAsia" w:cs="方正小标宋简体" w:asciiTheme="majorEastAsia" w:hAnsiTheme="majorEastAsia" w:eastAsiaTheme="majorEastAsia"/>
          <w:b/>
          <w:color w:val="000000"/>
          <w:spacing w:val="-11"/>
          <w:sz w:val="36"/>
          <w:szCs w:val="36"/>
        </w:rPr>
      </w:pPr>
      <w:r>
        <w:rPr>
          <w:rFonts w:hint="eastAsia" w:cs="方正小标宋简体" w:asciiTheme="majorEastAsia" w:hAnsiTheme="majorEastAsia" w:eastAsiaTheme="majorEastAsia"/>
          <w:b/>
          <w:color w:val="000000"/>
          <w:spacing w:val="-11"/>
          <w:sz w:val="36"/>
          <w:szCs w:val="36"/>
          <w:lang w:eastAsia="zh-CN"/>
        </w:rPr>
        <w:t>2023</w:t>
      </w:r>
      <w:r>
        <w:rPr>
          <w:rFonts w:hint="eastAsia" w:cs="方正小标宋简体" w:asciiTheme="majorEastAsia" w:hAnsiTheme="majorEastAsia" w:eastAsiaTheme="majorEastAsia"/>
          <w:b/>
          <w:color w:val="000000"/>
          <w:spacing w:val="-11"/>
          <w:sz w:val="36"/>
          <w:szCs w:val="36"/>
        </w:rPr>
        <w:t>年政府信息公开工作年度报告</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lang w:eastAsia="zh-CN"/>
        </w:rPr>
        <w:t>根</w:t>
      </w:r>
      <w:r>
        <w:rPr>
          <w:rFonts w:hint="eastAsia" w:asciiTheme="minorEastAsia" w:hAnsiTheme="minorEastAsia" w:eastAsiaTheme="minorEastAsia" w:cstheme="minorEastAsia"/>
          <w:b w:val="0"/>
          <w:bCs/>
          <w:color w:val="000000"/>
          <w:spacing w:val="-11"/>
          <w:sz w:val="24"/>
          <w:szCs w:val="24"/>
        </w:rPr>
        <w:t>据《中华人民共和国政府信息公开条例》《</w:t>
      </w:r>
      <w:r>
        <w:rPr>
          <w:rFonts w:hint="eastAsia" w:asciiTheme="minorEastAsia" w:hAnsiTheme="minorEastAsia" w:eastAsiaTheme="minorEastAsia" w:cstheme="minorEastAsia"/>
          <w:b w:val="0"/>
          <w:bCs/>
          <w:color w:val="000000"/>
          <w:spacing w:val="-11"/>
          <w:sz w:val="24"/>
          <w:szCs w:val="24"/>
          <w:lang w:eastAsia="zh-CN"/>
        </w:rPr>
        <w:t>河北省实施</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&lt;</w:t>
      </w:r>
      <w:r>
        <w:rPr>
          <w:rFonts w:hint="eastAsia" w:asciiTheme="minorEastAsia" w:hAnsiTheme="minorEastAsia" w:eastAsiaTheme="minorEastAsia" w:cstheme="minorEastAsia"/>
          <w:b w:val="0"/>
          <w:bCs/>
          <w:color w:val="000000"/>
          <w:spacing w:val="-11"/>
          <w:sz w:val="24"/>
          <w:szCs w:val="24"/>
        </w:rPr>
        <w:t>中华人民共和国政府信息公开</w:t>
      </w:r>
      <w:r>
        <w:rPr>
          <w:rFonts w:hint="eastAsia" w:asciiTheme="minorEastAsia" w:hAnsiTheme="minorEastAsia" w:eastAsiaTheme="minorEastAsia" w:cstheme="minorEastAsia"/>
          <w:b w:val="0"/>
          <w:bCs/>
          <w:color w:val="000000"/>
          <w:spacing w:val="-11"/>
          <w:sz w:val="24"/>
          <w:szCs w:val="24"/>
          <w:lang w:eastAsia="zh-CN"/>
        </w:rPr>
        <w:t>条例</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&gt;</w:t>
      </w:r>
      <w:r>
        <w:rPr>
          <w:rFonts w:hint="eastAsia" w:ascii="CESI仿宋-GB2312" w:hAnsi="CESI仿宋-GB2312" w:eastAsia="CESI仿宋-GB2312" w:cs="CESI仿宋-GB2312"/>
          <w:b w:val="0"/>
          <w:bCs/>
          <w:color w:val="000000"/>
          <w:spacing w:val="-11"/>
          <w:sz w:val="24"/>
          <w:szCs w:val="24"/>
          <w:lang w:val="en-US" w:eastAsia="zh-CN"/>
        </w:rPr>
        <w:t xml:space="preserve"> </w:t>
      </w:r>
      <w:r>
        <w:rPr>
          <w:rFonts w:hint="eastAsia" w:asciiTheme="minorEastAsia" w:hAnsiTheme="minorEastAsia" w:eastAsiaTheme="minorEastAsia" w:cstheme="minorEastAsia"/>
          <w:b w:val="0"/>
          <w:bCs/>
          <w:color w:val="000000"/>
          <w:spacing w:val="-11"/>
          <w:sz w:val="24"/>
          <w:szCs w:val="24"/>
          <w:lang w:eastAsia="zh-CN"/>
        </w:rPr>
        <w:t>办法</w:t>
      </w:r>
      <w:r>
        <w:rPr>
          <w:rFonts w:hint="eastAsia" w:asciiTheme="minorEastAsia" w:hAnsiTheme="minorEastAsia" w:eastAsiaTheme="minorEastAsia" w:cstheme="minorEastAsia"/>
          <w:b w:val="0"/>
          <w:bCs/>
          <w:color w:val="000000"/>
          <w:spacing w:val="-11"/>
          <w:sz w:val="24"/>
          <w:szCs w:val="24"/>
        </w:rPr>
        <w:t>》</w:t>
      </w:r>
      <w:r>
        <w:rPr>
          <w:rFonts w:hint="eastAsia" w:asciiTheme="minorEastAsia" w:hAnsiTheme="minorEastAsia" w:eastAsiaTheme="minorEastAsia" w:cstheme="minorEastAsia"/>
          <w:b w:val="0"/>
          <w:bCs/>
          <w:color w:val="000000"/>
          <w:spacing w:val="-11"/>
          <w:sz w:val="24"/>
          <w:szCs w:val="24"/>
          <w:lang w:eastAsia="zh-CN"/>
        </w:rPr>
        <w:t>等规定，发布本年度报告</w:t>
      </w:r>
      <w:r>
        <w:rPr>
          <w:rFonts w:hint="eastAsia" w:asciiTheme="minorEastAsia" w:hAnsiTheme="minorEastAsia" w:eastAsiaTheme="minorEastAsia" w:cstheme="minorEastAsia"/>
          <w:b w:val="0"/>
          <w:bCs/>
          <w:color w:val="000000"/>
          <w:spacing w:val="-11"/>
          <w:sz w:val="24"/>
          <w:szCs w:val="24"/>
        </w:rPr>
        <w:t>。报告中所列数据统计期限</w:t>
      </w:r>
      <w:r>
        <w:rPr>
          <w:rFonts w:hint="eastAsia" w:asciiTheme="minorEastAsia" w:hAnsiTheme="minorEastAsia" w:eastAsiaTheme="minorEastAsia" w:cstheme="minorEastAsia"/>
          <w:b w:val="0"/>
          <w:bCs/>
          <w:color w:val="000000"/>
          <w:spacing w:val="-11"/>
          <w:sz w:val="24"/>
          <w:szCs w:val="24"/>
          <w:lang w:eastAsia="zh-CN"/>
        </w:rPr>
        <w:t>为</w:t>
      </w:r>
      <w:r>
        <w:rPr>
          <w:rFonts w:hint="eastAsia" w:asciiTheme="minorEastAsia" w:hAnsiTheme="minorEastAsia" w:eastAsiaTheme="minorEastAsia" w:cstheme="minorEastAsia"/>
          <w:b w:val="0"/>
          <w:bCs/>
          <w:color w:val="000000"/>
          <w:spacing w:val="-11"/>
          <w:sz w:val="24"/>
          <w:szCs w:val="24"/>
        </w:rPr>
        <w:t>2023年1月1日至2023年12月31日。</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一、总体情况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2023年，我单位</w:t>
      </w:r>
      <w:r>
        <w:rPr>
          <w:rFonts w:hint="eastAsia" w:asciiTheme="minorEastAsia" w:hAnsiTheme="minorEastAsia" w:eastAsiaTheme="minorEastAsia" w:cstheme="minorEastAsia"/>
          <w:b w:val="0"/>
          <w:bCs/>
          <w:color w:val="000000"/>
          <w:spacing w:val="-11"/>
          <w:sz w:val="24"/>
          <w:szCs w:val="24"/>
          <w:lang w:val="en-US" w:eastAsia="zh-CN"/>
        </w:rPr>
        <w:t>按照县政府统一安排部署，加强组织领导，健全工作机制，认真贯</w:t>
      </w:r>
      <w:bookmarkStart w:id="0" w:name="_GoBack"/>
      <w:bookmarkEnd w:id="0"/>
      <w:r>
        <w:rPr>
          <w:rFonts w:hint="eastAsia" w:asciiTheme="minorEastAsia" w:hAnsiTheme="minorEastAsia" w:eastAsiaTheme="minorEastAsia" w:cstheme="minorEastAsia"/>
          <w:b w:val="0"/>
          <w:bCs/>
          <w:color w:val="000000"/>
          <w:spacing w:val="-11"/>
          <w:sz w:val="24"/>
          <w:szCs w:val="24"/>
          <w:lang w:val="en-US" w:eastAsia="zh-CN"/>
        </w:rPr>
        <w:t>彻</w:t>
      </w:r>
      <w:r>
        <w:rPr>
          <w:rFonts w:hint="eastAsia" w:asciiTheme="minorEastAsia" w:hAnsiTheme="minorEastAsia" w:eastAsiaTheme="minorEastAsia" w:cstheme="minorEastAsia"/>
          <w:b w:val="0"/>
          <w:bCs/>
          <w:color w:val="000000"/>
          <w:spacing w:val="-11"/>
          <w:sz w:val="24"/>
          <w:szCs w:val="24"/>
          <w:lang w:eastAsia="zh-CN"/>
        </w:rPr>
        <w:t>《中华人民共和国政府信息公开条例》</w:t>
      </w:r>
      <w:r>
        <w:rPr>
          <w:rFonts w:hint="eastAsia" w:asciiTheme="minorEastAsia" w:hAnsiTheme="minorEastAsia" w:eastAsiaTheme="minorEastAsia" w:cstheme="minorEastAsia"/>
          <w:b w:val="0"/>
          <w:bCs/>
          <w:color w:val="000000"/>
          <w:spacing w:val="-11"/>
          <w:sz w:val="24"/>
          <w:szCs w:val="24"/>
          <w:lang w:val="en-US" w:eastAsia="zh-CN"/>
        </w:rPr>
        <w:t>的各项要求，不断丰富公开内容，拓宽公开形式和渠道，增强公开质量和实效，全面推进政府信息公开，助力全乡深化改革、经济发展、民生改善和政府建设。</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default"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eastAsia="zh-CN"/>
        </w:rPr>
        <w:t>我单位按照“决策公开、执行公开、管理公开、服务公开、结果公开”的部署要求，遵循公正、公平、合法、便民的原则，正确执行政府信息主动公开新规定，聚焦公开重点，规范公开方式。</w:t>
      </w:r>
      <w:r>
        <w:rPr>
          <w:rFonts w:hint="eastAsia" w:asciiTheme="minorEastAsia" w:hAnsiTheme="minorEastAsia" w:eastAsiaTheme="minorEastAsia" w:cstheme="minorEastAsia"/>
          <w:b w:val="0"/>
          <w:bCs/>
          <w:color w:val="000000"/>
          <w:spacing w:val="-11"/>
          <w:sz w:val="24"/>
          <w:szCs w:val="24"/>
          <w:lang w:val="en-US" w:eastAsia="zh-CN"/>
        </w:rPr>
        <w:t>2023年主动公开政务信息400余条。</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（二）依申请公开政府信息情况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严格按照《河北省人民政府办公厅关于印发河北省政府信息公开申请办理规范的通知》，规范政府信息公开申请办理，健全完善政府信息公开申请制度，全面提升办理工作质量。规范依申请公开工作流程，依法依规有序推进政府信息依申请公开工作。2023年，共收到政府信息公开申请</w:t>
      </w:r>
      <w:r>
        <w:rPr>
          <w:rFonts w:hint="eastAsia" w:asciiTheme="minorEastAsia" w:hAnsiTheme="minorEastAsia" w:eastAsiaTheme="minorEastAsia" w:cstheme="minorEastAsia"/>
          <w:b w:val="0"/>
          <w:bCs/>
          <w:color w:val="000000"/>
          <w:spacing w:val="-11"/>
          <w:sz w:val="24"/>
          <w:szCs w:val="24"/>
          <w:lang w:val="en-US" w:eastAsia="zh-CN"/>
        </w:rPr>
        <w:t>0</w:t>
      </w:r>
      <w:r>
        <w:rPr>
          <w:rFonts w:hint="eastAsia" w:asciiTheme="minorEastAsia" w:hAnsiTheme="minorEastAsia" w:eastAsiaTheme="minorEastAsia" w:cstheme="minorEastAsia"/>
          <w:b w:val="0"/>
          <w:bCs/>
          <w:color w:val="000000"/>
          <w:spacing w:val="-11"/>
          <w:sz w:val="24"/>
          <w:szCs w:val="24"/>
          <w:lang w:eastAsia="zh-CN"/>
        </w:rPr>
        <w:t>件。</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（三）政府信息管理情况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val="en-US" w:eastAsia="zh-CN"/>
        </w:rPr>
        <w:t>健全工作机构，实行政府信息采集、梳理、编辑、审核、发布、更新等工作常态化工作机制，落实专人负责统筹、协调、编制、公布政府信息公开内容，保障政府信息及时公开到位。</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（四）平台建设情况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加强便民服务中心建设和服务。按规范化服务型政府要求，我们配套完善了便民服务中心的软硬件设施，加强对服务人员的培训和管理，公开办理事项和办事流程，印发办事指南，让群众和服务对象对提供的服务和办理事项有充分的了解和认识，做到公开、公平、公正。同时，我们加强对各村的指导监督，规范办事流程，使政务公开工作延伸至村，真正实现亲民、利民、便民、为民。</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充分依托政务新媒体平台，做好信息发布、政策解读和办事服务工作。规范开设政务新媒体账号，其中微信公众号</w:t>
      </w:r>
      <w:r>
        <w:rPr>
          <w:rFonts w:hint="eastAsia" w:asciiTheme="minorEastAsia" w:hAnsiTheme="minorEastAsia" w:eastAsiaTheme="minorEastAsia" w:cstheme="minorEastAsia"/>
          <w:b w:val="0"/>
          <w:bCs/>
          <w:color w:val="000000"/>
          <w:spacing w:val="-11"/>
          <w:sz w:val="24"/>
          <w:szCs w:val="24"/>
          <w:lang w:val="en-US" w:eastAsia="zh-CN"/>
        </w:rPr>
        <w:t>1</w:t>
      </w:r>
      <w:r>
        <w:rPr>
          <w:rFonts w:hint="eastAsia" w:asciiTheme="minorEastAsia" w:hAnsiTheme="minorEastAsia" w:eastAsiaTheme="minorEastAsia" w:cstheme="minorEastAsia"/>
          <w:b w:val="0"/>
          <w:bCs/>
          <w:color w:val="000000"/>
          <w:spacing w:val="-11"/>
          <w:sz w:val="24"/>
          <w:szCs w:val="24"/>
          <w:lang w:eastAsia="zh-CN"/>
        </w:rPr>
        <w:t>个，2023年共发布政务信息</w:t>
      </w:r>
      <w:r>
        <w:rPr>
          <w:rFonts w:hint="eastAsia" w:asciiTheme="minorEastAsia" w:hAnsiTheme="minorEastAsia" w:eastAsiaTheme="minorEastAsia" w:cstheme="minorEastAsia"/>
          <w:b w:val="0"/>
          <w:bCs/>
          <w:color w:val="000000"/>
          <w:spacing w:val="-11"/>
          <w:sz w:val="24"/>
          <w:szCs w:val="24"/>
          <w:lang w:val="en-US" w:eastAsia="zh-CN"/>
        </w:rPr>
        <w:t>605</w:t>
      </w:r>
      <w:r>
        <w:rPr>
          <w:rFonts w:hint="eastAsia" w:asciiTheme="minorEastAsia" w:hAnsiTheme="minorEastAsia" w:eastAsiaTheme="minorEastAsia" w:cstheme="minorEastAsia"/>
          <w:b w:val="0"/>
          <w:bCs/>
          <w:color w:val="000000"/>
          <w:spacing w:val="-11"/>
          <w:sz w:val="24"/>
          <w:szCs w:val="24"/>
          <w:lang w:eastAsia="zh-CN"/>
        </w:rPr>
        <w:t>条。</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（五）政府信息公开监督保障情况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val="en-US" w:eastAsia="zh-CN"/>
        </w:rPr>
        <w:t>建立健全政务公开管理制度，严格按照工作要求，完善政务公开各项制度建设。制定政府信息公开考核制度，明确组织领导，确保有领导分管，有专人负责。</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rPr>
        <w:t>强化业务知识学习。按照省、市、县要求，于5月18日组织开展政府信息公开法律知识学习问答活动，本单位共</w:t>
      </w:r>
      <w:r>
        <w:rPr>
          <w:rFonts w:hint="eastAsia" w:asciiTheme="minorEastAsia" w:hAnsiTheme="minorEastAsia" w:eastAsiaTheme="minorEastAsia" w:cstheme="minorEastAsia"/>
          <w:b w:val="0"/>
          <w:bCs/>
          <w:color w:val="000000"/>
          <w:spacing w:val="-11"/>
          <w:sz w:val="24"/>
          <w:szCs w:val="24"/>
          <w:lang w:val="en-US" w:eastAsia="zh-CN"/>
        </w:rPr>
        <w:t>3</w:t>
      </w:r>
      <w:r>
        <w:rPr>
          <w:rFonts w:hint="eastAsia" w:asciiTheme="minorEastAsia" w:hAnsiTheme="minorEastAsia" w:eastAsiaTheme="minorEastAsia" w:cstheme="minorEastAsia"/>
          <w:b w:val="0"/>
          <w:bCs/>
          <w:color w:val="000000"/>
          <w:spacing w:val="-11"/>
          <w:sz w:val="24"/>
          <w:szCs w:val="24"/>
        </w:rPr>
        <w:t>6名人员参加了答题活动，以测促学，推动工作人员学习宣传贯彻政府信息公开相关法律。</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二、主动公开政府信息情况</w:t>
      </w:r>
    </w:p>
    <w:tbl>
      <w:tblPr>
        <w:tblStyle w:val="5"/>
        <w:tblpPr w:leftFromText="180" w:rightFromText="180" w:vertAnchor="text" w:horzAnchor="page" w:tblpX="2149" w:tblpY="203"/>
        <w:tblOverlap w:val="never"/>
        <w:tblW w:w="0" w:type="auto"/>
        <w:tblInd w:w="0" w:type="dxa"/>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411"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13"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90"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80" w:hRule="atLeast"/>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06"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center"/>
              <w:rPr>
                <w:sz w:val="20"/>
                <w:szCs w:val="20"/>
              </w:rPr>
            </w:pPr>
          </w:p>
        </w:tc>
      </w:tr>
      <w:tr>
        <w:tblPrEx>
          <w:tblCellMar>
            <w:top w:w="0" w:type="dxa"/>
            <w:left w:w="0" w:type="dxa"/>
            <w:bottom w:w="0" w:type="dxa"/>
            <w:right w:w="0" w:type="dxa"/>
          </w:tblCellMar>
        </w:tblPrEx>
        <w:trPr>
          <w:trHeight w:val="406" w:hRule="atLeast"/>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404"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color w:val="262626" w:themeColor="text1" w:themeTint="D9"/>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0"/>
                <w:szCs w:val="20"/>
                <w14:textFill>
                  <w14:solidFill>
                    <w14:schemeClr w14:val="tx1">
                      <w14:lumMod w14:val="85000"/>
                      <w14:lumOff w14:val="15000"/>
                    </w14:schemeClr>
                  </w14:solidFill>
                </w14:textFill>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sz w:val="20"/>
                <w:szCs w:val="20"/>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32"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color w:val="262626" w:themeColor="text1" w:themeTint="D9"/>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0"/>
                <w:szCs w:val="20"/>
                <w14:textFill>
                  <w14:solidFill>
                    <w14:schemeClr w14:val="tx1">
                      <w14:lumMod w14:val="85000"/>
                      <w14:lumOff w14:val="15000"/>
                    </w14:schemeClr>
                  </w14:solidFill>
                </w14:textFill>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74" w:hRule="atLeast"/>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88"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452"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outlineLvl w:val="0"/>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三、收到和处理政府信息公开申请情况</w:t>
      </w:r>
    </w:p>
    <w:tbl>
      <w:tblPr>
        <w:tblStyle w:val="5"/>
        <w:tblpPr w:leftFromText="180" w:rightFromText="180" w:vertAnchor="text" w:horzAnchor="page" w:tblpX="1399" w:tblpY="80"/>
        <w:tblOverlap w:val="never"/>
        <w:tblW w:w="874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2779"/>
        <w:gridCol w:w="519"/>
        <w:gridCol w:w="678"/>
        <w:gridCol w:w="735"/>
        <w:gridCol w:w="678"/>
        <w:gridCol w:w="649"/>
        <w:gridCol w:w="548"/>
        <w:gridCol w:w="4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25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jc w:val="center"/>
              <w:rPr>
                <w:rFonts w:hint="eastAsia" w:ascii="宋体"/>
                <w:sz w:val="24"/>
                <w:szCs w:val="24"/>
              </w:rPr>
            </w:pPr>
          </w:p>
        </w:tc>
        <w:tc>
          <w:tcPr>
            <w:tcW w:w="519"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8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447"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jc w:val="center"/>
              <w:rPr>
                <w:rFonts w:hint="eastAsia" w:ascii="宋体"/>
                <w:sz w:val="24"/>
                <w:szCs w:val="24"/>
              </w:rPr>
            </w:pPr>
          </w:p>
        </w:tc>
        <w:tc>
          <w:tcPr>
            <w:tcW w:w="519" w:type="dxa"/>
            <w:vMerge w:val="continue"/>
            <w:tcBorders>
              <w:top w:val="nil"/>
              <w:left w:val="nil"/>
              <w:bottom w:val="single"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7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4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447"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一、本年新收政府信息公开申请数量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二、上年结转政府信息公开申请数量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三、本年度办理结果</w:t>
            </w: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（一）予以公开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（三）不予公开</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1.属于国家秘密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2.其他法律行政法规禁止公开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3.危及“三安全一稳定”</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4.保护第三方合法权益</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5.属于三类内部事务信息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6.属于四类过程性信息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7.属于行政执法案卷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8.属于行政查询事项</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（四）无法提供</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1.本机关不掌握相关政府信息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2.没有现成信息需要另行制作</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3.补正后申请内容仍不明确</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（五）不予处理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1.信访举报投诉类申请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2.重复申请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3.要求提供公开出版物</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4.无正当理由大量反复申请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5.要求行政机关确认或重新出具已获取信息</w:t>
            </w:r>
          </w:p>
        </w:tc>
        <w:tc>
          <w:tcPr>
            <w:tcW w:w="51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（六）其他处理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3.其他</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jc w:val="cente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（七）总计</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四、结转下年度继续办理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jc w:val="center"/>
              <w:rPr>
                <w:rFonts w:hint="eastAsia" w:ascii="宋体" w:eastAsia="仿宋_GB2312"/>
                <w:sz w:val="24"/>
                <w:szCs w:val="24"/>
                <w:lang w:val="en-US" w:eastAsia="zh-CN"/>
              </w:rPr>
            </w:pPr>
            <w:r>
              <w:rPr>
                <w:rFonts w:hint="eastAsia" w:ascii="宋体"/>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outlineLvl w:val="0"/>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四、政府信息公开行政复议、行政诉讼情况</w:t>
      </w:r>
    </w:p>
    <w:tbl>
      <w:tblPr>
        <w:tblStyle w:val="5"/>
        <w:tblpPr w:leftFromText="180" w:rightFromText="180" w:vertAnchor="text" w:horzAnchor="page" w:tblpX="1461" w:tblpY="184"/>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78"/>
        <w:gridCol w:w="620"/>
        <w:gridCol w:w="634"/>
        <w:gridCol w:w="390"/>
        <w:gridCol w:w="678"/>
        <w:gridCol w:w="721"/>
        <w:gridCol w:w="663"/>
        <w:gridCol w:w="693"/>
        <w:gridCol w:w="389"/>
        <w:gridCol w:w="736"/>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2971"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332"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78"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20"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4"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90"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14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8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ascii="宋体"/>
                <w:sz w:val="24"/>
                <w:szCs w:val="24"/>
              </w:rPr>
            </w:pPr>
          </w:p>
        </w:tc>
        <w:tc>
          <w:tcPr>
            <w:tcW w:w="678"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ascii="宋体"/>
                <w:sz w:val="24"/>
                <w:szCs w:val="24"/>
              </w:rPr>
            </w:pPr>
          </w:p>
        </w:tc>
        <w:tc>
          <w:tcPr>
            <w:tcW w:w="620"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ascii="宋体"/>
                <w:sz w:val="24"/>
                <w:szCs w:val="24"/>
              </w:rPr>
            </w:pPr>
          </w:p>
        </w:tc>
        <w:tc>
          <w:tcPr>
            <w:tcW w:w="634"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ascii="宋体"/>
                <w:sz w:val="24"/>
                <w:szCs w:val="24"/>
              </w:rPr>
            </w:pPr>
          </w:p>
        </w:tc>
        <w:tc>
          <w:tcPr>
            <w:tcW w:w="390"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ascii="宋体"/>
                <w:sz w:val="24"/>
                <w:szCs w:val="24"/>
              </w:rPr>
            </w:pP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9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3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lang w:val="en-US"/>
              </w:rPr>
            </w:pPr>
            <w:r>
              <w:rPr>
                <w:rFonts w:hint="eastAsia" w:ascii="黑体" w:hAnsi="宋体" w:eastAsia="黑体" w:cs="黑体"/>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lang w:val="en-US"/>
              </w:rPr>
            </w:pPr>
            <w:r>
              <w:rPr>
                <w:rFonts w:hint="eastAsia" w:ascii="黑体" w:hAnsi="宋体" w:eastAsia="黑体" w:cs="黑体"/>
                <w:color w:val="auto"/>
                <w:kern w:val="0"/>
                <w:sz w:val="20"/>
                <w:szCs w:val="20"/>
                <w:lang w:val="en-US" w:eastAsia="zh-CN" w:bidi="ar"/>
              </w:rPr>
              <w:t>0</w:t>
            </w:r>
          </w:p>
        </w:tc>
        <w:tc>
          <w:tcPr>
            <w:tcW w:w="62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lang w:val="en-US"/>
              </w:rPr>
            </w:pPr>
            <w:r>
              <w:rPr>
                <w:rFonts w:hint="eastAsia" w:ascii="黑体" w:hAnsi="宋体" w:eastAsia="黑体" w:cs="黑体"/>
                <w:color w:val="auto"/>
                <w:kern w:val="0"/>
                <w:sz w:val="20"/>
                <w:szCs w:val="20"/>
                <w:lang w:val="en-US" w:eastAsia="zh-CN" w:bidi="ar"/>
              </w:rPr>
              <w:t>0</w:t>
            </w:r>
          </w:p>
        </w:tc>
        <w:tc>
          <w:tcPr>
            <w:tcW w:w="63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黑体" w:hAnsi="宋体" w:eastAsia="黑体" w:cs="黑体"/>
                <w:color w:val="auto"/>
                <w:kern w:val="0"/>
                <w:sz w:val="20"/>
                <w:szCs w:val="20"/>
                <w:lang w:val="en-US" w:eastAsia="zh-CN" w:bidi="ar"/>
              </w:rPr>
              <w:t>0</w:t>
            </w:r>
          </w:p>
        </w:tc>
        <w:tc>
          <w:tcPr>
            <w:tcW w:w="39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黑体" w:hAnsi="宋体" w:eastAsia="黑体" w:cs="黑体"/>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lang w:val="en-US"/>
              </w:rPr>
            </w:pPr>
            <w:r>
              <w:rPr>
                <w:rFonts w:hint="eastAsia" w:ascii="黑体" w:hAnsi="宋体" w:eastAsia="黑体" w:cs="黑体"/>
                <w:color w:val="auto"/>
                <w:kern w:val="0"/>
                <w:sz w:val="20"/>
                <w:szCs w:val="20"/>
                <w:lang w:val="en-US" w:eastAsia="zh-CN" w:bidi="ar"/>
              </w:rPr>
              <w:t>0</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lang w:val="en-US"/>
              </w:rPr>
            </w:pPr>
            <w:r>
              <w:rPr>
                <w:rFonts w:hint="eastAsia" w:ascii="黑体" w:hAnsi="宋体" w:eastAsia="黑体" w:cs="黑体"/>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黑体" w:hAnsi="宋体" w:eastAsia="黑体" w:cs="黑体"/>
                <w:color w:val="auto"/>
                <w:kern w:val="0"/>
                <w:sz w:val="20"/>
                <w:szCs w:val="20"/>
                <w:lang w:val="en-US" w:eastAsia="zh-CN" w:bidi="ar"/>
              </w:rPr>
              <w:t>0</w:t>
            </w:r>
          </w:p>
        </w:tc>
        <w:tc>
          <w:tcPr>
            <w:tcW w:w="69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黑体" w:hAnsi="宋体" w:eastAsia="黑体" w:cs="黑体"/>
                <w:color w:val="auto"/>
                <w:kern w:val="0"/>
                <w:sz w:val="20"/>
                <w:szCs w:val="20"/>
                <w:lang w:val="en-US" w:eastAsia="zh-CN" w:bidi="ar"/>
              </w:rPr>
              <w:t>0</w:t>
            </w:r>
          </w:p>
        </w:tc>
        <w:tc>
          <w:tcPr>
            <w:tcW w:w="38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lang w:val="en-US"/>
              </w:rPr>
            </w:pPr>
            <w:r>
              <w:rPr>
                <w:rFonts w:hint="eastAsia" w:ascii="黑体" w:hAnsi="宋体" w:eastAsia="黑体" w:cs="黑体"/>
                <w:color w:val="auto"/>
                <w:kern w:val="0"/>
                <w:sz w:val="20"/>
                <w:szCs w:val="20"/>
                <w:lang w:val="en-US" w:eastAsia="zh-CN" w:bidi="ar"/>
              </w:rPr>
              <w:t>0</w:t>
            </w:r>
          </w:p>
        </w:tc>
        <w:tc>
          <w:tcPr>
            <w:tcW w:w="73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黑体" w:hAnsi="宋体" w:eastAsia="黑体" w:cs="黑体"/>
                <w:color w:val="auto"/>
                <w:kern w:val="0"/>
                <w:sz w:val="20"/>
                <w:szCs w:val="20"/>
                <w:lang w:val="en-US"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黑体" w:hAnsi="宋体" w:eastAsia="黑体" w:cs="黑体"/>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lang w:val="en-US"/>
              </w:rPr>
            </w:pPr>
            <w:r>
              <w:rPr>
                <w:rFonts w:hint="eastAsia" w:ascii="黑体" w:hAnsi="宋体" w:eastAsia="黑体" w:cs="黑体"/>
                <w:color w:val="auto"/>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黑体" w:hAnsi="宋体" w:eastAsia="黑体" w:cs="黑体"/>
                <w:color w:val="auto"/>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eastAsia" w:ascii="宋体" w:eastAsia="仿宋_GB2312"/>
                <w:sz w:val="24"/>
                <w:szCs w:val="24"/>
                <w:lang w:val="en-US" w:eastAsia="zh-CN"/>
              </w:rPr>
            </w:pPr>
            <w:r>
              <w:rPr>
                <w:rFonts w:hint="eastAsia" w:ascii="宋体"/>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五、</w:t>
      </w:r>
      <w:r>
        <w:rPr>
          <w:rFonts w:hint="eastAsia" w:asciiTheme="minorEastAsia" w:hAnsiTheme="minorEastAsia" w:eastAsiaTheme="minorEastAsia" w:cstheme="minorEastAsia"/>
          <w:b/>
          <w:bCs/>
          <w:sz w:val="24"/>
          <w:szCs w:val="24"/>
        </w:rPr>
        <w:t>存在的主要问题及改进情况</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存在的问题：</w:t>
      </w:r>
      <w:r>
        <w:rPr>
          <w:rFonts w:hint="eastAsia" w:asciiTheme="minorEastAsia" w:hAnsiTheme="minorEastAsia" w:eastAsiaTheme="minorEastAsia" w:cstheme="minorEastAsia"/>
          <w:b w:val="0"/>
          <w:bCs w:val="0"/>
          <w:sz w:val="24"/>
          <w:szCs w:val="24"/>
        </w:rPr>
        <w:t>公民参与政务公开工作的意识</w:t>
      </w:r>
      <w:r>
        <w:rPr>
          <w:rFonts w:hint="eastAsia" w:asciiTheme="minorEastAsia" w:hAnsiTheme="minorEastAsia" w:eastAsiaTheme="minorEastAsia" w:cstheme="minorEastAsia"/>
          <w:b w:val="0"/>
          <w:bCs w:val="0"/>
          <w:sz w:val="24"/>
          <w:szCs w:val="24"/>
          <w:lang w:eastAsia="zh-CN"/>
        </w:rPr>
        <w:t>淡薄</w:t>
      </w:r>
      <w:r>
        <w:rPr>
          <w:rFonts w:hint="eastAsia" w:asciiTheme="minorEastAsia" w:hAnsiTheme="minorEastAsia" w:eastAsiaTheme="minorEastAsia" w:cstheme="minorEastAsia"/>
          <w:b w:val="0"/>
          <w:bCs w:val="0"/>
          <w:sz w:val="24"/>
          <w:szCs w:val="24"/>
        </w:rPr>
        <w:t>，网上互动不够。尽管政务公开也做了大量的宣传工作，但人民群众对政务公开的认识重视不够，对于非公开的内容界定不理解，对于依法申请公开的流程认识不到位。</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改进措施：</w:t>
      </w:r>
      <w:r>
        <w:rPr>
          <w:rFonts w:hint="eastAsia" w:asciiTheme="minorEastAsia" w:hAnsiTheme="minorEastAsia" w:eastAsiaTheme="minorEastAsia" w:cstheme="minorEastAsia"/>
          <w:b w:val="0"/>
          <w:bCs w:val="0"/>
          <w:sz w:val="24"/>
          <w:szCs w:val="24"/>
        </w:rPr>
        <w:t>提升公民意识，促进转变政务公开职能。树立服务、平等的沟通意识，充分认识群众对于新媒体政务公开的重要性，加大基层政府的职能转变，转变传统管理理念思想，真正转变到服务群众的理念上来，优化处理信息公关危机的能力，强化思想认识，时刻做好政务公开等信息公开危机公关备战状态。加大群众对政务公开的满意度测评和意见反馈频率，真正把服务理念贯穿始终，取计于民、用计于民。</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我</w:t>
      </w:r>
      <w:r>
        <w:rPr>
          <w:rFonts w:hint="eastAsia" w:asciiTheme="minorEastAsia" w:hAnsiTheme="minorEastAsia" w:eastAsiaTheme="minorEastAsia" w:cstheme="minorEastAsia"/>
          <w:b w:val="0"/>
          <w:bCs w:val="0"/>
          <w:sz w:val="24"/>
          <w:szCs w:val="24"/>
          <w:lang w:eastAsia="zh-CN"/>
        </w:rPr>
        <w:t>乡</w:t>
      </w:r>
      <w:r>
        <w:rPr>
          <w:rFonts w:hint="eastAsia" w:asciiTheme="minorEastAsia" w:hAnsiTheme="minorEastAsia" w:eastAsiaTheme="minorEastAsia" w:cstheme="minorEastAsia"/>
          <w:b w:val="0"/>
          <w:bCs w:val="0"/>
          <w:sz w:val="24"/>
          <w:szCs w:val="24"/>
        </w:rPr>
        <w:t>认真贯彻执行国务院办公厅《政府信息公开信息处理费管理办法》，</w:t>
      </w:r>
      <w:r>
        <w:rPr>
          <w:rFonts w:hint="eastAsia" w:asciiTheme="minorEastAsia" w:hAnsiTheme="minorEastAsia" w:eastAsiaTheme="minorEastAsia" w:cstheme="minorEastAsia"/>
          <w:b w:val="0"/>
          <w:bCs w:val="0"/>
          <w:sz w:val="24"/>
          <w:szCs w:val="24"/>
          <w:lang w:eastAsia="zh-CN"/>
        </w:rPr>
        <w:t>本年度</w:t>
      </w:r>
      <w:r>
        <w:rPr>
          <w:rFonts w:hint="eastAsia" w:asciiTheme="minorEastAsia" w:hAnsiTheme="minorEastAsia" w:eastAsiaTheme="minorEastAsia" w:cstheme="minorEastAsia"/>
          <w:b w:val="0"/>
          <w:bCs w:val="0"/>
          <w:sz w:val="24"/>
          <w:szCs w:val="24"/>
        </w:rPr>
        <w:t>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TJmYTU0NjNiMzI5YjRlNzViYTY3MzE5ZGQyOGMifQ=="/>
  </w:docVars>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3352AC6"/>
    <w:rsid w:val="09813DFD"/>
    <w:rsid w:val="0B2121D5"/>
    <w:rsid w:val="11B05C5A"/>
    <w:rsid w:val="19DE11D5"/>
    <w:rsid w:val="1A0F4175"/>
    <w:rsid w:val="1FED3946"/>
    <w:rsid w:val="238E43F5"/>
    <w:rsid w:val="2536224C"/>
    <w:rsid w:val="2A91682A"/>
    <w:rsid w:val="2E0028ED"/>
    <w:rsid w:val="2E8A0E7B"/>
    <w:rsid w:val="341765DF"/>
    <w:rsid w:val="38CB1FBA"/>
    <w:rsid w:val="3B214D37"/>
    <w:rsid w:val="3E5B229F"/>
    <w:rsid w:val="48277AF0"/>
    <w:rsid w:val="4D617EE6"/>
    <w:rsid w:val="4E137BDD"/>
    <w:rsid w:val="4FD1323D"/>
    <w:rsid w:val="541E6540"/>
    <w:rsid w:val="571C05B0"/>
    <w:rsid w:val="5A6F3991"/>
    <w:rsid w:val="5DFD75D8"/>
    <w:rsid w:val="5ECD6294"/>
    <w:rsid w:val="61022B79"/>
    <w:rsid w:val="68C13E1A"/>
    <w:rsid w:val="695D0560"/>
    <w:rsid w:val="69C937CA"/>
    <w:rsid w:val="6E294642"/>
    <w:rsid w:val="6FDF47DB"/>
    <w:rsid w:val="71A62D78"/>
    <w:rsid w:val="72826491"/>
    <w:rsid w:val="74ED2BBE"/>
    <w:rsid w:val="764322DF"/>
    <w:rsid w:val="77BB3DCB"/>
    <w:rsid w:val="7A5373A5"/>
    <w:rsid w:val="7D292759"/>
    <w:rsid w:val="7DDEB177"/>
    <w:rsid w:val="7E2247C9"/>
    <w:rsid w:val="7ED53247"/>
    <w:rsid w:val="7EF7734E"/>
    <w:rsid w:val="7FA76860"/>
    <w:rsid w:val="7FE38852"/>
    <w:rsid w:val="BF78D860"/>
    <w:rsid w:val="EB3FEC48"/>
    <w:rsid w:val="EEFBE06F"/>
    <w:rsid w:val="EF7B5EE5"/>
    <w:rsid w:val="F75718EB"/>
    <w:rsid w:val="FDFE2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0"/>
    <w:rPr>
      <w:rFonts w:ascii="仿宋_GB2312" w:eastAsia="仿宋_GB2312"/>
      <w:kern w:val="2"/>
      <w:sz w:val="18"/>
      <w:szCs w:val="18"/>
    </w:rPr>
  </w:style>
  <w:style w:type="character" w:customStyle="1" w:styleId="9">
    <w:name w:val="页脚 Char"/>
    <w:basedOn w:val="7"/>
    <w:link w:val="2"/>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2228</Words>
  <Characters>2276</Characters>
  <Lines>25</Lines>
  <Paragraphs>7</Paragraphs>
  <TotalTime>4</TotalTime>
  <ScaleCrop>false</ScaleCrop>
  <LinksUpToDate>false</LinksUpToDate>
  <CharactersWithSpaces>2279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2020-01-01T03:38:00Z</dcterms:created>
  <dc:creator>小公举</dc:creator>
  <cp:lastModifiedBy>Administrator</cp:lastModifiedBy>
  <cp:lastPrinted>2022-01-14T18:30:00Z</cp:lastPrinted>
  <dcterms:modified xsi:type="dcterms:W3CDTF">2024-06-03T03:55:48Z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988F833BC73349189A523A2B5B430D37</vt:lpwstr>
  </property>
</Properties>
</file>