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926" w:firstLineChars="70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台峪乡人民政府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firstLine="596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2024年度主动公开政府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/>
          <w:bCs/>
          <w:color w:val="333333"/>
          <w:spacing w:val="6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</w:t>
      </w:r>
      <w:r>
        <w:rPr>
          <w:rFonts w:hint="eastAsia"/>
          <w:bCs/>
          <w:color w:val="333333"/>
          <w:spacing w:val="6"/>
          <w:shd w:val="clear" w:color="auto" w:fill="FFFFFF"/>
          <w:lang w:val="en-US" w:eastAsia="zh-CN"/>
        </w:rPr>
        <w:t>2024年度主动公开政府信息0条。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99" w:firstLineChars="1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，结转下年度0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我乡明确政府信息公开义务主体，按照《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台峪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乡权责清单》《阜平县基层政务公开标准目录汇编》，梳理确定了一批政府信息公开义务主体，在县政府门户网站上主动公开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/>
          <w:color w:val="auto"/>
          <w:spacing w:val="6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/>
          <w:color w:val="333333"/>
          <w:spacing w:val="6"/>
          <w:shd w:val="clear" w:color="auto" w:fill="FFFFFF"/>
        </w:rPr>
        <w:t>进一步加强政务新媒体管理，充分依托政务新媒体平台，做好信息发布、政策解读和办事服务工作。</w:t>
      </w:r>
      <w:r>
        <w:rPr>
          <w:rFonts w:hint="eastAsia"/>
          <w:color w:val="auto"/>
          <w:spacing w:val="6"/>
          <w:shd w:val="clear" w:color="auto" w:fill="FFFFFF"/>
        </w:rPr>
        <w:t>202</w:t>
      </w:r>
      <w:r>
        <w:rPr>
          <w:rFonts w:hint="eastAsia"/>
          <w:color w:val="auto"/>
          <w:spacing w:val="6"/>
          <w:shd w:val="clear" w:color="auto" w:fill="FFFFFF"/>
          <w:lang w:val="en-US" w:eastAsia="zh-CN"/>
        </w:rPr>
        <w:t>4</w:t>
      </w:r>
      <w:r>
        <w:rPr>
          <w:rFonts w:hint="eastAsia"/>
          <w:color w:val="auto"/>
          <w:spacing w:val="6"/>
          <w:shd w:val="clear" w:color="auto" w:fill="FFFFFF"/>
        </w:rPr>
        <w:t>年共发布政务信息</w:t>
      </w:r>
      <w:r>
        <w:rPr>
          <w:rFonts w:hint="eastAsia"/>
          <w:color w:val="auto"/>
          <w:spacing w:val="6"/>
          <w:shd w:val="clear" w:color="auto" w:fill="FFFFFF"/>
          <w:lang w:val="en-US" w:eastAsia="zh-CN"/>
        </w:rPr>
        <w:t>122条</w:t>
      </w:r>
      <w:r>
        <w:rPr>
          <w:rFonts w:hint="eastAsia"/>
          <w:color w:val="auto"/>
          <w:spacing w:val="6"/>
          <w:shd w:val="clear" w:color="auto" w:fill="FFFFFF"/>
        </w:rPr>
        <w:t>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664" w:firstLineChars="200"/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  <w:t xml:space="preserve">（一）加强组织领导。成立以党委书记为组长的政务公开工作领导小组，对全年工作做出重要安排部署，并及时研究解决政务公开和政府信息公开工作中重大问题。 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664" w:firstLineChars="200"/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  <w:t>（二）完善机构建设。明确宣传股具体承担政务公开工作，配备1名工作人员专门负责单位政务公开工作。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664" w:firstLineChars="200"/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  <w:t>（三）深化宣传引导。通过县、乡、村公示栏等形式向社会宣传政务公开工作，今后我单位将加大向县政府政务公开部门信息报送力度，大力宣传政务公开新举措、新成效。</w:t>
      </w:r>
    </w:p>
    <w:p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480" w:lineRule="exact"/>
        <w:ind w:firstLine="766" w:firstLineChars="231"/>
        <w:jc w:val="both"/>
        <w:textAlignment w:val="auto"/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333333"/>
          <w:spacing w:val="6"/>
          <w:kern w:val="2"/>
          <w:sz w:val="32"/>
          <w:szCs w:val="24"/>
          <w:shd w:val="clear" w:color="auto" w:fill="FFFFFF"/>
          <w:lang w:val="en-US" w:eastAsia="zh-CN" w:bidi="ar-SA"/>
        </w:rPr>
        <w:t>（四）强化业务知识学习。按照省、市、县要求，于7月2日组织开展政府信息公开法律知识学习问答活动，本单位共46名人员参加了答题活动，以测促学，推动工作人员学习宣传贯彻政府信息公开相关法律。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一、思想认识不足，需提高。政务信息公开透明，既有利于满足公众的知情权，也有利于实现公众对政府的监督，促进建设廉洁、高效、法治政府。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二、文章创作不精，需改进。政务信息网站作为一个公开的政务平台，文稿质量的高低间接影响群众对乡政府工作的满意度。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改进情况：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一、加强学习，争做“百事通”。学习是第一要务，常学常新有利于促进业务能力的提高。乡分管领导将定期组织专职人员集中学习《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中华人民共和国政府信息公开条例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等文件，并对专职人员不定期进行抽查考核，力争实现弄懂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文件、明白细则、操作规范。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二、厘清职责，落实“责任单”。一方面做好对公开属性源头认定。结合我乡实际，按照“谁拟稿、谁审批、谁负责”原则，制定文件审签表、公开保密审查表等文件，明确责任属性，严格规范审批程序。二方面，认真梳理我乡政府信息公开平台各栏目信息公开情况：把属主动公开的政府信息逐条列出，及时公开；对于个别栏目信息发布不对应问题及时整改；对于部分栏目公开内容不够完善问题已进行补充完善，加强对重点领域信息的发布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640" w:firstLineChars="200"/>
        <w:jc w:val="both"/>
        <w:outlineLvl w:val="0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暂无其他需要说明的事项。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pStyle w:val="2"/>
        <w:shd w:val="clea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pStyle w:val="2"/>
        <w:shd w:val="clea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pStyle w:val="2"/>
        <w:shd w:val="clear"/>
        <w:ind w:firstLine="4160" w:firstLineChars="13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台峪乡人民政府</w:t>
      </w:r>
    </w:p>
    <w:p>
      <w:pPr>
        <w:pStyle w:val="2"/>
        <w:shd w:val="clear"/>
        <w:ind w:firstLine="4160" w:firstLineChars="13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2025年1月9日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8A32A"/>
    <w:multiLevelType w:val="singleLevel"/>
    <w:tmpl w:val="16F8A32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E5C7C80"/>
    <w:rsid w:val="0F0C223F"/>
    <w:rsid w:val="0FF935DB"/>
    <w:rsid w:val="11B05C5A"/>
    <w:rsid w:val="13083D49"/>
    <w:rsid w:val="15836008"/>
    <w:rsid w:val="1852701D"/>
    <w:rsid w:val="19DE11D5"/>
    <w:rsid w:val="1A0F4175"/>
    <w:rsid w:val="1EFC934B"/>
    <w:rsid w:val="1FB15427"/>
    <w:rsid w:val="238E43F5"/>
    <w:rsid w:val="23F630A6"/>
    <w:rsid w:val="26B5A241"/>
    <w:rsid w:val="29477282"/>
    <w:rsid w:val="2E8A0E7B"/>
    <w:rsid w:val="33FE1278"/>
    <w:rsid w:val="341765DF"/>
    <w:rsid w:val="3554618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D72C5A"/>
    <w:rsid w:val="53FFD66A"/>
    <w:rsid w:val="541E6540"/>
    <w:rsid w:val="543B48AE"/>
    <w:rsid w:val="571C05B0"/>
    <w:rsid w:val="5A6F3991"/>
    <w:rsid w:val="5B5D1369"/>
    <w:rsid w:val="5C584BD7"/>
    <w:rsid w:val="5D4F0FEF"/>
    <w:rsid w:val="5D8A083A"/>
    <w:rsid w:val="5ECB7D14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EA3114D"/>
    <w:rsid w:val="6FDF47DB"/>
    <w:rsid w:val="6FFF0CB4"/>
    <w:rsid w:val="71A62D78"/>
    <w:rsid w:val="723B79AB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E051D4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11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2025-01-09T02:50:00Z</cp:lastPrinted>
  <dcterms:modified xsi:type="dcterms:W3CDTF">2025-04-02T06:35:08Z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