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hint="eastAsia" w:cs="方正小标宋简体" w:asciiTheme="majorEastAsia" w:hAnsiTheme="majorEastAsia" w:eastAsiaTheme="majorEastAsia"/>
          <w:b/>
          <w:color w:val="C00000"/>
          <w:spacing w:val="-11"/>
          <w:sz w:val="36"/>
          <w:szCs w:val="36"/>
          <w:lang w:val="en-US" w:eastAsia="zh-CN"/>
        </w:rPr>
      </w:pPr>
      <w:bookmarkStart w:id="0" w:name="_GoBack"/>
      <w:r>
        <w:rPr>
          <w:rFonts w:hint="eastAsia" w:cs="方正小标宋简体" w:asciiTheme="majorEastAsia" w:hAnsiTheme="majorEastAsia" w:eastAsiaTheme="majorEastAsia"/>
          <w:b/>
          <w:color w:val="000000"/>
          <w:spacing w:val="-11"/>
          <w:sz w:val="36"/>
          <w:szCs w:val="36"/>
          <w:lang w:val="en-US" w:eastAsia="zh-CN"/>
        </w:rPr>
        <w:t>阜平镇人民政府</w:t>
      </w:r>
    </w:p>
    <w:p>
      <w:pPr>
        <w:spacing w:line="540" w:lineRule="exact"/>
        <w:jc w:val="center"/>
        <w:rPr>
          <w:rFonts w:hint="eastAsia" w:cs="方正小标宋简体" w:asciiTheme="majorEastAsia" w:hAnsiTheme="majorEastAsia" w:eastAsiaTheme="majorEastAsia"/>
          <w:b/>
          <w:color w:val="000000"/>
          <w:spacing w:val="-11"/>
          <w:sz w:val="36"/>
          <w:szCs w:val="36"/>
        </w:rPr>
      </w:pPr>
      <w:r>
        <w:rPr>
          <w:rFonts w:hint="eastAsia" w:cs="方正小标宋简体" w:asciiTheme="majorEastAsia" w:hAnsiTheme="majorEastAsia" w:eastAsiaTheme="majorEastAsia"/>
          <w:b/>
          <w:color w:val="000000"/>
          <w:spacing w:val="-11"/>
          <w:sz w:val="36"/>
          <w:szCs w:val="36"/>
        </w:rPr>
        <w:t>202</w:t>
      </w:r>
      <w:r>
        <w:rPr>
          <w:rFonts w:hint="eastAsia" w:cs="方正小标宋简体" w:asciiTheme="majorEastAsia" w:hAnsiTheme="majorEastAsia" w:eastAsiaTheme="majorEastAsia"/>
          <w:b/>
          <w:color w:val="000000"/>
          <w:spacing w:val="-11"/>
          <w:sz w:val="36"/>
          <w:szCs w:val="36"/>
          <w:lang w:val="en-US" w:eastAsia="zh-CN"/>
        </w:rPr>
        <w:t>3</w:t>
      </w:r>
      <w:r>
        <w:rPr>
          <w:rFonts w:hint="eastAsia" w:cs="方正小标宋简体" w:asciiTheme="majorEastAsia" w:hAnsiTheme="majorEastAsia" w:eastAsiaTheme="majorEastAsia"/>
          <w:b/>
          <w:color w:val="000000"/>
          <w:spacing w:val="-11"/>
          <w:sz w:val="36"/>
          <w:szCs w:val="36"/>
        </w:rPr>
        <w:t>年政府信息公开工作年度报告</w:t>
      </w:r>
    </w:p>
    <w:bookmarkEnd w:id="0"/>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lang w:eastAsia="zh-CN"/>
        </w:rPr>
        <w:t>根</w:t>
      </w:r>
      <w:r>
        <w:rPr>
          <w:rFonts w:hint="eastAsia" w:asciiTheme="minorEastAsia" w:hAnsiTheme="minorEastAsia" w:eastAsiaTheme="minorEastAsia" w:cstheme="minorEastAsia"/>
          <w:b w:val="0"/>
          <w:bCs/>
          <w:color w:val="000000"/>
          <w:spacing w:val="-11"/>
          <w:sz w:val="24"/>
          <w:szCs w:val="24"/>
        </w:rPr>
        <w:t>据《中华人民共和国政府信息公开条例》《</w:t>
      </w:r>
      <w:r>
        <w:rPr>
          <w:rFonts w:hint="eastAsia" w:asciiTheme="minorEastAsia" w:hAnsiTheme="minorEastAsia" w:eastAsiaTheme="minorEastAsia" w:cstheme="minorEastAsia"/>
          <w:b w:val="0"/>
          <w:bCs/>
          <w:color w:val="000000"/>
          <w:spacing w:val="-11"/>
          <w:sz w:val="24"/>
          <w:szCs w:val="24"/>
          <w:lang w:eastAsia="zh-CN"/>
        </w:rPr>
        <w:t>河北省实施</w:t>
      </w:r>
      <w:r>
        <w:rPr>
          <w:rFonts w:hint="eastAsia" w:asciiTheme="minorEastAsia" w:hAnsiTheme="minorEastAsia" w:eastAsiaTheme="minorEastAsia" w:cstheme="minorEastAsia"/>
          <w:b w:val="0"/>
          <w:bCs/>
          <w:color w:val="000000"/>
          <w:spacing w:val="-11"/>
          <w:sz w:val="24"/>
          <w:szCs w:val="24"/>
          <w:lang w:val="en-US" w:eastAsia="zh-CN"/>
        </w:rPr>
        <w:t xml:space="preserve"> </w:t>
      </w:r>
      <w:r>
        <w:rPr>
          <w:rFonts w:hint="eastAsia" w:ascii="CESI仿宋-GB2312" w:hAnsi="CESI仿宋-GB2312" w:eastAsia="CESI仿宋-GB2312" w:cs="CESI仿宋-GB2312"/>
          <w:b w:val="0"/>
          <w:bCs/>
          <w:color w:val="000000"/>
          <w:spacing w:val="-11"/>
          <w:sz w:val="24"/>
          <w:szCs w:val="24"/>
          <w:lang w:eastAsia="zh-CN"/>
        </w:rPr>
        <w:t>&lt;</w:t>
      </w:r>
      <w:r>
        <w:rPr>
          <w:rFonts w:hint="eastAsia" w:asciiTheme="minorEastAsia" w:hAnsiTheme="minorEastAsia" w:eastAsiaTheme="minorEastAsia" w:cstheme="minorEastAsia"/>
          <w:b w:val="0"/>
          <w:bCs/>
          <w:color w:val="000000"/>
          <w:spacing w:val="-11"/>
          <w:sz w:val="24"/>
          <w:szCs w:val="24"/>
        </w:rPr>
        <w:t>中华人民共和国政府信息公开</w:t>
      </w:r>
      <w:r>
        <w:rPr>
          <w:rFonts w:hint="eastAsia" w:asciiTheme="minorEastAsia" w:hAnsiTheme="minorEastAsia" w:eastAsiaTheme="minorEastAsia" w:cstheme="minorEastAsia"/>
          <w:b w:val="0"/>
          <w:bCs/>
          <w:color w:val="000000"/>
          <w:spacing w:val="-11"/>
          <w:sz w:val="24"/>
          <w:szCs w:val="24"/>
          <w:lang w:eastAsia="zh-CN"/>
        </w:rPr>
        <w:t>条例</w:t>
      </w:r>
      <w:r>
        <w:rPr>
          <w:rFonts w:hint="eastAsia" w:asciiTheme="minorEastAsia" w:hAnsiTheme="minorEastAsia" w:eastAsiaTheme="minorEastAsia" w:cstheme="minorEastAsia"/>
          <w:b w:val="0"/>
          <w:bCs/>
          <w:color w:val="000000"/>
          <w:spacing w:val="-11"/>
          <w:sz w:val="24"/>
          <w:szCs w:val="24"/>
          <w:lang w:val="en-US" w:eastAsia="zh-CN"/>
        </w:rPr>
        <w:t xml:space="preserve"> </w:t>
      </w:r>
      <w:r>
        <w:rPr>
          <w:rFonts w:hint="eastAsia" w:ascii="CESI仿宋-GB2312" w:hAnsi="CESI仿宋-GB2312" w:eastAsia="CESI仿宋-GB2312" w:cs="CESI仿宋-GB2312"/>
          <w:b w:val="0"/>
          <w:bCs/>
          <w:color w:val="000000"/>
          <w:spacing w:val="-11"/>
          <w:sz w:val="24"/>
          <w:szCs w:val="24"/>
          <w:lang w:eastAsia="zh-CN"/>
        </w:rPr>
        <w:t>&gt;</w:t>
      </w:r>
      <w:r>
        <w:rPr>
          <w:rFonts w:hint="eastAsia" w:ascii="CESI仿宋-GB2312" w:hAnsi="CESI仿宋-GB2312" w:eastAsia="CESI仿宋-GB2312" w:cs="CESI仿宋-GB2312"/>
          <w:b w:val="0"/>
          <w:bCs/>
          <w:color w:val="000000"/>
          <w:spacing w:val="-11"/>
          <w:sz w:val="24"/>
          <w:szCs w:val="24"/>
          <w:lang w:val="en-US" w:eastAsia="zh-CN"/>
        </w:rPr>
        <w:t xml:space="preserve"> </w:t>
      </w:r>
      <w:r>
        <w:rPr>
          <w:rFonts w:hint="eastAsia" w:asciiTheme="minorEastAsia" w:hAnsiTheme="minorEastAsia" w:eastAsiaTheme="minorEastAsia" w:cstheme="minorEastAsia"/>
          <w:b w:val="0"/>
          <w:bCs/>
          <w:color w:val="000000"/>
          <w:spacing w:val="-11"/>
          <w:sz w:val="24"/>
          <w:szCs w:val="24"/>
          <w:lang w:eastAsia="zh-CN"/>
        </w:rPr>
        <w:t>办法</w:t>
      </w:r>
      <w:r>
        <w:rPr>
          <w:rFonts w:hint="eastAsia" w:asciiTheme="minorEastAsia" w:hAnsiTheme="minorEastAsia" w:eastAsiaTheme="minorEastAsia" w:cstheme="minorEastAsia"/>
          <w:b w:val="0"/>
          <w:bCs/>
          <w:color w:val="000000"/>
          <w:spacing w:val="-11"/>
          <w:sz w:val="24"/>
          <w:szCs w:val="24"/>
        </w:rPr>
        <w:t>》</w:t>
      </w:r>
      <w:r>
        <w:rPr>
          <w:rFonts w:hint="eastAsia" w:asciiTheme="minorEastAsia" w:hAnsiTheme="minorEastAsia" w:eastAsiaTheme="minorEastAsia" w:cstheme="minorEastAsia"/>
          <w:b w:val="0"/>
          <w:bCs/>
          <w:color w:val="000000"/>
          <w:spacing w:val="-11"/>
          <w:sz w:val="24"/>
          <w:szCs w:val="24"/>
          <w:lang w:eastAsia="zh-CN"/>
        </w:rPr>
        <w:t>等规定，发布本年度报告</w:t>
      </w:r>
      <w:r>
        <w:rPr>
          <w:rFonts w:hint="eastAsia" w:asciiTheme="minorEastAsia" w:hAnsiTheme="minorEastAsia" w:eastAsiaTheme="minorEastAsia" w:cstheme="minorEastAsia"/>
          <w:b w:val="0"/>
          <w:bCs/>
          <w:color w:val="000000"/>
          <w:spacing w:val="-11"/>
          <w:sz w:val="24"/>
          <w:szCs w:val="24"/>
        </w:rPr>
        <w:t>。报告中所列数据统计期限</w:t>
      </w:r>
      <w:r>
        <w:rPr>
          <w:rFonts w:hint="eastAsia" w:asciiTheme="minorEastAsia" w:hAnsiTheme="minorEastAsia" w:eastAsiaTheme="minorEastAsia" w:cstheme="minorEastAsia"/>
          <w:b w:val="0"/>
          <w:bCs/>
          <w:color w:val="000000"/>
          <w:spacing w:val="-11"/>
          <w:sz w:val="24"/>
          <w:szCs w:val="24"/>
          <w:lang w:eastAsia="zh-CN"/>
        </w:rPr>
        <w:t>为</w:t>
      </w:r>
      <w:r>
        <w:rPr>
          <w:rFonts w:hint="eastAsia" w:asciiTheme="minorEastAsia" w:hAnsiTheme="minorEastAsia" w:eastAsiaTheme="minorEastAsia" w:cstheme="minorEastAsia"/>
          <w:b w:val="0"/>
          <w:bCs/>
          <w:color w:val="000000"/>
          <w:spacing w:val="-11"/>
          <w:sz w:val="24"/>
          <w:szCs w:val="24"/>
        </w:rPr>
        <w:t>2023年1月1日至2023年12月31日。</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val="en-US" w:eastAsia="zh-CN"/>
        </w:rPr>
      </w:pPr>
      <w:r>
        <w:rPr>
          <w:rFonts w:hint="eastAsia" w:asciiTheme="minorEastAsia" w:hAnsiTheme="minorEastAsia" w:eastAsiaTheme="minorEastAsia" w:cstheme="minorEastAsia"/>
          <w:b/>
          <w:bCs w:val="0"/>
          <w:color w:val="000000"/>
          <w:spacing w:val="-11"/>
          <w:sz w:val="24"/>
          <w:szCs w:val="24"/>
          <w:lang w:val="en-US" w:eastAsia="zh-CN"/>
        </w:rPr>
        <w:t>总体情况</w:t>
      </w:r>
    </w:p>
    <w:p>
      <w:pPr>
        <w:keepNext w:val="0"/>
        <w:keepLines w:val="0"/>
        <w:pageBreakBefore w:val="0"/>
        <w:widowControl w:val="0"/>
        <w:numPr>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在县委、县政府的正确领导下，为进一步提高镇政府工作的透明度，保障公民的知情权，加强服务型基层政府建设，2023年，我镇认真学习贯彻落实新修订的《中华人民共和国政府信息公开条例》。按照推动权力规范、透明、廉洁、高效运行的总体思路，不断丰富公开形式，保障公开内容，完善公开制度，强化公开监督，认真做好政府信息公开工作，并取得了一定的成效。</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val="en-US" w:eastAsia="zh-CN"/>
        </w:rPr>
      </w:pPr>
      <w:r>
        <w:rPr>
          <w:rFonts w:hint="eastAsia" w:asciiTheme="minorEastAsia" w:hAnsiTheme="minorEastAsia" w:eastAsiaTheme="minorEastAsia" w:cstheme="minorEastAsia"/>
          <w:b/>
          <w:bCs w:val="0"/>
          <w:color w:val="000000"/>
          <w:spacing w:val="-11"/>
          <w:sz w:val="24"/>
          <w:szCs w:val="24"/>
          <w:lang w:val="en-US" w:eastAsia="zh-CN"/>
        </w:rPr>
        <w:t>（一）主动公开政府信息情况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我单位按照“决策公开、执行公开、管理公开、服务公开、结果公开”的部署要求，遵循公正、公平、合法、便民的原则，正确执行政府信息主动公开新规定，聚焦公开重点，规范公开方式。全年主动公开公众号类233条、民生事项类160条、防汛抢险捐赠类4 条、工作动态68 条。</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val="en-US" w:eastAsia="zh-CN"/>
        </w:rPr>
      </w:pPr>
      <w:r>
        <w:rPr>
          <w:rFonts w:hint="eastAsia" w:asciiTheme="minorEastAsia" w:hAnsiTheme="minorEastAsia" w:eastAsiaTheme="minorEastAsia" w:cstheme="minorEastAsia"/>
          <w:b/>
          <w:bCs w:val="0"/>
          <w:color w:val="000000"/>
          <w:spacing w:val="-11"/>
          <w:sz w:val="24"/>
          <w:szCs w:val="24"/>
          <w:lang w:val="en-US" w:eastAsia="zh-CN"/>
        </w:rPr>
        <w:t>（二）依申请公开政府信息情况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严格按照《河北省人民政府办公厅关于印发河北省政府信息公开申请办理规范的通知》（冀政办字〔2020〕124号），规范政府信息公开申请办理，开设网络、信函、当面申请等渠道，依法依规有序推进政府信息依申请公开工作，确保及时、全面公开和回复申请人，充分尊重保障公众知情权。2023年，共收到政府信息公开申请0件。</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val="en-US" w:eastAsia="zh-CN"/>
        </w:rPr>
      </w:pPr>
      <w:r>
        <w:rPr>
          <w:rFonts w:hint="eastAsia" w:asciiTheme="minorEastAsia" w:hAnsiTheme="minorEastAsia" w:eastAsiaTheme="minorEastAsia" w:cstheme="minorEastAsia"/>
          <w:b/>
          <w:bCs w:val="0"/>
          <w:color w:val="000000"/>
          <w:spacing w:val="-11"/>
          <w:sz w:val="24"/>
          <w:szCs w:val="24"/>
          <w:lang w:val="en-US" w:eastAsia="zh-CN"/>
        </w:rPr>
        <w:t>（四）平台建设情况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进一步加强政务新媒体管理，充分依托政务新媒体平台，做好信息发布、政策解读和办事服务工作。规范开设微信公众号1个：“阜平镇信息平台”政府公众号正式开通以来，成为镇政府信息公开的重要渠道，2023年共发布信息848条其中原创233条，转发615条。</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7" w:firstLineChars="200"/>
        <w:jc w:val="left"/>
        <w:textAlignment w:val="auto"/>
        <w:rPr>
          <w:rFonts w:hint="eastAsia" w:asciiTheme="minorEastAsia" w:hAnsiTheme="minorEastAsia" w:eastAsiaTheme="minorEastAsia" w:cstheme="minorEastAsia"/>
          <w:b/>
          <w:bCs w:val="0"/>
          <w:color w:val="000000"/>
          <w:spacing w:val="-11"/>
          <w:sz w:val="24"/>
          <w:szCs w:val="24"/>
          <w:lang w:val="en-US" w:eastAsia="zh-CN"/>
        </w:rPr>
      </w:pPr>
      <w:r>
        <w:rPr>
          <w:rFonts w:hint="eastAsia" w:asciiTheme="minorEastAsia" w:hAnsiTheme="minorEastAsia" w:eastAsiaTheme="minorEastAsia" w:cstheme="minorEastAsia"/>
          <w:b/>
          <w:bCs w:val="0"/>
          <w:color w:val="000000"/>
          <w:spacing w:val="-11"/>
          <w:sz w:val="24"/>
          <w:szCs w:val="24"/>
          <w:lang w:val="en-US" w:eastAsia="zh-CN"/>
        </w:rPr>
        <w:t>（五）政府信息公开监督保障情况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 xml:space="preserve">1.加强组织领导。成立以冯立鹏为组长的政务公开工作领导小组，对全年工作做出重要安排部署，并及时研究解决政务公开和政府信息公开工作中重大问题。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2.完善机构建设。明确党政综合办公室具体承担政务公开工作，配备2名工作人员专门负责单位政务公开工作。</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3.加大经费保障。2023 年为保障政务公开日常工作有序进行，将此经费纳入单位财政预算共计13000元。</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4.深化宣传引导。通过微信公众号的形式向社会宣传政务公开工作，今后我单位将加大向县政府政务公开部门信息报送力度，大力宣传政务公开新举措、新成效。</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val="en-US" w:eastAsia="zh-CN"/>
        </w:rPr>
      </w:pPr>
      <w:r>
        <w:rPr>
          <w:rFonts w:hint="eastAsia" w:asciiTheme="minorEastAsia" w:hAnsiTheme="minorEastAsia" w:eastAsiaTheme="minorEastAsia" w:cstheme="minorEastAsia"/>
          <w:b w:val="0"/>
          <w:bCs/>
          <w:color w:val="000000"/>
          <w:spacing w:val="-11"/>
          <w:sz w:val="24"/>
          <w:szCs w:val="24"/>
          <w:lang w:val="en-US" w:eastAsia="zh-CN"/>
        </w:rPr>
        <w:t>5.强化业务知识学习。按照省、市、县要求，组织开展政府信息公开法律知识学习问答活动，本单位共26名人员参加了答题活动，以测促学，推动工作人员学习宣传贯彻政府信息公开相关法律。</w:t>
      </w:r>
    </w:p>
    <w:p>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left="0" w:leftChars="0" w:firstLine="437" w:firstLineChars="200"/>
        <w:jc w:val="left"/>
        <w:textAlignment w:val="auto"/>
        <w:outlineLvl w:val="0"/>
        <w:rPr>
          <w:rFonts w:hint="eastAsia" w:asciiTheme="minorEastAsia" w:hAnsiTheme="minorEastAsia" w:eastAsiaTheme="minorEastAsia" w:cstheme="minorEastAsia"/>
          <w:b/>
          <w:bCs w:val="0"/>
          <w:color w:val="auto"/>
          <w:spacing w:val="-11"/>
          <w:sz w:val="24"/>
          <w:szCs w:val="24"/>
          <w:lang w:val="en-US" w:eastAsia="zh-CN"/>
        </w:rPr>
      </w:pPr>
      <w:r>
        <w:rPr>
          <w:rFonts w:hint="eastAsia" w:asciiTheme="minorEastAsia" w:hAnsiTheme="minorEastAsia" w:eastAsiaTheme="minorEastAsia" w:cstheme="minorEastAsia"/>
          <w:b/>
          <w:bCs w:val="0"/>
          <w:color w:val="auto"/>
          <w:spacing w:val="-11"/>
          <w:sz w:val="24"/>
          <w:szCs w:val="24"/>
          <w:lang w:val="en-US" w:eastAsia="zh-CN"/>
        </w:rPr>
        <w:t>主动公开政府信息情况</w:t>
      </w:r>
    </w:p>
    <w:tbl>
      <w:tblPr>
        <w:tblStyle w:val="5"/>
        <w:tblW w:w="0" w:type="auto"/>
        <w:jc w:val="center"/>
        <w:tblLayout w:type="fixed"/>
        <w:tblCellMar>
          <w:top w:w="0" w:type="dxa"/>
          <w:left w:w="0" w:type="dxa"/>
          <w:bottom w:w="0" w:type="dxa"/>
          <w:right w:w="0" w:type="dxa"/>
        </w:tblCellMar>
      </w:tblPr>
      <w:tblGrid>
        <w:gridCol w:w="3113"/>
        <w:gridCol w:w="1721"/>
        <w:gridCol w:w="1425"/>
        <w:gridCol w:w="1881"/>
      </w:tblGrid>
      <w:tr>
        <w:tblPrEx>
          <w:tblCellMar>
            <w:top w:w="0" w:type="dxa"/>
            <w:left w:w="0" w:type="dxa"/>
            <w:bottom w:w="0" w:type="dxa"/>
            <w:right w:w="0" w:type="dxa"/>
          </w:tblCellMar>
        </w:tblPrEx>
        <w:trPr>
          <w:trHeight w:val="495" w:hRule="atLeast"/>
          <w:jc w:val="center"/>
        </w:trPr>
        <w:tc>
          <w:tcPr>
            <w:tcW w:w="8140" w:type="dxa"/>
            <w:gridSpan w:val="4"/>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第二十条第（一）项</w:t>
            </w:r>
          </w:p>
        </w:tc>
      </w:tr>
      <w:tr>
        <w:tblPrEx>
          <w:tblCellMar>
            <w:top w:w="0" w:type="dxa"/>
            <w:left w:w="0" w:type="dxa"/>
            <w:bottom w:w="0" w:type="dxa"/>
            <w:right w:w="0" w:type="dxa"/>
          </w:tblCellMar>
        </w:tblPrEx>
        <w:trPr>
          <w:trHeight w:val="411"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1721"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制发件数</w:t>
            </w:r>
          </w:p>
        </w:tc>
        <w:tc>
          <w:tcPr>
            <w:tcW w:w="142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废止件数</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现行有效件数</w:t>
            </w:r>
          </w:p>
        </w:tc>
      </w:tr>
      <w:tr>
        <w:tblPrEx>
          <w:tblCellMar>
            <w:top w:w="0" w:type="dxa"/>
            <w:left w:w="0" w:type="dxa"/>
            <w:bottom w:w="0" w:type="dxa"/>
            <w:right w:w="0" w:type="dxa"/>
          </w:tblCellMar>
        </w:tblPrEx>
        <w:trPr>
          <w:trHeight w:val="413"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规章</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90"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lang w:eastAsia="zh-CN"/>
              </w:rPr>
              <w:t>行政</w:t>
            </w:r>
            <w:r>
              <w:rPr>
                <w:rFonts w:hint="eastAsia" w:ascii="宋体" w:hAnsi="宋体" w:eastAsia="宋体" w:cs="宋体"/>
                <w:color w:val="000000"/>
                <w:kern w:val="0"/>
                <w:sz w:val="20"/>
                <w:szCs w:val="20"/>
              </w:rPr>
              <w:t>规范性文件</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480"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第二十条第（五）项</w:t>
            </w:r>
          </w:p>
        </w:tc>
      </w:tr>
      <w:tr>
        <w:tblPrEx>
          <w:tblCellMar>
            <w:top w:w="0" w:type="dxa"/>
            <w:left w:w="0" w:type="dxa"/>
            <w:bottom w:w="0" w:type="dxa"/>
            <w:right w:w="0" w:type="dxa"/>
          </w:tblCellMar>
        </w:tblPrEx>
        <w:trPr>
          <w:trHeight w:val="406"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行政许可</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p>
            <w:pPr>
              <w:widowControl/>
              <w:spacing w:after="180"/>
              <w:jc w:val="left"/>
              <w:rPr>
                <w:sz w:val="20"/>
                <w:szCs w:val="20"/>
              </w:rPr>
            </w:pPr>
            <w:r>
              <w:rPr>
                <w:rFonts w:hint="eastAsia" w:ascii="宋体" w:hAnsi="宋体" w:eastAsia="宋体" w:cs="宋体"/>
                <w:color w:val="000000"/>
                <w:kern w:val="0"/>
                <w:sz w:val="20"/>
                <w:szCs w:val="20"/>
              </w:rPr>
              <w:t> </w:t>
            </w:r>
          </w:p>
        </w:tc>
      </w:tr>
      <w:tr>
        <w:tblPrEx>
          <w:tblCellMar>
            <w:top w:w="0" w:type="dxa"/>
            <w:left w:w="0" w:type="dxa"/>
            <w:bottom w:w="0" w:type="dxa"/>
            <w:right w:w="0" w:type="dxa"/>
          </w:tblCellMar>
        </w:tblPrEx>
        <w:trPr>
          <w:trHeight w:val="406"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第二十条第（六）项</w:t>
            </w:r>
          </w:p>
        </w:tc>
      </w:tr>
      <w:tr>
        <w:tblPrEx>
          <w:tblCellMar>
            <w:top w:w="0" w:type="dxa"/>
            <w:left w:w="0" w:type="dxa"/>
            <w:bottom w:w="0" w:type="dxa"/>
            <w:right w:w="0" w:type="dxa"/>
          </w:tblCellMar>
        </w:tblPrEx>
        <w:trPr>
          <w:trHeight w:val="404"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行政处罚</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sz w:val="20"/>
                <w:szCs w:val="20"/>
              </w:rPr>
            </w:pPr>
            <w:r>
              <w:rPr>
                <w:rFonts w:hint="eastAsia" w:ascii="宋体" w:hAnsi="宋体" w:eastAsia="宋体" w:cs="宋体"/>
                <w:color w:val="000000"/>
                <w:kern w:val="0"/>
                <w:sz w:val="20"/>
                <w:szCs w:val="20"/>
                <w:lang w:val="en-US" w:eastAsia="zh-CN"/>
              </w:rPr>
              <w:t>12</w:t>
            </w:r>
          </w:p>
        </w:tc>
      </w:tr>
      <w:tr>
        <w:tblPrEx>
          <w:tblCellMar>
            <w:top w:w="0" w:type="dxa"/>
            <w:left w:w="0" w:type="dxa"/>
            <w:bottom w:w="0" w:type="dxa"/>
            <w:right w:w="0" w:type="dxa"/>
          </w:tblCellMar>
        </w:tblPrEx>
        <w:trPr>
          <w:trHeight w:val="432"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行政强制</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0" w:type="dxa"/>
            <w:bottom w:w="0" w:type="dxa"/>
            <w:right w:w="0" w:type="dxa"/>
          </w:tblCellMar>
        </w:tblPrEx>
        <w:trPr>
          <w:trHeight w:val="474"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第二十条第（八）项</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lang w:eastAsia="zh-CN"/>
              </w:rPr>
              <w:t>本年收费金额（单位：万元）</w:t>
            </w:r>
          </w:p>
        </w:tc>
      </w:tr>
      <w:tr>
        <w:tblPrEx>
          <w:tblCellMar>
            <w:top w:w="0" w:type="dxa"/>
            <w:left w:w="0" w:type="dxa"/>
            <w:bottom w:w="0" w:type="dxa"/>
            <w:right w:w="0" w:type="dxa"/>
          </w:tblCellMar>
        </w:tblPrEx>
        <w:trPr>
          <w:trHeight w:val="452"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行政事业性收费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bl>
    <w:p>
      <w:pPr>
        <w:pStyle w:val="4"/>
        <w:numPr>
          <w:ilvl w:val="0"/>
          <w:numId w:val="3"/>
        </w:numPr>
        <w:shd w:val="clear" w:color="auto" w:fill="FFFFFF"/>
        <w:spacing w:before="0" w:beforeAutospacing="0" w:after="240" w:afterAutospacing="0"/>
        <w:ind w:firstLine="420"/>
        <w:jc w:val="both"/>
        <w:outlineLvl w:val="0"/>
        <w:rPr>
          <w:rFonts w:hint="eastAsia"/>
          <w:b/>
          <w:color w:val="333333"/>
          <w:shd w:val="clear" w:color="auto" w:fill="FFFFFF"/>
        </w:rPr>
      </w:pPr>
      <w:r>
        <w:rPr>
          <w:rFonts w:hint="eastAsia"/>
          <w:b/>
          <w:color w:val="333333"/>
          <w:shd w:val="clear" w:color="auto" w:fill="FFFFFF"/>
        </w:rPr>
        <w:t>收到和处理政府信息公开申请情况</w:t>
      </w:r>
    </w:p>
    <w:tbl>
      <w:tblPr>
        <w:tblStyle w:val="5"/>
        <w:tblpPr w:leftFromText="180" w:rightFromText="180" w:vertAnchor="text" w:horzAnchor="page" w:tblpX="1399" w:tblpY="80"/>
        <w:tblOverlap w:val="never"/>
        <w:tblW w:w="874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68"/>
        <w:gridCol w:w="943"/>
        <w:gridCol w:w="2779"/>
        <w:gridCol w:w="519"/>
        <w:gridCol w:w="678"/>
        <w:gridCol w:w="735"/>
        <w:gridCol w:w="678"/>
        <w:gridCol w:w="649"/>
        <w:gridCol w:w="548"/>
        <w:gridCol w:w="44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楷体" w:hAnsi="楷体" w:eastAsia="楷体" w:cs="楷体"/>
                <w:color w:val="auto"/>
                <w:kern w:val="0"/>
                <w:sz w:val="20"/>
                <w:szCs w:val="20"/>
                <w:lang w:val="en-US" w:eastAsia="zh-CN" w:bidi="ar"/>
              </w:rPr>
              <w:t>（本列数据的勾稽关系为：第一项加第二项之和，等于第三项加第四项之和）</w:t>
            </w:r>
          </w:p>
        </w:tc>
        <w:tc>
          <w:tcPr>
            <w:tcW w:w="4254"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519" w:type="dxa"/>
            <w:vMerge w:val="restart"/>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人</w:t>
            </w:r>
          </w:p>
        </w:tc>
        <w:tc>
          <w:tcPr>
            <w:tcW w:w="3288"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法人或其他组织</w:t>
            </w:r>
          </w:p>
        </w:tc>
        <w:tc>
          <w:tcPr>
            <w:tcW w:w="447"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519" w:type="dxa"/>
            <w:vMerge w:val="continue"/>
            <w:tcBorders>
              <w:top w:val="nil"/>
              <w:left w:val="nil"/>
              <w:bottom w:val="single" w:color="auto" w:sz="8" w:space="0"/>
              <w:right w:val="single" w:color="auto" w:sz="8" w:space="0"/>
            </w:tcBorders>
            <w:noWrap w:val="0"/>
            <w:tcMar>
              <w:left w:w="57" w:type="dxa"/>
              <w:right w:w="57" w:type="dxa"/>
            </w:tcMar>
            <w:vAlign w:val="center"/>
          </w:tcPr>
          <w:p>
            <w:pPr>
              <w:rPr>
                <w:rFonts w:hint="eastAsia" w:ascii="宋体"/>
                <w:sz w:val="24"/>
                <w:szCs w:val="24"/>
              </w:rPr>
            </w:pP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企业</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机构</w:t>
            </w:r>
          </w:p>
        </w:tc>
        <w:tc>
          <w:tcPr>
            <w:tcW w:w="67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社会公益组织</w:t>
            </w:r>
          </w:p>
        </w:tc>
        <w:tc>
          <w:tcPr>
            <w:tcW w:w="649"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法律服务机构</w:t>
            </w:r>
          </w:p>
        </w:tc>
        <w:tc>
          <w:tcPr>
            <w:tcW w:w="54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他</w:t>
            </w:r>
          </w:p>
        </w:tc>
        <w:tc>
          <w:tcPr>
            <w:tcW w:w="447"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一、本年新收政府信息公开申请数量</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二、上年结转政府信息公开申请数量</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三、本年度办理结果</w:t>
            </w: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（一）予以公开</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（二）部分公开</w:t>
            </w:r>
            <w:r>
              <w:rPr>
                <w:rFonts w:hint="default" w:ascii="楷体" w:hAnsi="楷体" w:eastAsia="楷体" w:cs="楷体"/>
                <w:color w:val="auto"/>
                <w:kern w:val="0"/>
                <w:sz w:val="20"/>
                <w:szCs w:val="20"/>
                <w:lang w:val="en-US" w:eastAsia="zh-CN" w:bidi="ar"/>
              </w:rPr>
              <w:t>（区分处理的，只计这一情形，不计其他情形）</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（三）不予公开</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1.属于国家秘密</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2.其他法律行政法规禁止公开</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3.危及“三安全一稳定”</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4.保护第三方合法权益</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5.属于三类内部事务信息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6.属于四类过程性信息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7.属于行政执法案卷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8.属于行政查询事项</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（四）无法提供</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1.本机关不掌握相关政府信息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2.没有现成信息需要另行制作</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3.补正后申请内容仍不明确</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（五）不予处理</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1.信访举报投诉类申请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2.重复申请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3.要求提供公开出版物</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4.无正当理由大量反复申请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5.要求行政机关确认或重新出具已获取信息</w:t>
            </w:r>
          </w:p>
        </w:tc>
        <w:tc>
          <w:tcPr>
            <w:tcW w:w="51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（六）其他处理</w:t>
            </w: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1.申请人无正当理由逾期不补正、行政机关不再处理其政府信息公开申请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2.申请人逾期未按收费通知要求缴纳费用、行政机关不再处理其政府信息公开申请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3.其他</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（七）总计</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四、结转下年度继续办理</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bl>
    <w:p>
      <w:pPr>
        <w:pStyle w:val="4"/>
        <w:numPr>
          <w:ilvl w:val="0"/>
          <w:numId w:val="4"/>
        </w:numPr>
        <w:shd w:val="clear" w:color="auto" w:fill="FFFFFF"/>
        <w:spacing w:before="0" w:beforeAutospacing="0" w:after="0" w:afterAutospacing="0"/>
        <w:ind w:firstLine="420"/>
        <w:jc w:val="both"/>
        <w:outlineLvl w:val="0"/>
        <w:rPr>
          <w:rFonts w:hint="eastAsia"/>
          <w:b/>
          <w:color w:val="333333"/>
          <w:shd w:val="clear" w:color="auto" w:fill="FFFFFF"/>
        </w:rPr>
      </w:pPr>
      <w:r>
        <w:rPr>
          <w:rFonts w:hint="eastAsia"/>
          <w:b/>
          <w:color w:val="333333"/>
          <w:shd w:val="clear" w:color="auto" w:fill="FFFFFF"/>
        </w:rPr>
        <w:t>政府信息公开行政复议、行政诉讼情况</w:t>
      </w:r>
    </w:p>
    <w:tbl>
      <w:tblPr>
        <w:tblStyle w:val="5"/>
        <w:tblpPr w:leftFromText="180" w:rightFromText="180" w:vertAnchor="text" w:horzAnchor="page" w:tblpX="1461" w:tblpY="184"/>
        <w:tblOverlap w:val="never"/>
        <w:tblW w:w="9303"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72"/>
        <w:gridCol w:w="649"/>
        <w:gridCol w:w="649"/>
        <w:gridCol w:w="649"/>
        <w:gridCol w:w="452"/>
        <w:gridCol w:w="678"/>
        <w:gridCol w:w="721"/>
        <w:gridCol w:w="663"/>
        <w:gridCol w:w="693"/>
        <w:gridCol w:w="389"/>
        <w:gridCol w:w="736"/>
        <w:gridCol w:w="692"/>
        <w:gridCol w:w="663"/>
        <w:gridCol w:w="664"/>
        <w:gridCol w:w="43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03" w:hRule="atLeast"/>
        </w:trPr>
        <w:tc>
          <w:tcPr>
            <w:tcW w:w="2971"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332"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3" w:hRule="atLeast"/>
        </w:trPr>
        <w:tc>
          <w:tcPr>
            <w:tcW w:w="572"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5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14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8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10" w:hRule="atLeast"/>
        </w:trPr>
        <w:tc>
          <w:tcPr>
            <w:tcW w:w="572"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45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9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89"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3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692"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6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3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trPr>
        <w:tc>
          <w:tcPr>
            <w:tcW w:w="57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5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9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9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33" w:type="dxa"/>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numPr>
          <w:numId w:val="0"/>
        </w:numPr>
        <w:kinsoku/>
        <w:wordWrap/>
        <w:overflowPunct/>
        <w:topLinePunct w:val="0"/>
        <w:autoSpaceDE/>
        <w:autoSpaceDN/>
        <w:bidi w:val="0"/>
        <w:adjustRightInd/>
        <w:snapToGrid/>
        <w:spacing w:line="480" w:lineRule="exact"/>
        <w:ind w:left="420" w:leftChars="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五、存在的主要问题及改进情况</w:t>
      </w:r>
    </w:p>
    <w:p>
      <w:pPr>
        <w:keepNext w:val="0"/>
        <w:keepLines w:val="0"/>
        <w:pageBreakBefore w:val="0"/>
        <w:widowControl w:val="0"/>
        <w:numPr>
          <w:numId w:val="0"/>
        </w:numPr>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2024年，将着力做好以下三个方面工作：一是持续深化政策解读工作。出台面向企业和群众的主动公开政策文件，全面开展政策解读，丰富解读形式，拓展解读平台，提高解读质量和到达率。二是推广应用建设成果。总结提炼基层政务公开标准化规范化不断提升政务公开整体水平。三是加大政务公开平台监管力度。加强全镇政务新媒体建设管理，集中整治“指尖上的形式主义”，完善政务公开专区功能。提高政务公开工作的质量和服务水平其他需要报告的事项</w:t>
      </w:r>
    </w:p>
    <w:p>
      <w:pPr>
        <w:keepNext w:val="0"/>
        <w:keepLines w:val="0"/>
        <w:pageBreakBefore w:val="0"/>
        <w:widowControl w:val="0"/>
        <w:kinsoku/>
        <w:wordWrap/>
        <w:overflowPunct/>
        <w:topLinePunct w:val="0"/>
        <w:autoSpaceDE/>
        <w:autoSpaceDN/>
        <w:bidi w:val="0"/>
        <w:adjustRightInd/>
        <w:snapToGrid/>
        <w:spacing w:line="480" w:lineRule="exact"/>
        <w:ind w:firstLine="481" w:firstLineChars="200"/>
        <w:jc w:val="left"/>
        <w:textAlignment w:val="auto"/>
        <w:outlineLvl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六、其他需要报告的事项</w:t>
      </w:r>
    </w:p>
    <w:p>
      <w:pPr>
        <w:keepNext w:val="0"/>
        <w:keepLines w:val="0"/>
        <w:pageBreakBefore w:val="0"/>
        <w:widowControl w:val="0"/>
        <w:numPr>
          <w:numId w:val="0"/>
        </w:numPr>
        <w:kinsoku/>
        <w:wordWrap/>
        <w:overflowPunct/>
        <w:topLinePunct w:val="0"/>
        <w:autoSpaceDE/>
        <w:autoSpaceDN/>
        <w:bidi w:val="0"/>
        <w:adjustRightInd/>
        <w:snapToGrid/>
        <w:spacing w:line="480" w:lineRule="exact"/>
        <w:ind w:firstLine="480" w:firstLineChars="200"/>
        <w:jc w:val="left"/>
        <w:textAlignment w:val="auto"/>
        <w:rPr>
          <w:rFonts w:hint="eastAsia"/>
          <w:color w:val="333333"/>
          <w:spacing w:val="6"/>
          <w:shd w:val="clear" w:color="auto" w:fill="FFFFFF"/>
          <w:lang w:val="en-US" w:eastAsia="zh-CN"/>
        </w:rPr>
      </w:pPr>
      <w:r>
        <w:rPr>
          <w:rFonts w:hint="eastAsia" w:asciiTheme="minorEastAsia" w:hAnsiTheme="minorEastAsia" w:eastAsiaTheme="minorEastAsia" w:cstheme="minorEastAsia"/>
          <w:b w:val="0"/>
          <w:bCs w:val="0"/>
          <w:sz w:val="24"/>
          <w:szCs w:val="24"/>
        </w:rPr>
        <w:t>我</w:t>
      </w:r>
      <w:r>
        <w:rPr>
          <w:rFonts w:hint="eastAsia" w:asciiTheme="minorEastAsia" w:hAnsiTheme="minorEastAsia" w:eastAsiaTheme="minorEastAsia" w:cstheme="minorEastAsia"/>
          <w:b w:val="0"/>
          <w:bCs w:val="0"/>
          <w:sz w:val="24"/>
          <w:szCs w:val="24"/>
          <w:lang w:eastAsia="zh-CN"/>
        </w:rPr>
        <w:t>单位</w:t>
      </w:r>
      <w:r>
        <w:rPr>
          <w:rFonts w:hint="eastAsia" w:asciiTheme="minorEastAsia" w:hAnsiTheme="minorEastAsia" w:eastAsiaTheme="minorEastAsia" w:cstheme="minorEastAsia"/>
          <w:b w:val="0"/>
          <w:bCs w:val="0"/>
          <w:sz w:val="24"/>
          <w:szCs w:val="24"/>
        </w:rPr>
        <w:t>认真贯彻执行国务院办公厅《政府信息公开信息处理费管理办法》，</w:t>
      </w:r>
      <w:r>
        <w:rPr>
          <w:rFonts w:hint="eastAsia" w:asciiTheme="minorEastAsia" w:hAnsiTheme="minorEastAsia" w:eastAsiaTheme="minorEastAsia" w:cstheme="minorEastAsia"/>
          <w:b w:val="0"/>
          <w:bCs w:val="0"/>
          <w:sz w:val="24"/>
          <w:szCs w:val="24"/>
          <w:lang w:eastAsia="zh-CN"/>
        </w:rPr>
        <w:t>本年度</w:t>
      </w:r>
      <w:r>
        <w:rPr>
          <w:rFonts w:hint="eastAsia" w:asciiTheme="minorEastAsia" w:hAnsiTheme="minorEastAsia" w:eastAsiaTheme="minorEastAsia" w:cstheme="minorEastAsia"/>
          <w:b w:val="0"/>
          <w:bCs w:val="0"/>
          <w:sz w:val="24"/>
          <w:szCs w:val="24"/>
        </w:rPr>
        <w:t>未收取信息处理费。</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9C6536"/>
    <w:multiLevelType w:val="singleLevel"/>
    <w:tmpl w:val="BF9C6536"/>
    <w:lvl w:ilvl="0" w:tentative="0">
      <w:start w:val="1"/>
      <w:numFmt w:val="chineseCounting"/>
      <w:suff w:val="nothing"/>
      <w:lvlText w:val="%1、"/>
      <w:lvlJc w:val="left"/>
      <w:rPr>
        <w:rFonts w:hint="eastAsia"/>
      </w:rPr>
    </w:lvl>
  </w:abstractNum>
  <w:abstractNum w:abstractNumId="1">
    <w:nsid w:val="DDBFB7D3"/>
    <w:multiLevelType w:val="singleLevel"/>
    <w:tmpl w:val="DDBFB7D3"/>
    <w:lvl w:ilvl="0" w:tentative="0">
      <w:start w:val="3"/>
      <w:numFmt w:val="chineseCounting"/>
      <w:suff w:val="nothing"/>
      <w:lvlText w:val="%1、"/>
      <w:lvlJc w:val="left"/>
      <w:rPr>
        <w:rFonts w:hint="eastAsia"/>
      </w:rPr>
    </w:lvl>
  </w:abstractNum>
  <w:abstractNum w:abstractNumId="2">
    <w:nsid w:val="FFEBFB3B"/>
    <w:multiLevelType w:val="singleLevel"/>
    <w:tmpl w:val="FFEBFB3B"/>
    <w:lvl w:ilvl="0" w:tentative="0">
      <w:start w:val="1"/>
      <w:numFmt w:val="chineseCounting"/>
      <w:suff w:val="nothing"/>
      <w:lvlText w:val="%1、"/>
      <w:lvlJc w:val="left"/>
      <w:rPr>
        <w:rFonts w:hint="eastAsia"/>
      </w:rPr>
    </w:lvl>
  </w:abstractNum>
  <w:abstractNum w:abstractNumId="3">
    <w:nsid w:val="7EDCC3F2"/>
    <w:multiLevelType w:val="singleLevel"/>
    <w:tmpl w:val="7EDCC3F2"/>
    <w:lvl w:ilvl="0" w:tentative="0">
      <w:start w:val="4"/>
      <w:numFmt w:val="chineseCounting"/>
      <w:suff w:val="nothing"/>
      <w:lvlText w:val="%1、"/>
      <w:lvlJc w:val="left"/>
      <w:rPr>
        <w:rFonts w:hint="eastAsi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zYmE5ZDE1NzNhNmQ1ZGE0NjQxNzBlMWM5ZmY3NjIifQ=="/>
  </w:docVars>
  <w:rsids>
    <w:rsidRoot w:val="3E5B229F"/>
    <w:rsid w:val="000168E7"/>
    <w:rsid w:val="00091070"/>
    <w:rsid w:val="00102236"/>
    <w:rsid w:val="00121401"/>
    <w:rsid w:val="00157AC8"/>
    <w:rsid w:val="001801D5"/>
    <w:rsid w:val="00296580"/>
    <w:rsid w:val="002B2C96"/>
    <w:rsid w:val="00455C5D"/>
    <w:rsid w:val="004F0B4A"/>
    <w:rsid w:val="00586B59"/>
    <w:rsid w:val="00631E81"/>
    <w:rsid w:val="00653E36"/>
    <w:rsid w:val="008E1B1A"/>
    <w:rsid w:val="008E44F4"/>
    <w:rsid w:val="00A53DE3"/>
    <w:rsid w:val="00B5390F"/>
    <w:rsid w:val="00C06F06"/>
    <w:rsid w:val="00C51C9D"/>
    <w:rsid w:val="00CB4FF3"/>
    <w:rsid w:val="00CE1DC8"/>
    <w:rsid w:val="00D26420"/>
    <w:rsid w:val="00D36948"/>
    <w:rsid w:val="00E06057"/>
    <w:rsid w:val="00E212AC"/>
    <w:rsid w:val="00E41BBC"/>
    <w:rsid w:val="00E57F2A"/>
    <w:rsid w:val="00EA3ADC"/>
    <w:rsid w:val="00EF14E8"/>
    <w:rsid w:val="00F24E13"/>
    <w:rsid w:val="00FA6E92"/>
    <w:rsid w:val="00FC07B6"/>
    <w:rsid w:val="01285338"/>
    <w:rsid w:val="09071D66"/>
    <w:rsid w:val="09813DFD"/>
    <w:rsid w:val="0B2121D5"/>
    <w:rsid w:val="0F15236E"/>
    <w:rsid w:val="11B05C5A"/>
    <w:rsid w:val="19DE11D5"/>
    <w:rsid w:val="1A0F4175"/>
    <w:rsid w:val="1F33BC87"/>
    <w:rsid w:val="1FF1553D"/>
    <w:rsid w:val="238E43F5"/>
    <w:rsid w:val="2E8A0E7B"/>
    <w:rsid w:val="2E9B3DA1"/>
    <w:rsid w:val="341765DF"/>
    <w:rsid w:val="34737B76"/>
    <w:rsid w:val="363F887A"/>
    <w:rsid w:val="38CB1FBA"/>
    <w:rsid w:val="3B214D37"/>
    <w:rsid w:val="3D5548CE"/>
    <w:rsid w:val="3E5B229F"/>
    <w:rsid w:val="43DA9812"/>
    <w:rsid w:val="47A26D72"/>
    <w:rsid w:val="4B9B2521"/>
    <w:rsid w:val="4D617EE6"/>
    <w:rsid w:val="4D991864"/>
    <w:rsid w:val="4E137BDD"/>
    <w:rsid w:val="52462FAE"/>
    <w:rsid w:val="541E6540"/>
    <w:rsid w:val="571C05B0"/>
    <w:rsid w:val="5A6F3991"/>
    <w:rsid w:val="5D4F0FEF"/>
    <w:rsid w:val="61022B79"/>
    <w:rsid w:val="68C13E1A"/>
    <w:rsid w:val="695D0560"/>
    <w:rsid w:val="69C937CA"/>
    <w:rsid w:val="6FDF47DB"/>
    <w:rsid w:val="702D41BC"/>
    <w:rsid w:val="71A62D78"/>
    <w:rsid w:val="72826491"/>
    <w:rsid w:val="74B94996"/>
    <w:rsid w:val="74ED2BBE"/>
    <w:rsid w:val="764322DF"/>
    <w:rsid w:val="77BB3DCB"/>
    <w:rsid w:val="77CFF03C"/>
    <w:rsid w:val="7D292759"/>
    <w:rsid w:val="7DDEB177"/>
    <w:rsid w:val="7E2247C9"/>
    <w:rsid w:val="7ED53247"/>
    <w:rsid w:val="7FA76860"/>
    <w:rsid w:val="7FDF440F"/>
    <w:rsid w:val="7FE38852"/>
    <w:rsid w:val="AE7F99F9"/>
    <w:rsid w:val="BBD86770"/>
    <w:rsid w:val="BFB63752"/>
    <w:rsid w:val="C8DFE7A9"/>
    <w:rsid w:val="EC3534BF"/>
    <w:rsid w:val="EF7B5EE5"/>
    <w:rsid w:val="F75718EB"/>
    <w:rsid w:val="FB6F83DF"/>
    <w:rsid w:val="FBDF8F2D"/>
    <w:rsid w:val="FCBAD453"/>
    <w:rsid w:val="FF8BF7D6"/>
    <w:rsid w:val="FF9E16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customStyle="1" w:styleId="7">
    <w:name w:val="页眉 Char"/>
    <w:basedOn w:val="6"/>
    <w:link w:val="3"/>
    <w:qFormat/>
    <w:uiPriority w:val="0"/>
    <w:rPr>
      <w:rFonts w:ascii="仿宋_GB2312" w:eastAsia="仿宋_GB2312"/>
      <w:kern w:val="2"/>
      <w:sz w:val="18"/>
      <w:szCs w:val="18"/>
    </w:rPr>
  </w:style>
  <w:style w:type="character" w:customStyle="1" w:styleId="8">
    <w:name w:val="页脚 Char"/>
    <w:basedOn w:val="6"/>
    <w:link w:val="2"/>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2385</Words>
  <Characters>2452</Characters>
  <Lines>25</Lines>
  <Paragraphs>7</Paragraphs>
  <TotalTime>4</TotalTime>
  <ScaleCrop>false</ScaleCrop>
  <LinksUpToDate>false</LinksUpToDate>
  <CharactersWithSpaces>2537</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2020-01-01T03:38:00Z</dcterms:created>
  <dc:creator>小公举</dc:creator>
  <cp:lastModifiedBy>work</cp:lastModifiedBy>
  <cp:lastPrinted>2023-01-10T13:22:00Z</cp:lastPrinted>
  <dcterms:modified xsi:type="dcterms:W3CDTF">2024-01-15T11:43:40Z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DEE10D5E35594C7B920DD37C3F10D93F</vt:lpwstr>
  </property>
</Properties>
</file>