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outlineLvl w:val="0"/>
        <w:rPr>
          <w:rFonts w:hint="eastAsia" w:ascii="方正小标宋简体" w:hAnsi="方正小标宋简体" w:eastAsia="方正小标宋简体" w:cs="方正小标宋简体"/>
          <w:b/>
          <w:color w:val="C00000"/>
          <w:spacing w:val="-11"/>
          <w:sz w:val="36"/>
          <w:szCs w:val="36"/>
          <w:lang w:val="en-US" w:eastAsia="zh-CN"/>
        </w:rPr>
      </w:pPr>
      <w:r>
        <w:rPr>
          <w:rFonts w:hint="eastAsia" w:ascii="方正小标宋简体" w:hAnsi="方正小标宋简体" w:eastAsia="方正小标宋简体" w:cs="方正小标宋简体"/>
          <w:b/>
          <w:color w:val="000000"/>
          <w:spacing w:val="-11"/>
          <w:sz w:val="36"/>
          <w:szCs w:val="36"/>
          <w:lang w:val="en-US" w:eastAsia="zh-CN"/>
        </w:rPr>
        <w:t>王林口镇人民政府</w:t>
      </w:r>
    </w:p>
    <w:p>
      <w:pPr>
        <w:spacing w:line="540" w:lineRule="exact"/>
        <w:jc w:val="center"/>
        <w:outlineLvl w:val="0"/>
        <w:rPr>
          <w:rFonts w:hint="eastAsia" w:ascii="方正小标宋简体" w:hAnsi="方正小标宋简体" w:eastAsia="方正小标宋简体" w:cs="方正小标宋简体"/>
          <w:b/>
          <w:color w:val="000000"/>
          <w:spacing w:val="-11"/>
          <w:sz w:val="36"/>
          <w:szCs w:val="36"/>
        </w:rPr>
      </w:pPr>
      <w:r>
        <w:rPr>
          <w:rFonts w:hint="eastAsia" w:ascii="方正小标宋简体" w:hAnsi="方正小标宋简体" w:eastAsia="方正小标宋简体" w:cs="方正小标宋简体"/>
          <w:b/>
          <w:color w:val="000000"/>
          <w:spacing w:val="-11"/>
          <w:sz w:val="36"/>
          <w:szCs w:val="36"/>
        </w:rPr>
        <w:t>202</w:t>
      </w:r>
      <w:r>
        <w:rPr>
          <w:rFonts w:hint="eastAsia" w:ascii="方正小标宋简体" w:hAnsi="方正小标宋简体" w:eastAsia="方正小标宋简体" w:cs="方正小标宋简体"/>
          <w:b/>
          <w:color w:val="000000"/>
          <w:spacing w:val="-11"/>
          <w:sz w:val="36"/>
          <w:szCs w:val="36"/>
          <w:lang w:val="en-US" w:eastAsia="zh-CN"/>
        </w:rPr>
        <w:t>3</w:t>
      </w:r>
      <w:r>
        <w:rPr>
          <w:rFonts w:hint="eastAsia" w:ascii="方正小标宋简体" w:hAnsi="方正小标宋简体" w:eastAsia="方正小标宋简体" w:cs="方正小标宋简体"/>
          <w:b/>
          <w:color w:val="000000"/>
          <w:spacing w:val="-11"/>
          <w:sz w:val="36"/>
          <w:szCs w:val="36"/>
        </w:rPr>
        <w:t>年政府信息公开工作年度报告</w:t>
      </w:r>
    </w:p>
    <w:p>
      <w:pPr>
        <w:spacing w:line="540" w:lineRule="exact"/>
        <w:jc w:val="center"/>
        <w:rPr>
          <w:rFonts w:hint="eastAsia" w:ascii="方正小标宋简体" w:hAnsi="方正小标宋简体" w:eastAsia="方正小标宋简体" w:cs="方正小标宋简体"/>
          <w:b/>
          <w:color w:val="000000"/>
          <w:spacing w:val="-11"/>
          <w:sz w:val="36"/>
          <w:szCs w:val="36"/>
        </w:rPr>
      </w:pP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rPr>
      </w:pPr>
      <w:r>
        <w:rPr>
          <w:rFonts w:hint="eastAsia" w:asciiTheme="minorEastAsia" w:hAnsiTheme="minorEastAsia" w:eastAsiaTheme="minorEastAsia" w:cstheme="minorEastAsia"/>
          <w:b w:val="0"/>
          <w:bCs/>
          <w:color w:val="000000"/>
          <w:spacing w:val="-11"/>
          <w:sz w:val="24"/>
          <w:szCs w:val="24"/>
          <w:lang w:eastAsia="zh-CN"/>
        </w:rPr>
        <w:t>根</w:t>
      </w:r>
      <w:r>
        <w:rPr>
          <w:rFonts w:hint="eastAsia" w:asciiTheme="minorEastAsia" w:hAnsiTheme="minorEastAsia" w:eastAsiaTheme="minorEastAsia" w:cstheme="minorEastAsia"/>
          <w:b w:val="0"/>
          <w:bCs/>
          <w:color w:val="000000"/>
          <w:spacing w:val="-11"/>
          <w:sz w:val="24"/>
          <w:szCs w:val="24"/>
        </w:rPr>
        <w:t>据《中华人民共和国政府信息公开条例》《</w:t>
      </w:r>
      <w:r>
        <w:rPr>
          <w:rFonts w:hint="eastAsia" w:asciiTheme="minorEastAsia" w:hAnsiTheme="minorEastAsia" w:eastAsiaTheme="minorEastAsia" w:cstheme="minorEastAsia"/>
          <w:b w:val="0"/>
          <w:bCs/>
          <w:color w:val="000000"/>
          <w:spacing w:val="-11"/>
          <w:sz w:val="24"/>
          <w:szCs w:val="24"/>
          <w:lang w:eastAsia="zh-CN"/>
        </w:rPr>
        <w:t>河北省实施</w:t>
      </w:r>
      <w:r>
        <w:rPr>
          <w:rFonts w:hint="eastAsia" w:asciiTheme="minorEastAsia" w:hAnsiTheme="minorEastAsia" w:eastAsiaTheme="minorEastAsia" w:cstheme="minorEastAsia"/>
          <w:b w:val="0"/>
          <w:bCs/>
          <w:color w:val="000000"/>
          <w:spacing w:val="-11"/>
          <w:sz w:val="24"/>
          <w:szCs w:val="24"/>
          <w:lang w:val="en-US" w:eastAsia="zh-CN"/>
        </w:rPr>
        <w:t xml:space="preserve"> </w:t>
      </w:r>
      <w:r>
        <w:rPr>
          <w:rFonts w:hint="eastAsia" w:ascii="CESI仿宋-GB2312" w:hAnsi="CESI仿宋-GB2312" w:eastAsia="CESI仿宋-GB2312" w:cs="CESI仿宋-GB2312"/>
          <w:b w:val="0"/>
          <w:bCs/>
          <w:color w:val="000000"/>
          <w:spacing w:val="-11"/>
          <w:sz w:val="24"/>
          <w:szCs w:val="24"/>
          <w:lang w:eastAsia="zh-CN"/>
        </w:rPr>
        <w:t>&lt;</w:t>
      </w:r>
      <w:r>
        <w:rPr>
          <w:rFonts w:hint="eastAsia" w:asciiTheme="minorEastAsia" w:hAnsiTheme="minorEastAsia" w:eastAsiaTheme="minorEastAsia" w:cstheme="minorEastAsia"/>
          <w:b w:val="0"/>
          <w:bCs/>
          <w:color w:val="000000"/>
          <w:spacing w:val="-11"/>
          <w:sz w:val="24"/>
          <w:szCs w:val="24"/>
        </w:rPr>
        <w:t>中华人民共和国政府信息公开</w:t>
      </w:r>
      <w:r>
        <w:rPr>
          <w:rFonts w:hint="eastAsia" w:asciiTheme="minorEastAsia" w:hAnsiTheme="minorEastAsia" w:eastAsiaTheme="minorEastAsia" w:cstheme="minorEastAsia"/>
          <w:b w:val="0"/>
          <w:bCs/>
          <w:color w:val="000000"/>
          <w:spacing w:val="-11"/>
          <w:sz w:val="24"/>
          <w:szCs w:val="24"/>
          <w:lang w:eastAsia="zh-CN"/>
        </w:rPr>
        <w:t>条例</w:t>
      </w:r>
      <w:r>
        <w:rPr>
          <w:rFonts w:hint="eastAsia" w:asciiTheme="minorEastAsia" w:hAnsiTheme="minorEastAsia" w:eastAsiaTheme="minorEastAsia" w:cstheme="minorEastAsia"/>
          <w:b w:val="0"/>
          <w:bCs/>
          <w:color w:val="000000"/>
          <w:spacing w:val="-11"/>
          <w:sz w:val="24"/>
          <w:szCs w:val="24"/>
          <w:lang w:val="en-US" w:eastAsia="zh-CN"/>
        </w:rPr>
        <w:t xml:space="preserve"> </w:t>
      </w:r>
      <w:r>
        <w:rPr>
          <w:rFonts w:hint="eastAsia" w:ascii="CESI仿宋-GB2312" w:hAnsi="CESI仿宋-GB2312" w:eastAsia="CESI仿宋-GB2312" w:cs="CESI仿宋-GB2312"/>
          <w:b w:val="0"/>
          <w:bCs/>
          <w:color w:val="000000"/>
          <w:spacing w:val="-11"/>
          <w:sz w:val="24"/>
          <w:szCs w:val="24"/>
          <w:lang w:eastAsia="zh-CN"/>
        </w:rPr>
        <w:t>&gt;</w:t>
      </w:r>
      <w:r>
        <w:rPr>
          <w:rFonts w:hint="eastAsia" w:ascii="CESI仿宋-GB2312" w:hAnsi="CESI仿宋-GB2312" w:eastAsia="CESI仿宋-GB2312" w:cs="CESI仿宋-GB2312"/>
          <w:b w:val="0"/>
          <w:bCs/>
          <w:color w:val="000000"/>
          <w:spacing w:val="-11"/>
          <w:sz w:val="24"/>
          <w:szCs w:val="24"/>
          <w:lang w:val="en-US" w:eastAsia="zh-CN"/>
        </w:rPr>
        <w:t xml:space="preserve"> </w:t>
      </w:r>
      <w:r>
        <w:rPr>
          <w:rFonts w:hint="eastAsia" w:asciiTheme="minorEastAsia" w:hAnsiTheme="minorEastAsia" w:eastAsiaTheme="minorEastAsia" w:cstheme="minorEastAsia"/>
          <w:b w:val="0"/>
          <w:bCs/>
          <w:color w:val="000000"/>
          <w:spacing w:val="-11"/>
          <w:sz w:val="24"/>
          <w:szCs w:val="24"/>
          <w:lang w:eastAsia="zh-CN"/>
        </w:rPr>
        <w:t>办法</w:t>
      </w:r>
      <w:r>
        <w:rPr>
          <w:rFonts w:hint="eastAsia" w:asciiTheme="minorEastAsia" w:hAnsiTheme="minorEastAsia" w:eastAsiaTheme="minorEastAsia" w:cstheme="minorEastAsia"/>
          <w:b w:val="0"/>
          <w:bCs/>
          <w:color w:val="000000"/>
          <w:spacing w:val="-11"/>
          <w:sz w:val="24"/>
          <w:szCs w:val="24"/>
        </w:rPr>
        <w:t>》</w:t>
      </w:r>
      <w:r>
        <w:rPr>
          <w:rFonts w:hint="eastAsia" w:asciiTheme="minorEastAsia" w:hAnsiTheme="minorEastAsia" w:eastAsiaTheme="minorEastAsia" w:cstheme="minorEastAsia"/>
          <w:b w:val="0"/>
          <w:bCs/>
          <w:color w:val="000000"/>
          <w:spacing w:val="-11"/>
          <w:sz w:val="24"/>
          <w:szCs w:val="24"/>
          <w:lang w:eastAsia="zh-CN"/>
        </w:rPr>
        <w:t>等规定，发布本年度报告</w:t>
      </w:r>
      <w:r>
        <w:rPr>
          <w:rFonts w:hint="eastAsia" w:asciiTheme="minorEastAsia" w:hAnsiTheme="minorEastAsia" w:eastAsiaTheme="minorEastAsia" w:cstheme="minorEastAsia"/>
          <w:b w:val="0"/>
          <w:bCs/>
          <w:color w:val="000000"/>
          <w:spacing w:val="-11"/>
          <w:sz w:val="24"/>
          <w:szCs w:val="24"/>
        </w:rPr>
        <w:t>。报告中所列数据统计期限</w:t>
      </w:r>
      <w:r>
        <w:rPr>
          <w:rFonts w:hint="eastAsia" w:asciiTheme="minorEastAsia" w:hAnsiTheme="minorEastAsia" w:eastAsiaTheme="minorEastAsia" w:cstheme="minorEastAsia"/>
          <w:b w:val="0"/>
          <w:bCs/>
          <w:color w:val="000000"/>
          <w:spacing w:val="-11"/>
          <w:sz w:val="24"/>
          <w:szCs w:val="24"/>
          <w:lang w:eastAsia="zh-CN"/>
        </w:rPr>
        <w:t>为</w:t>
      </w:r>
      <w:r>
        <w:rPr>
          <w:rFonts w:hint="eastAsia" w:asciiTheme="minorEastAsia" w:hAnsiTheme="minorEastAsia" w:eastAsiaTheme="minorEastAsia" w:cstheme="minorEastAsia"/>
          <w:b w:val="0"/>
          <w:bCs/>
          <w:color w:val="000000"/>
          <w:spacing w:val="-11"/>
          <w:sz w:val="24"/>
          <w:szCs w:val="24"/>
        </w:rPr>
        <w:t>2023年1月1日至2023年12月31日。</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437" w:firstLineChars="200"/>
        <w:jc w:val="left"/>
        <w:textAlignment w:val="auto"/>
        <w:outlineLvl w:val="0"/>
        <w:rPr>
          <w:rFonts w:hint="eastAsia" w:asciiTheme="minorEastAsia" w:hAnsiTheme="minorEastAsia" w:eastAsiaTheme="minorEastAsia" w:cstheme="minorEastAsia"/>
          <w:b/>
          <w:bCs w:val="0"/>
          <w:color w:val="000000"/>
          <w:spacing w:val="-11"/>
          <w:sz w:val="24"/>
          <w:szCs w:val="24"/>
        </w:rPr>
      </w:pPr>
      <w:r>
        <w:rPr>
          <w:rFonts w:hint="eastAsia" w:asciiTheme="minorEastAsia" w:hAnsiTheme="minorEastAsia" w:eastAsiaTheme="minorEastAsia" w:cstheme="minorEastAsia"/>
          <w:b/>
          <w:bCs w:val="0"/>
          <w:color w:val="000000"/>
          <w:spacing w:val="-11"/>
          <w:sz w:val="24"/>
          <w:szCs w:val="24"/>
        </w:rPr>
        <w:t>总体情况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C00000"/>
          <w:spacing w:val="-11"/>
          <w:sz w:val="24"/>
          <w:szCs w:val="24"/>
        </w:rPr>
      </w:pPr>
      <w:r>
        <w:rPr>
          <w:rFonts w:hint="eastAsia" w:asciiTheme="minorEastAsia" w:hAnsiTheme="minorEastAsia" w:eastAsiaTheme="minorEastAsia" w:cstheme="minorEastAsia"/>
          <w:b w:val="0"/>
          <w:bCs/>
          <w:color w:val="000000"/>
          <w:spacing w:val="-11"/>
          <w:sz w:val="24"/>
          <w:szCs w:val="24"/>
        </w:rPr>
        <w:t>202</w:t>
      </w:r>
      <w:r>
        <w:rPr>
          <w:rFonts w:hint="eastAsia" w:asciiTheme="minorEastAsia" w:hAnsiTheme="minorEastAsia" w:eastAsiaTheme="minorEastAsia" w:cstheme="minorEastAsia"/>
          <w:b w:val="0"/>
          <w:bCs/>
          <w:color w:val="000000"/>
          <w:spacing w:val="-11"/>
          <w:sz w:val="24"/>
          <w:szCs w:val="24"/>
          <w:lang w:val="en-US" w:eastAsia="zh-CN"/>
        </w:rPr>
        <w:t>3</w:t>
      </w:r>
      <w:r>
        <w:rPr>
          <w:rFonts w:hint="eastAsia" w:asciiTheme="minorEastAsia" w:hAnsiTheme="minorEastAsia" w:eastAsiaTheme="minorEastAsia" w:cstheme="minorEastAsia"/>
          <w:b w:val="0"/>
          <w:bCs/>
          <w:color w:val="000000"/>
          <w:spacing w:val="-11"/>
          <w:sz w:val="24"/>
          <w:szCs w:val="24"/>
        </w:rPr>
        <w:t>年，我镇高度重视信息公开工作，认真按照上级部门的要求，积极、有序、稳妥地推进政府信息公开的各项工作。明确分管领导和工作机构，配备工作人员，强化政府工作人员信息公开意识，实现了政府信息发布、依申请公开受理、政府信息咨询等工作的一体化管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outlineLvl w:val="1"/>
        <w:rPr>
          <w:rFonts w:hint="eastAsia" w:asciiTheme="minorEastAsia" w:hAnsiTheme="minorEastAsia" w:eastAsiaTheme="minorEastAsia" w:cstheme="minorEastAsia"/>
          <w:b/>
          <w:bCs w:val="0"/>
          <w:color w:val="auto"/>
          <w:spacing w:val="-11"/>
          <w:sz w:val="24"/>
          <w:szCs w:val="24"/>
        </w:rPr>
      </w:pPr>
      <w:r>
        <w:rPr>
          <w:rFonts w:hint="eastAsia" w:asciiTheme="minorEastAsia" w:hAnsiTheme="minorEastAsia" w:eastAsiaTheme="minorEastAsia" w:cstheme="minorEastAsia"/>
          <w:b/>
          <w:bCs w:val="0"/>
          <w:color w:val="auto"/>
          <w:spacing w:val="-11"/>
          <w:sz w:val="24"/>
          <w:szCs w:val="24"/>
        </w:rPr>
        <w:t>（一）主动公开政府信息情况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val="en-US" w:eastAsia="zh-CN"/>
        </w:rPr>
        <w:t>我单位按照“决策公开、执行公开、管理公开、服务公开、结果公开”的部署要求，遵循公正、公平、合法、便民的原则，正确执行政府信息主动公开新规定，聚焦公开重点，规范公开方式。</w:t>
      </w:r>
    </w:p>
    <w:p>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firstLine="437" w:firstLineChars="200"/>
        <w:jc w:val="left"/>
        <w:textAlignment w:val="auto"/>
        <w:outlineLvl w:val="1"/>
        <w:rPr>
          <w:rFonts w:hint="eastAsia" w:asciiTheme="minorEastAsia" w:hAnsiTheme="minorEastAsia" w:eastAsiaTheme="minorEastAsia" w:cstheme="minorEastAsia"/>
          <w:b/>
          <w:bCs w:val="0"/>
          <w:color w:val="auto"/>
          <w:spacing w:val="-11"/>
          <w:sz w:val="24"/>
          <w:szCs w:val="24"/>
        </w:rPr>
      </w:pPr>
      <w:r>
        <w:rPr>
          <w:rFonts w:hint="eastAsia" w:asciiTheme="minorEastAsia" w:hAnsiTheme="minorEastAsia" w:eastAsiaTheme="minorEastAsia" w:cstheme="minorEastAsia"/>
          <w:b/>
          <w:bCs w:val="0"/>
          <w:color w:val="auto"/>
          <w:spacing w:val="-11"/>
          <w:sz w:val="24"/>
          <w:szCs w:val="24"/>
        </w:rPr>
        <w:t>依申请公开政府信息情况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default"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val="en-US" w:eastAsia="zh-CN"/>
        </w:rPr>
        <w:t>规范依申请公开工作流程，开设网络、信函、当面申请等渠道，依法依规有序推进政府信息依申请公开工作，确保及时、全面公开和回复申请人，充分尊重保障公众知情权。2023年，共收到政府信息公开申请0件。</w:t>
      </w:r>
    </w:p>
    <w:p>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left="0" w:leftChars="0" w:firstLine="437" w:firstLineChars="200"/>
        <w:jc w:val="left"/>
        <w:textAlignment w:val="auto"/>
        <w:outlineLvl w:val="1"/>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政府信息管理情况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val="en-US" w:eastAsia="zh-CN"/>
        </w:rPr>
        <w:t>我镇明确政府信息公开义务主体，按照《王林口镇权责清单》《阜平县基层政务公开标准目录汇编》，梳理确定了一批政府信息公开义务主体，在县政府门户网站上主动公开，并在阜平县王林口镇人民政府微信公众号上公开相关事项。</w:t>
      </w:r>
    </w:p>
    <w:p>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left="0" w:leftChars="0" w:firstLine="437" w:firstLineChars="200"/>
        <w:jc w:val="left"/>
        <w:textAlignment w:val="auto"/>
        <w:outlineLvl w:val="1"/>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平台建设情况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val="en-US" w:eastAsia="zh-CN"/>
        </w:rPr>
        <w:t>依托政府网站，与镇政府大院内公开栏和各村公开栏相结合的方式对全镇政务进行公开。根据我乡实际，加强对财政预决算、乡村振兴、医疗等群众关心事项及时公开。</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val="en-US" w:eastAsia="zh-CN"/>
        </w:rPr>
        <w:t>充分依托政务新媒体平台，做好信息发布、政策解读和办事服务工作。规范开设微信公众号1个。</w:t>
      </w:r>
    </w:p>
    <w:p>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left="0" w:leftChars="0" w:firstLine="437" w:firstLineChars="200"/>
        <w:jc w:val="left"/>
        <w:textAlignment w:val="auto"/>
        <w:outlineLvl w:val="1"/>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监督保障情况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val="en-US" w:eastAsia="zh-CN"/>
        </w:rPr>
        <w:t>1.加强组织领导。成立以人大副主席杨合云为组长的政务公开工作领导小组，对全年工作做出重要安排部署，并及时研究解决政务公开和政府信息公开工作中重大问题。</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val="en-US" w:eastAsia="zh-CN"/>
        </w:rPr>
        <w:t>2.完善机构建设。明确党政综合办公室具体承担政务公开工作，配备1名工作人员专门负责单位政务公开工作。</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val="en-US" w:eastAsia="zh-CN"/>
        </w:rPr>
        <w:t>3.强化业务知识学习。按照省、市、县要求，于5月18日组织开展政府信息公开法律知识学习问答活动，本单位共37名人员参加了答题活动，以测促学，推动工作人员学习宣传贯彻政府信息公开相关法律。</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0" w:leftChars="0" w:firstLine="437" w:firstLine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主动公开政府信息情况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p>
    <w:tbl>
      <w:tblPr>
        <w:tblStyle w:val="5"/>
        <w:tblW w:w="0" w:type="auto"/>
        <w:jc w:val="center"/>
        <w:tblLayout w:type="fixed"/>
        <w:tblCellMar>
          <w:top w:w="0" w:type="dxa"/>
          <w:left w:w="0" w:type="dxa"/>
          <w:bottom w:w="0" w:type="dxa"/>
          <w:right w:w="0" w:type="dxa"/>
        </w:tblCellMar>
      </w:tblPr>
      <w:tblGrid>
        <w:gridCol w:w="2490"/>
        <w:gridCol w:w="1374"/>
        <w:gridCol w:w="1139"/>
        <w:gridCol w:w="1517"/>
      </w:tblGrid>
      <w:tr>
        <w:tblPrEx>
          <w:tblCellMar>
            <w:top w:w="0" w:type="dxa"/>
            <w:left w:w="0" w:type="dxa"/>
            <w:bottom w:w="0" w:type="dxa"/>
            <w:right w:w="0" w:type="dxa"/>
          </w:tblCellMar>
        </w:tblPrEx>
        <w:trPr>
          <w:trHeight w:val="656" w:hRule="atLeast"/>
          <w:jc w:val="center"/>
        </w:trPr>
        <w:tc>
          <w:tcPr>
            <w:tcW w:w="6520" w:type="dxa"/>
            <w:gridSpan w:val="4"/>
            <w:tcBorders>
              <w:top w:val="single" w:color="auto" w:sz="8" w:space="0"/>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第二十条第（一）项</w:t>
            </w:r>
          </w:p>
        </w:tc>
      </w:tr>
      <w:tr>
        <w:tblPrEx>
          <w:tblCellMar>
            <w:top w:w="0" w:type="dxa"/>
            <w:left w:w="0" w:type="dxa"/>
            <w:bottom w:w="0" w:type="dxa"/>
            <w:right w:w="0" w:type="dxa"/>
          </w:tblCellMar>
        </w:tblPrEx>
        <w:trPr>
          <w:trHeight w:val="802" w:hRule="atLeas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1374"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lang w:eastAsia="zh-CN"/>
              </w:rPr>
            </w:pPr>
            <w:r>
              <w:rPr>
                <w:rFonts w:hint="eastAsia" w:ascii="宋体" w:hAnsi="宋体" w:eastAsia="宋体" w:cs="宋体"/>
                <w:color w:val="000000"/>
                <w:kern w:val="0"/>
                <w:sz w:val="20"/>
                <w:szCs w:val="20"/>
              </w:rPr>
              <w:t>本年</w:t>
            </w:r>
            <w:r>
              <w:rPr>
                <w:rFonts w:hint="eastAsia" w:ascii="宋体" w:hAnsi="宋体" w:eastAsia="宋体" w:cs="宋体"/>
                <w:color w:val="000000"/>
                <w:kern w:val="0"/>
                <w:sz w:val="20"/>
                <w:szCs w:val="20"/>
                <w:lang w:eastAsia="zh-CN"/>
              </w:rPr>
              <w:t>制发件数</w:t>
            </w:r>
          </w:p>
        </w:tc>
        <w:tc>
          <w:tcPr>
            <w:tcW w:w="1139"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lang w:eastAsia="zh-CN"/>
              </w:rPr>
            </w:pPr>
            <w:r>
              <w:rPr>
                <w:rFonts w:hint="eastAsia" w:ascii="宋体" w:hAnsi="宋体" w:eastAsia="宋体" w:cs="宋体"/>
                <w:color w:val="000000"/>
                <w:kern w:val="0"/>
                <w:sz w:val="20"/>
                <w:szCs w:val="20"/>
              </w:rPr>
              <w:t>本年</w:t>
            </w:r>
            <w:r>
              <w:rPr>
                <w:rFonts w:hint="eastAsia" w:ascii="宋体" w:hAnsi="宋体" w:eastAsia="宋体" w:cs="宋体"/>
                <w:color w:val="000000"/>
                <w:kern w:val="0"/>
                <w:sz w:val="20"/>
                <w:szCs w:val="20"/>
                <w:lang w:eastAsia="zh-CN"/>
              </w:rPr>
              <w:t>废止件数</w:t>
            </w:r>
          </w:p>
        </w:tc>
        <w:tc>
          <w:tcPr>
            <w:tcW w:w="1517"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现行有效件数</w:t>
            </w:r>
          </w:p>
        </w:tc>
      </w:tr>
      <w:tr>
        <w:tblPrEx>
          <w:tblCellMar>
            <w:top w:w="0" w:type="dxa"/>
            <w:left w:w="0" w:type="dxa"/>
            <w:bottom w:w="0" w:type="dxa"/>
            <w:right w:w="0" w:type="dxa"/>
          </w:tblCellMar>
        </w:tblPrEx>
        <w:trPr>
          <w:trHeight w:val="521" w:hRule="atLeas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规章</w:t>
            </w:r>
          </w:p>
        </w:tc>
        <w:tc>
          <w:tcPr>
            <w:tcW w:w="1374"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139"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517"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0" w:type="dxa"/>
            <w:bottom w:w="0" w:type="dxa"/>
            <w:right w:w="0" w:type="dxa"/>
          </w:tblCellMar>
        </w:tblPrEx>
        <w:trPr>
          <w:trHeight w:val="431" w:hRule="atLeas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lang w:eastAsia="zh-CN"/>
              </w:rPr>
              <w:t>行政</w:t>
            </w:r>
            <w:r>
              <w:rPr>
                <w:rFonts w:hint="eastAsia" w:ascii="宋体" w:hAnsi="宋体" w:eastAsia="宋体" w:cs="宋体"/>
                <w:color w:val="000000"/>
                <w:kern w:val="0"/>
                <w:sz w:val="20"/>
                <w:szCs w:val="20"/>
              </w:rPr>
              <w:t>规范性文件</w:t>
            </w:r>
          </w:p>
        </w:tc>
        <w:tc>
          <w:tcPr>
            <w:tcW w:w="1374"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139"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517"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0" w:type="dxa"/>
            <w:bottom w:w="0" w:type="dxa"/>
            <w:right w:w="0" w:type="dxa"/>
          </w:tblCellMar>
        </w:tblPrEx>
        <w:trPr>
          <w:trHeight w:val="656" w:hRule="atLeast"/>
          <w:jc w:val="center"/>
        </w:trPr>
        <w:tc>
          <w:tcPr>
            <w:tcW w:w="652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第二十条第（五）项</w:t>
            </w:r>
          </w:p>
        </w:tc>
      </w:tr>
      <w:tr>
        <w:tblPrEx>
          <w:tblCellMar>
            <w:top w:w="0" w:type="dxa"/>
            <w:left w:w="0" w:type="dxa"/>
            <w:bottom w:w="0" w:type="dxa"/>
            <w:right w:w="0" w:type="dxa"/>
          </w:tblCellMar>
        </w:tblPrEx>
        <w:trPr>
          <w:trHeight w:val="536" w:hRule="atLeas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4030"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本年处理决定数量</w:t>
            </w:r>
          </w:p>
        </w:tc>
      </w:tr>
      <w:tr>
        <w:tblPrEx>
          <w:tblCellMar>
            <w:top w:w="0" w:type="dxa"/>
            <w:left w:w="0" w:type="dxa"/>
            <w:bottom w:w="0" w:type="dxa"/>
            <w:right w:w="0" w:type="dxa"/>
          </w:tblCellMar>
        </w:tblPrEx>
        <w:trPr>
          <w:trHeight w:val="469" w:hRule="exac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行政许可</w:t>
            </w:r>
          </w:p>
        </w:tc>
        <w:tc>
          <w:tcPr>
            <w:tcW w:w="4030"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sz w:val="20"/>
                <w:szCs w:val="20"/>
                <w:lang w:val="en-US" w:eastAsia="zh-CN"/>
              </w:rPr>
            </w:pPr>
            <w:r>
              <w:rPr>
                <w:rFonts w:hint="eastAsia" w:ascii="宋体" w:hAnsi="宋体" w:eastAsia="宋体" w:cs="宋体"/>
                <w:color w:val="000000"/>
                <w:kern w:val="0"/>
                <w:sz w:val="20"/>
                <w:szCs w:val="20"/>
                <w:lang w:val="en-US" w:eastAsia="zh-CN"/>
              </w:rPr>
              <w:t>0</w:t>
            </w:r>
          </w:p>
          <w:p>
            <w:pPr>
              <w:widowControl/>
              <w:spacing w:after="180"/>
              <w:jc w:val="left"/>
              <w:rPr>
                <w:sz w:val="20"/>
                <w:szCs w:val="20"/>
              </w:rPr>
            </w:pPr>
            <w:r>
              <w:rPr>
                <w:rFonts w:hint="eastAsia" w:ascii="宋体" w:hAnsi="宋体" w:eastAsia="宋体" w:cs="宋体"/>
                <w:color w:val="000000"/>
                <w:kern w:val="0"/>
                <w:sz w:val="20"/>
                <w:szCs w:val="20"/>
              </w:rPr>
              <w:t> </w:t>
            </w:r>
          </w:p>
        </w:tc>
      </w:tr>
      <w:tr>
        <w:tblPrEx>
          <w:tblCellMar>
            <w:top w:w="0" w:type="dxa"/>
            <w:left w:w="0" w:type="dxa"/>
            <w:bottom w:w="0" w:type="dxa"/>
            <w:right w:w="0" w:type="dxa"/>
          </w:tblCellMar>
        </w:tblPrEx>
        <w:trPr>
          <w:trHeight w:val="656" w:hRule="atLeast"/>
          <w:jc w:val="center"/>
        </w:trPr>
        <w:tc>
          <w:tcPr>
            <w:tcW w:w="652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第二十条第（六）项</w:t>
            </w:r>
          </w:p>
        </w:tc>
      </w:tr>
      <w:tr>
        <w:tblPrEx>
          <w:tblCellMar>
            <w:top w:w="0" w:type="dxa"/>
            <w:left w:w="0" w:type="dxa"/>
            <w:bottom w:w="0" w:type="dxa"/>
            <w:right w:w="0" w:type="dxa"/>
          </w:tblCellMar>
        </w:tblPrEx>
        <w:trPr>
          <w:trHeight w:val="536" w:hRule="atLeas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4030"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本年处理决定数量</w:t>
            </w:r>
          </w:p>
        </w:tc>
      </w:tr>
      <w:tr>
        <w:tblPrEx>
          <w:tblCellMar>
            <w:top w:w="0" w:type="dxa"/>
            <w:left w:w="0" w:type="dxa"/>
            <w:bottom w:w="0" w:type="dxa"/>
            <w:right w:w="0" w:type="dxa"/>
          </w:tblCellMar>
        </w:tblPrEx>
        <w:trPr>
          <w:trHeight w:val="454" w:hRule="exac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行政处罚</w:t>
            </w:r>
          </w:p>
        </w:tc>
        <w:tc>
          <w:tcPr>
            <w:tcW w:w="4030"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eastAsia="宋体"/>
                <w:sz w:val="20"/>
                <w:szCs w:val="20"/>
                <w:lang w:val="en-US" w:eastAsia="zh-CN"/>
              </w:rPr>
            </w:pPr>
            <w:r>
              <w:rPr>
                <w:rFonts w:hint="eastAsia" w:eastAsia="宋体"/>
                <w:sz w:val="20"/>
                <w:szCs w:val="20"/>
                <w:lang w:val="en-US" w:eastAsia="zh-CN"/>
              </w:rPr>
              <w:t>3</w:t>
            </w:r>
          </w:p>
          <w:p>
            <w:pPr>
              <w:widowControl/>
              <w:spacing w:after="180"/>
              <w:jc w:val="center"/>
              <w:rPr>
                <w:sz w:val="20"/>
                <w:szCs w:val="20"/>
              </w:rPr>
            </w:pPr>
          </w:p>
          <w:p>
            <w:pPr>
              <w:widowControl/>
              <w:spacing w:after="180"/>
              <w:jc w:val="left"/>
              <w:rPr>
                <w:sz w:val="20"/>
                <w:szCs w:val="20"/>
              </w:rPr>
            </w:pPr>
            <w:r>
              <w:rPr>
                <w:rFonts w:hint="eastAsia" w:ascii="宋体" w:hAnsi="宋体" w:eastAsia="宋体" w:cs="宋体"/>
                <w:color w:val="000000"/>
                <w:kern w:val="0"/>
                <w:sz w:val="20"/>
                <w:szCs w:val="20"/>
              </w:rPr>
              <w:t>　</w:t>
            </w:r>
          </w:p>
        </w:tc>
      </w:tr>
      <w:tr>
        <w:tblPrEx>
          <w:tblCellMar>
            <w:top w:w="0" w:type="dxa"/>
            <w:left w:w="0" w:type="dxa"/>
            <w:bottom w:w="0" w:type="dxa"/>
            <w:right w:w="0" w:type="dxa"/>
          </w:tblCellMar>
        </w:tblPrEx>
        <w:trPr>
          <w:trHeight w:val="475" w:hRule="exac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行政强制</w:t>
            </w:r>
          </w:p>
        </w:tc>
        <w:tc>
          <w:tcPr>
            <w:tcW w:w="4030"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sz w:val="20"/>
                <w:szCs w:val="20"/>
                <w:lang w:val="en-US" w:eastAsia="zh-CN"/>
              </w:rPr>
            </w:pPr>
            <w:r>
              <w:rPr>
                <w:rFonts w:hint="eastAsia" w:ascii="宋体" w:hAnsi="宋体" w:eastAsia="宋体" w:cs="宋体"/>
                <w:color w:val="000000"/>
                <w:kern w:val="0"/>
                <w:sz w:val="20"/>
                <w:szCs w:val="20"/>
                <w:lang w:val="en-US" w:eastAsia="zh-CN"/>
              </w:rPr>
              <w:t>0</w:t>
            </w:r>
          </w:p>
        </w:tc>
      </w:tr>
      <w:tr>
        <w:tblPrEx>
          <w:tblCellMar>
            <w:top w:w="0" w:type="dxa"/>
            <w:left w:w="0" w:type="dxa"/>
            <w:bottom w:w="0" w:type="dxa"/>
            <w:right w:w="0" w:type="dxa"/>
          </w:tblCellMar>
        </w:tblPrEx>
        <w:trPr>
          <w:trHeight w:val="656" w:hRule="atLeast"/>
          <w:jc w:val="center"/>
        </w:trPr>
        <w:tc>
          <w:tcPr>
            <w:tcW w:w="652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第二十条第（八）项</w:t>
            </w:r>
          </w:p>
        </w:tc>
      </w:tr>
      <w:tr>
        <w:tblPrEx>
          <w:tblCellMar>
            <w:top w:w="0" w:type="dxa"/>
            <w:left w:w="0" w:type="dxa"/>
            <w:bottom w:w="0" w:type="dxa"/>
            <w:right w:w="0" w:type="dxa"/>
          </w:tblCellMar>
        </w:tblPrEx>
        <w:trPr>
          <w:trHeight w:val="464" w:hRule="exac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4030"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lang w:eastAsia="zh-CN"/>
              </w:rPr>
              <w:t>本年收费金额（单位：万元）</w:t>
            </w:r>
          </w:p>
        </w:tc>
      </w:tr>
      <w:tr>
        <w:tblPrEx>
          <w:tblCellMar>
            <w:top w:w="0" w:type="dxa"/>
            <w:left w:w="0" w:type="dxa"/>
            <w:bottom w:w="0" w:type="dxa"/>
            <w:right w:w="0" w:type="dxa"/>
          </w:tblCellMar>
        </w:tblPrEx>
        <w:trPr>
          <w:trHeight w:val="509" w:hRule="exact"/>
          <w:jc w:val="center"/>
        </w:trPr>
        <w:tc>
          <w:tcPr>
            <w:tcW w:w="2490"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行政事业性收费</w:t>
            </w:r>
          </w:p>
        </w:tc>
        <w:tc>
          <w:tcPr>
            <w:tcW w:w="4030"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p>
    <w:p>
      <w:pPr>
        <w:numPr>
          <w:ilvl w:val="0"/>
          <w:numId w:val="0"/>
        </w:numPr>
        <w:bidi w:val="0"/>
        <w:ind w:firstLine="240" w:firstLineChars="100"/>
        <w:jc w:val="left"/>
        <w:outlineLvl w:val="0"/>
        <w:rPr>
          <w:rFonts w:hint="default"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sz w:val="24"/>
          <w:szCs w:val="24"/>
          <w:lang w:val="en-US" w:eastAsia="zh-CN"/>
        </w:rPr>
        <w:t>三、</w:t>
      </w:r>
      <w:r>
        <w:rPr>
          <w:rFonts w:hint="eastAsia" w:asciiTheme="minorEastAsia" w:hAnsiTheme="minorEastAsia" w:eastAsiaTheme="minorEastAsia" w:cstheme="minorEastAsia"/>
          <w:b/>
          <w:bCs/>
          <w:sz w:val="24"/>
          <w:szCs w:val="24"/>
        </w:rPr>
        <w:t>收到和处理政府信息公开申请情况</w:t>
      </w:r>
    </w:p>
    <w:tbl>
      <w:tblPr>
        <w:tblStyle w:val="5"/>
        <w:tblpPr w:leftFromText="180" w:rightFromText="180" w:vertAnchor="text" w:horzAnchor="page" w:tblpX="1551" w:tblpY="-11900"/>
        <w:tblOverlap w:val="never"/>
        <w:tblW w:w="0" w:type="auto"/>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063"/>
        <w:gridCol w:w="1028"/>
        <w:gridCol w:w="3162"/>
        <w:gridCol w:w="314"/>
        <w:gridCol w:w="392"/>
        <w:gridCol w:w="392"/>
        <w:gridCol w:w="706"/>
        <w:gridCol w:w="706"/>
        <w:gridCol w:w="315"/>
        <w:gridCol w:w="393"/>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06" w:hRule="atLeast"/>
        </w:trPr>
        <w:tc>
          <w:tcPr>
            <w:tcW w:w="0" w:type="auto"/>
            <w:gridSpan w:val="3"/>
            <w:vMerge w:val="restart"/>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kern w:val="0"/>
                <w:sz w:val="20"/>
                <w:szCs w:val="20"/>
                <w:lang w:val="en-US" w:eastAsia="zh-CN" w:bidi="ar"/>
              </w:rPr>
              <w:t xml:space="preserve"> （本列数据的勾稽关系为：第一项加第二项之和，等于第三项加第四项之和）</w:t>
            </w:r>
          </w:p>
        </w:tc>
        <w:tc>
          <w:tcPr>
            <w:tcW w:w="0" w:type="auto"/>
            <w:gridSpan w:val="7"/>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0" w:type="auto"/>
            <w:vMerge w:val="restart"/>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人</w:t>
            </w:r>
          </w:p>
        </w:tc>
        <w:tc>
          <w:tcPr>
            <w:tcW w:w="0" w:type="auto"/>
            <w:gridSpan w:val="5"/>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法人或其他组织</w:t>
            </w:r>
          </w:p>
        </w:tc>
        <w:tc>
          <w:tcPr>
            <w:tcW w:w="0" w:type="auto"/>
            <w:vMerge w:val="restart"/>
            <w:tcBorders>
              <w:top w:val="single"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093" w:hRule="atLeast"/>
        </w:trPr>
        <w:tc>
          <w:tcPr>
            <w:tcW w:w="0" w:type="auto"/>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0" w:type="auto"/>
            <w:vMerge w:val="continue"/>
            <w:tcBorders>
              <w:top w:val="nil"/>
              <w:left w:val="nil"/>
              <w:bottom w:val="single"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商业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企业</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机构</w:t>
            </w:r>
          </w:p>
        </w:tc>
        <w:tc>
          <w:tcPr>
            <w:tcW w:w="0" w:type="auto"/>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社会公益组织</w:t>
            </w:r>
          </w:p>
        </w:tc>
        <w:tc>
          <w:tcPr>
            <w:tcW w:w="0" w:type="auto"/>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法律服务机构</w:t>
            </w:r>
          </w:p>
        </w:tc>
        <w:tc>
          <w:tcPr>
            <w:tcW w:w="0" w:type="auto"/>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他</w:t>
            </w:r>
          </w:p>
        </w:tc>
        <w:tc>
          <w:tcPr>
            <w:tcW w:w="0" w:type="auto"/>
            <w:vMerge w:val="continue"/>
            <w:tcBorders>
              <w:top w:val="single"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06" w:hRule="atLeast"/>
        </w:trPr>
        <w:tc>
          <w:tcPr>
            <w:tcW w:w="0" w:type="auto"/>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一、本年新收政府信息公开申请数量</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二、上年结转政府信息公开申请数量</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06" w:hRule="atLeast"/>
        </w:trPr>
        <w:tc>
          <w:tcPr>
            <w:tcW w:w="0" w:type="auto"/>
            <w:vMerge w:val="restart"/>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三、本年度办理结果</w:t>
            </w:r>
          </w:p>
        </w:tc>
        <w:tc>
          <w:tcPr>
            <w:tcW w:w="0" w:type="auto"/>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（一）予以公开</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56"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（二）部分公开</w:t>
            </w:r>
            <w:r>
              <w:rPr>
                <w:rFonts w:hint="default" w:ascii="楷体" w:hAnsi="楷体" w:eastAsia="楷体" w:cs="楷体"/>
                <w:color w:val="auto"/>
                <w:kern w:val="0"/>
                <w:sz w:val="20"/>
                <w:szCs w:val="20"/>
                <w:lang w:val="en-US" w:eastAsia="zh-CN" w:bidi="ar"/>
              </w:rPr>
              <w:t>（区分处理的，只计这一情形，不计其他情形）</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（三）不予公开</w:t>
            </w: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1.属于国家秘密</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2.其他法律行政法规禁止公开</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3.危及“三安全一稳定”</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4.保护第三方合法权益</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5.属于三类内部事务信息</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6.属于四类过程性信息</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7.属于行政执法案卷</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8.属于行政查询事项</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（四）无法提供</w:t>
            </w: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1.本机关不掌握相关政府信息</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2.没有现成信息需要另行制作</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3.补正后申请内容仍不明确</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（五）不予处理</w:t>
            </w: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1.信访举报投诉类申请</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2.重复申请</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3.要求提供公开出版物</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4.无正当理由大量反复申请</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56"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5.要求行政机关确认或重新出具已获取信息</w:t>
            </w:r>
          </w:p>
        </w:tc>
        <w:tc>
          <w:tcPr>
            <w:tcW w:w="0" w:type="auto"/>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24"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restart"/>
            <w:tcBorders>
              <w:top w:val="outset"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（六）其他处理</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1.申请人无正当理由逾期不补正、行政机关不再处理其政府信息公开申请</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24"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2.申请人逾期未按收费通知要求缴纳费用、行政机关不再处理其政府信息公开申请</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3.其他</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0" w:hRule="atLeast"/>
        </w:trPr>
        <w:tc>
          <w:tcPr>
            <w:tcW w:w="0" w:type="auto"/>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0" w:type="auto"/>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（七）总计</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3" w:hRule="atLeast"/>
        </w:trPr>
        <w:tc>
          <w:tcPr>
            <w:tcW w:w="0" w:type="auto"/>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四、结转下年度继续办理</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0" w:type="auto"/>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bl>
    <w:p>
      <w:pPr>
        <w:numPr>
          <w:ilvl w:val="0"/>
          <w:numId w:val="0"/>
        </w:numPr>
        <w:bidi w:val="0"/>
        <w:ind w:left="420" w:leftChars="0"/>
        <w:jc w:val="left"/>
        <w:outlineLvl w:val="0"/>
        <w:rPr>
          <w:rFonts w:hint="eastAsia" w:asciiTheme="minorEastAsia" w:hAnsiTheme="minorEastAsia" w:eastAsiaTheme="minorEastAsia" w:cstheme="minorEastAsia"/>
          <w:b/>
          <w:bCs/>
          <w:sz w:val="24"/>
          <w:szCs w:val="24"/>
        </w:rPr>
      </w:pPr>
    </w:p>
    <w:p>
      <w:pPr>
        <w:numPr>
          <w:ilvl w:val="0"/>
          <w:numId w:val="0"/>
        </w:numPr>
        <w:bidi w:val="0"/>
        <w:jc w:val="left"/>
        <w:outlineLvl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四、</w:t>
      </w:r>
      <w:r>
        <w:rPr>
          <w:rFonts w:hint="eastAsia" w:asciiTheme="minorEastAsia" w:hAnsiTheme="minorEastAsia" w:eastAsiaTheme="minorEastAsia" w:cstheme="minorEastAsia"/>
          <w:b/>
          <w:bCs/>
          <w:sz w:val="24"/>
          <w:szCs w:val="24"/>
        </w:rPr>
        <w:t>政府信息公开行政复议、行政诉讼情况</w:t>
      </w:r>
    </w:p>
    <w:p>
      <w:pPr>
        <w:numPr>
          <w:ilvl w:val="0"/>
          <w:numId w:val="0"/>
        </w:numPr>
        <w:bidi w:val="0"/>
        <w:ind w:left="420" w:leftChars="0"/>
        <w:jc w:val="left"/>
        <w:outlineLvl w:val="0"/>
        <w:rPr>
          <w:rFonts w:hint="eastAsia" w:asciiTheme="minorEastAsia" w:hAnsiTheme="minorEastAsia" w:eastAsiaTheme="minorEastAsia" w:cstheme="minorEastAsia"/>
          <w:b/>
          <w:bCs/>
          <w:sz w:val="24"/>
          <w:szCs w:val="24"/>
        </w:rPr>
      </w:pPr>
    </w:p>
    <w:p>
      <w:pPr>
        <w:numPr>
          <w:ilvl w:val="0"/>
          <w:numId w:val="0"/>
        </w:numPr>
        <w:bidi w:val="0"/>
        <w:jc w:val="left"/>
        <w:outlineLvl w:val="0"/>
        <w:rPr>
          <w:rFonts w:hint="eastAsia" w:asciiTheme="minorEastAsia" w:hAnsiTheme="minorEastAsia" w:eastAsiaTheme="minorEastAsia" w:cstheme="minorEastAsia"/>
          <w:b/>
          <w:bCs/>
          <w:sz w:val="24"/>
          <w:szCs w:val="24"/>
        </w:rPr>
      </w:pPr>
    </w:p>
    <w:tbl>
      <w:tblPr>
        <w:tblStyle w:val="5"/>
        <w:tblpPr w:leftFromText="180" w:rightFromText="180" w:vertAnchor="text" w:horzAnchor="page" w:tblpX="1370" w:tblpY="-409"/>
        <w:tblOverlap w:val="never"/>
        <w:tblW w:w="9079"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57"/>
        <w:gridCol w:w="633"/>
        <w:gridCol w:w="633"/>
        <w:gridCol w:w="633"/>
        <w:gridCol w:w="443"/>
        <w:gridCol w:w="661"/>
        <w:gridCol w:w="703"/>
        <w:gridCol w:w="646"/>
        <w:gridCol w:w="675"/>
        <w:gridCol w:w="383"/>
        <w:gridCol w:w="717"/>
        <w:gridCol w:w="674"/>
        <w:gridCol w:w="646"/>
        <w:gridCol w:w="647"/>
        <w:gridCol w:w="428"/>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65" w:hRule="atLeast"/>
        </w:trPr>
        <w:tc>
          <w:tcPr>
            <w:tcW w:w="2899"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行政复议</w:t>
            </w:r>
          </w:p>
        </w:tc>
        <w:tc>
          <w:tcPr>
            <w:tcW w:w="6180"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87" w:hRule="atLeast"/>
        </w:trPr>
        <w:tc>
          <w:tcPr>
            <w:tcW w:w="557"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结果维持</w:t>
            </w:r>
          </w:p>
        </w:tc>
        <w:tc>
          <w:tcPr>
            <w:tcW w:w="633"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4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总计</w:t>
            </w:r>
          </w:p>
        </w:tc>
        <w:tc>
          <w:tcPr>
            <w:tcW w:w="306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未经复议直接起诉</w:t>
            </w:r>
          </w:p>
        </w:tc>
        <w:tc>
          <w:tcPr>
            <w:tcW w:w="3112"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34" w:hRule="atLeast"/>
        </w:trPr>
        <w:tc>
          <w:tcPr>
            <w:tcW w:w="557"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33"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44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75"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38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c>
          <w:tcPr>
            <w:tcW w:w="71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67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4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28"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42" w:hRule="atLeast"/>
        </w:trPr>
        <w:tc>
          <w:tcPr>
            <w:tcW w:w="55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5"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38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1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4"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28" w:type="dxa"/>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eastAsia="仿宋_GB2312"/>
                <w:sz w:val="24"/>
                <w:szCs w:val="24"/>
                <w:lang w:val="en-US" w:eastAsia="zh-CN"/>
              </w:rPr>
            </w:pPr>
            <w:r>
              <w:rPr>
                <w:rFonts w:hint="eastAsia" w:ascii="Calibri" w:hAnsi="Calibri" w:eastAsia="宋体" w:cs="Calibri"/>
                <w:color w:val="auto"/>
                <w:kern w:val="0"/>
                <w:sz w:val="20"/>
                <w:szCs w:val="20"/>
                <w:lang w:val="en-US" w:eastAsia="zh-CN" w:bidi="ar"/>
              </w:rPr>
              <w:t>0</w:t>
            </w:r>
          </w:p>
        </w:tc>
      </w:tr>
    </w:tbl>
    <w:p>
      <w:pPr>
        <w:keepNext w:val="0"/>
        <w:keepLines w:val="0"/>
        <w:pageBreakBefore w:val="0"/>
        <w:widowControl w:val="0"/>
        <w:kinsoku/>
        <w:wordWrap/>
        <w:overflowPunct/>
        <w:topLinePunct w:val="0"/>
        <w:autoSpaceDE/>
        <w:autoSpaceDN/>
        <w:bidi w:val="0"/>
        <w:adjustRightInd/>
        <w:snapToGrid/>
        <w:spacing w:line="480" w:lineRule="exact"/>
        <w:ind w:firstLine="481" w:firstLineChars="200"/>
        <w:jc w:val="left"/>
        <w:textAlignment w:val="auto"/>
        <w:outlineLvl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五、存在的主要问题及改进情况</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存在问题：一是对《中华人民共和国政府信息公开条例》部分规定理解不透彻；二是工作人员缺乏专业技术支撑，存在信息更新不及时等问题；三是推动政务公开和政府信息公开的力度有所欠缺，公开内容不够丰富。</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b w:val="0"/>
          <w:bCs w:val="0"/>
          <w:color w:val="C00000"/>
          <w:sz w:val="24"/>
          <w:szCs w:val="24"/>
        </w:rPr>
      </w:pPr>
      <w:r>
        <w:rPr>
          <w:rFonts w:hint="eastAsia" w:asciiTheme="minorEastAsia" w:hAnsiTheme="minorEastAsia" w:eastAsiaTheme="minorEastAsia" w:cstheme="minorEastAsia"/>
          <w:b w:val="0"/>
          <w:bCs w:val="0"/>
          <w:sz w:val="24"/>
          <w:szCs w:val="24"/>
          <w:lang w:val="en-US" w:eastAsia="zh-CN"/>
        </w:rPr>
        <w:t>改进措施：一是不断强化对工作人员的理论培训和业务培训，不断提高信息公开意识和服务意识，按程守规公开政府信息，确保政府信息及时、准确、全面地公开；二是扎实推进政府信息公开工作，多渠道、多形式，向社会和广大群众宣传政府信息公开工作，努力形成各级干部认真抓好政府信息公开、群众积极关心政府信息公开的社会氛围；三是不断充实和完善信息公开内容，确保信息公开及时、准确、完整，增强政府信息发布主动性、权威性和时效性。</w:t>
      </w:r>
    </w:p>
    <w:p>
      <w:pPr>
        <w:keepNext w:val="0"/>
        <w:keepLines w:val="0"/>
        <w:pageBreakBefore w:val="0"/>
        <w:widowControl w:val="0"/>
        <w:kinsoku/>
        <w:wordWrap/>
        <w:overflowPunct/>
        <w:topLinePunct w:val="0"/>
        <w:autoSpaceDE/>
        <w:autoSpaceDN/>
        <w:bidi w:val="0"/>
        <w:adjustRightInd/>
        <w:snapToGrid/>
        <w:spacing w:line="480" w:lineRule="exact"/>
        <w:ind w:firstLine="481" w:firstLineChars="200"/>
        <w:jc w:val="left"/>
        <w:textAlignment w:val="auto"/>
        <w:outlineLvl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六、其他需要报告的事项</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我</w:t>
      </w:r>
      <w:r>
        <w:rPr>
          <w:rFonts w:hint="eastAsia" w:asciiTheme="minorEastAsia" w:hAnsiTheme="minorEastAsia" w:eastAsiaTheme="minorEastAsia" w:cstheme="minorEastAsia"/>
          <w:b w:val="0"/>
          <w:bCs w:val="0"/>
          <w:sz w:val="24"/>
          <w:szCs w:val="24"/>
          <w:lang w:eastAsia="zh-CN"/>
        </w:rPr>
        <w:t>镇</w:t>
      </w:r>
      <w:r>
        <w:rPr>
          <w:rFonts w:hint="eastAsia" w:asciiTheme="minorEastAsia" w:hAnsiTheme="minorEastAsia" w:eastAsiaTheme="minorEastAsia" w:cstheme="minorEastAsia"/>
          <w:b w:val="0"/>
          <w:bCs w:val="0"/>
          <w:sz w:val="24"/>
          <w:szCs w:val="24"/>
        </w:rPr>
        <w:t>认真贯彻执行国务院办公厅《政府信息公开信息处理费管理办法》，</w:t>
      </w:r>
      <w:r>
        <w:rPr>
          <w:rFonts w:hint="eastAsia" w:asciiTheme="minorEastAsia" w:hAnsiTheme="minorEastAsia" w:eastAsiaTheme="minorEastAsia" w:cstheme="minorEastAsia"/>
          <w:b w:val="0"/>
          <w:bCs w:val="0"/>
          <w:sz w:val="24"/>
          <w:szCs w:val="24"/>
          <w:lang w:eastAsia="zh-CN"/>
        </w:rPr>
        <w:t>本年度</w:t>
      </w:r>
      <w:r>
        <w:rPr>
          <w:rFonts w:hint="eastAsia" w:asciiTheme="minorEastAsia" w:hAnsiTheme="minorEastAsia" w:eastAsiaTheme="minorEastAsia" w:cstheme="minorEastAsia"/>
          <w:b w:val="0"/>
          <w:bCs w:val="0"/>
          <w:sz w:val="24"/>
          <w:szCs w:val="24"/>
        </w:rPr>
        <w:t>未收取信息处理费。</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b w:val="0"/>
          <w:bCs w:val="0"/>
          <w:sz w:val="24"/>
          <w:szCs w:val="24"/>
        </w:rPr>
      </w:pP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CESI仿宋-GB2312">
    <w:panose1 w:val="02000500000000000000"/>
    <w:charset w:val="86"/>
    <w:family w:val="auto"/>
    <w:pitch w:val="default"/>
    <w:sig w:usb0="800002AF" w:usb1="084F6CF8" w:usb2="00000010" w:usb3="00000000" w:csb0="0004000F"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Microsoft YaHei">
    <w:altName w:val="方正黑体_GB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BC3FC8"/>
    <w:multiLevelType w:val="singleLevel"/>
    <w:tmpl w:val="D7BC3FC8"/>
    <w:lvl w:ilvl="0" w:tentative="0">
      <w:start w:val="2"/>
      <w:numFmt w:val="chineseCounting"/>
      <w:suff w:val="nothing"/>
      <w:lvlText w:val="（%1）"/>
      <w:lvlJc w:val="left"/>
      <w:rPr>
        <w:rFonts w:hint="eastAsia"/>
      </w:rPr>
    </w:lvl>
  </w:abstractNum>
  <w:abstractNum w:abstractNumId="1">
    <w:nsid w:val="FFEBFB3B"/>
    <w:multiLevelType w:val="singleLevel"/>
    <w:tmpl w:val="FFEBFB3B"/>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5B229F"/>
    <w:rsid w:val="000168E7"/>
    <w:rsid w:val="00091070"/>
    <w:rsid w:val="00102236"/>
    <w:rsid w:val="00121401"/>
    <w:rsid w:val="00157AC8"/>
    <w:rsid w:val="001801D5"/>
    <w:rsid w:val="00296580"/>
    <w:rsid w:val="002B2C96"/>
    <w:rsid w:val="00455C5D"/>
    <w:rsid w:val="004F0B4A"/>
    <w:rsid w:val="00586B59"/>
    <w:rsid w:val="00631E81"/>
    <w:rsid w:val="00653E36"/>
    <w:rsid w:val="008E1B1A"/>
    <w:rsid w:val="008E44F4"/>
    <w:rsid w:val="00A53DE3"/>
    <w:rsid w:val="00B5390F"/>
    <w:rsid w:val="00C06F06"/>
    <w:rsid w:val="00C51C9D"/>
    <w:rsid w:val="00CB4FF3"/>
    <w:rsid w:val="00CE1DC8"/>
    <w:rsid w:val="00D26420"/>
    <w:rsid w:val="00D36948"/>
    <w:rsid w:val="00E06057"/>
    <w:rsid w:val="00E212AC"/>
    <w:rsid w:val="00E41BBC"/>
    <w:rsid w:val="00E57F2A"/>
    <w:rsid w:val="00EA3ADC"/>
    <w:rsid w:val="00EF14E8"/>
    <w:rsid w:val="00F24E13"/>
    <w:rsid w:val="00FA6E92"/>
    <w:rsid w:val="00FC07B6"/>
    <w:rsid w:val="01285338"/>
    <w:rsid w:val="08494556"/>
    <w:rsid w:val="09813DFD"/>
    <w:rsid w:val="0B2121D5"/>
    <w:rsid w:val="0FF935DB"/>
    <w:rsid w:val="11B05C5A"/>
    <w:rsid w:val="128103AD"/>
    <w:rsid w:val="15836008"/>
    <w:rsid w:val="19DE11D5"/>
    <w:rsid w:val="1A0F4175"/>
    <w:rsid w:val="1EFC934B"/>
    <w:rsid w:val="238E43F5"/>
    <w:rsid w:val="23F630A6"/>
    <w:rsid w:val="26B5A241"/>
    <w:rsid w:val="29477282"/>
    <w:rsid w:val="2E8A0E7B"/>
    <w:rsid w:val="316A709C"/>
    <w:rsid w:val="341765DF"/>
    <w:rsid w:val="35F777F0"/>
    <w:rsid w:val="38CB1FBA"/>
    <w:rsid w:val="3ADEDF92"/>
    <w:rsid w:val="3B214D37"/>
    <w:rsid w:val="3E5B229F"/>
    <w:rsid w:val="3EF585D3"/>
    <w:rsid w:val="3EFE4581"/>
    <w:rsid w:val="3FAF05CC"/>
    <w:rsid w:val="3FFF3219"/>
    <w:rsid w:val="42F84FBB"/>
    <w:rsid w:val="43DA9812"/>
    <w:rsid w:val="4D617EE6"/>
    <w:rsid w:val="4E137BDD"/>
    <w:rsid w:val="51DB235B"/>
    <w:rsid w:val="53FFD66A"/>
    <w:rsid w:val="541E6540"/>
    <w:rsid w:val="571C05B0"/>
    <w:rsid w:val="5A6F3991"/>
    <w:rsid w:val="5B5D1369"/>
    <w:rsid w:val="5D4F0FEF"/>
    <w:rsid w:val="5FBD64F2"/>
    <w:rsid w:val="61022B79"/>
    <w:rsid w:val="62811E35"/>
    <w:rsid w:val="67A3A7A5"/>
    <w:rsid w:val="68C13E1A"/>
    <w:rsid w:val="695D0560"/>
    <w:rsid w:val="69C937CA"/>
    <w:rsid w:val="6AFBAD5F"/>
    <w:rsid w:val="6BFEC61B"/>
    <w:rsid w:val="6FDF47DB"/>
    <w:rsid w:val="6FFF0CB4"/>
    <w:rsid w:val="71A62D78"/>
    <w:rsid w:val="72826491"/>
    <w:rsid w:val="74ED2BBE"/>
    <w:rsid w:val="764322DF"/>
    <w:rsid w:val="772F065A"/>
    <w:rsid w:val="77BB3DCB"/>
    <w:rsid w:val="77CFF03C"/>
    <w:rsid w:val="7B7CC9B3"/>
    <w:rsid w:val="7D292759"/>
    <w:rsid w:val="7D3B25CC"/>
    <w:rsid w:val="7DDEB177"/>
    <w:rsid w:val="7DF756EB"/>
    <w:rsid w:val="7E2247C9"/>
    <w:rsid w:val="7ED53247"/>
    <w:rsid w:val="7EDDBA1E"/>
    <w:rsid w:val="7EFA1255"/>
    <w:rsid w:val="7FA76860"/>
    <w:rsid w:val="7FBF5690"/>
    <w:rsid w:val="7FC953CC"/>
    <w:rsid w:val="7FDF440F"/>
    <w:rsid w:val="7FE38852"/>
    <w:rsid w:val="8B9E95E9"/>
    <w:rsid w:val="92EC8D3F"/>
    <w:rsid w:val="9CEEDF49"/>
    <w:rsid w:val="A76EE464"/>
    <w:rsid w:val="B21D80AD"/>
    <w:rsid w:val="B45D9279"/>
    <w:rsid w:val="B7E7C1F0"/>
    <w:rsid w:val="BF6B13F6"/>
    <w:rsid w:val="BFF7D8B8"/>
    <w:rsid w:val="C3EEB8D0"/>
    <w:rsid w:val="CB7FA613"/>
    <w:rsid w:val="D37BBE9C"/>
    <w:rsid w:val="D4F38090"/>
    <w:rsid w:val="D99F8203"/>
    <w:rsid w:val="DACFF94B"/>
    <w:rsid w:val="DBF75DDE"/>
    <w:rsid w:val="DFC65336"/>
    <w:rsid w:val="E7FFFAFD"/>
    <w:rsid w:val="E9F54829"/>
    <w:rsid w:val="EAFFF69E"/>
    <w:rsid w:val="EDF7EABE"/>
    <w:rsid w:val="EF3E3C5F"/>
    <w:rsid w:val="EF77B124"/>
    <w:rsid w:val="EF7B5EE5"/>
    <w:rsid w:val="EFB618C8"/>
    <w:rsid w:val="EFFF7831"/>
    <w:rsid w:val="F1F799B7"/>
    <w:rsid w:val="F75718EB"/>
    <w:rsid w:val="F7BEC138"/>
    <w:rsid w:val="F7DF081B"/>
    <w:rsid w:val="F7E52A64"/>
    <w:rsid w:val="F7FF2A12"/>
    <w:rsid w:val="F91E050A"/>
    <w:rsid w:val="FB17AA77"/>
    <w:rsid w:val="FB5D8DA7"/>
    <w:rsid w:val="FB6F83DF"/>
    <w:rsid w:val="FCBAD453"/>
    <w:rsid w:val="FCF3C5E7"/>
    <w:rsid w:val="FDEB3F1E"/>
    <w:rsid w:val="FF7AA915"/>
    <w:rsid w:val="FFBE5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customStyle="1" w:styleId="7">
    <w:name w:val="页眉 Char"/>
    <w:basedOn w:val="6"/>
    <w:link w:val="3"/>
    <w:qFormat/>
    <w:uiPriority w:val="0"/>
    <w:rPr>
      <w:rFonts w:ascii="仿宋_GB2312" w:eastAsia="仿宋_GB2312"/>
      <w:kern w:val="2"/>
      <w:sz w:val="18"/>
      <w:szCs w:val="18"/>
    </w:rPr>
  </w:style>
  <w:style w:type="character" w:customStyle="1" w:styleId="8">
    <w:name w:val="页脚 Char"/>
    <w:basedOn w:val="6"/>
    <w:link w:val="2"/>
    <w:qFormat/>
    <w:uiPriority w:val="0"/>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Pages>
  <Words>543</Words>
  <Characters>3100</Characters>
  <Lines>25</Lines>
  <Paragraphs>7</Paragraphs>
  <TotalTime>1</TotalTime>
  <ScaleCrop>false</ScaleCrop>
  <LinksUpToDate>false</LinksUpToDate>
  <CharactersWithSpaces>3636</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2020-01-03T11:38:00Z</dcterms:created>
  <dc:creator>小公举</dc:creator>
  <cp:lastModifiedBy>work</cp:lastModifiedBy>
  <cp:lastPrinted>2023-01-12T08:50:00Z</cp:lastPrinted>
  <dcterms:modified xsi:type="dcterms:W3CDTF">2024-01-16T15:06:07Z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614698D0AE7A46B7AA8E5E485B64DD8C</vt:lpwstr>
  </property>
</Properties>
</file>