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center"/>
        <w:outlineLvl w:val="0"/>
        <w:rPr>
          <w:rFonts w:hint="eastAsia" w:cs="方正小标宋简体" w:asciiTheme="majorEastAsia" w:hAnsiTheme="majorEastAsia" w:eastAsiaTheme="majorEastAsia"/>
          <w:b/>
          <w:color w:val="auto"/>
          <w:spacing w:val="-11"/>
          <w:sz w:val="36"/>
          <w:szCs w:val="36"/>
          <w:lang w:val="en-US" w:eastAsia="zh-CN"/>
        </w:rPr>
      </w:pPr>
      <w:r>
        <w:rPr>
          <w:rFonts w:hint="eastAsia" w:cs="方正小标宋简体" w:asciiTheme="majorEastAsia" w:hAnsiTheme="majorEastAsia" w:eastAsiaTheme="majorEastAsia"/>
          <w:b/>
          <w:color w:val="auto"/>
          <w:spacing w:val="-11"/>
          <w:sz w:val="36"/>
          <w:szCs w:val="36"/>
          <w:lang w:val="en-US" w:eastAsia="zh-CN"/>
        </w:rPr>
        <w:t>大台乡人民政府</w:t>
      </w:r>
    </w:p>
    <w:p>
      <w:pPr>
        <w:spacing w:line="540" w:lineRule="exact"/>
        <w:jc w:val="center"/>
        <w:outlineLvl w:val="0"/>
        <w:rPr>
          <w:rFonts w:hint="eastAsia" w:cs="方正小标宋简体" w:asciiTheme="majorEastAsia" w:hAnsiTheme="majorEastAsia" w:eastAsiaTheme="majorEastAsia"/>
          <w:b/>
          <w:color w:val="000000"/>
          <w:spacing w:val="-11"/>
          <w:sz w:val="36"/>
          <w:szCs w:val="36"/>
        </w:rPr>
      </w:pPr>
      <w:r>
        <w:rPr>
          <w:rFonts w:hint="eastAsia" w:cs="方正小标宋简体" w:asciiTheme="majorEastAsia" w:hAnsiTheme="majorEastAsia" w:eastAsiaTheme="majorEastAsia"/>
          <w:b/>
          <w:color w:val="000000"/>
          <w:spacing w:val="-11"/>
          <w:sz w:val="36"/>
          <w:szCs w:val="36"/>
        </w:rPr>
        <w:t>202</w:t>
      </w:r>
      <w:r>
        <w:rPr>
          <w:rFonts w:hint="eastAsia" w:cs="方正小标宋简体" w:asciiTheme="majorEastAsia" w:hAnsiTheme="majorEastAsia" w:eastAsiaTheme="majorEastAsia"/>
          <w:b/>
          <w:color w:val="000000"/>
          <w:spacing w:val="-11"/>
          <w:sz w:val="36"/>
          <w:szCs w:val="36"/>
          <w:lang w:val="en-US" w:eastAsia="zh-CN"/>
        </w:rPr>
        <w:t>3</w:t>
      </w:r>
      <w:r>
        <w:rPr>
          <w:rFonts w:hint="eastAsia" w:cs="方正小标宋简体" w:asciiTheme="majorEastAsia" w:hAnsiTheme="majorEastAsia" w:eastAsiaTheme="majorEastAsia"/>
          <w:b/>
          <w:color w:val="000000"/>
          <w:spacing w:val="-11"/>
          <w:sz w:val="36"/>
          <w:szCs w:val="36"/>
        </w:rPr>
        <w:t>年政府信息公开工作年度报告</w:t>
      </w:r>
    </w:p>
    <w:p>
      <w:pPr>
        <w:spacing w:line="540" w:lineRule="exact"/>
        <w:jc w:val="center"/>
        <w:rPr>
          <w:rFonts w:hint="eastAsia" w:cs="方正小标宋简体" w:asciiTheme="majorEastAsia" w:hAnsiTheme="majorEastAsia" w:eastAsiaTheme="majorEastAsia"/>
          <w:b/>
          <w:color w:val="000000"/>
          <w:spacing w:val="-11"/>
          <w:sz w:val="36"/>
          <w:szCs w:val="36"/>
        </w:rPr>
      </w:pP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rPr>
      </w:pPr>
      <w:r>
        <w:rPr>
          <w:rFonts w:hint="eastAsia" w:asciiTheme="minorEastAsia" w:hAnsiTheme="minorEastAsia" w:eastAsiaTheme="minorEastAsia" w:cstheme="minorEastAsia"/>
          <w:b w:val="0"/>
          <w:bCs/>
          <w:color w:val="000000"/>
          <w:spacing w:val="-11"/>
          <w:sz w:val="24"/>
          <w:szCs w:val="24"/>
          <w:lang w:eastAsia="zh-CN"/>
        </w:rPr>
        <w:t>根</w:t>
      </w:r>
      <w:r>
        <w:rPr>
          <w:rFonts w:hint="eastAsia" w:asciiTheme="minorEastAsia" w:hAnsiTheme="minorEastAsia" w:eastAsiaTheme="minorEastAsia" w:cstheme="minorEastAsia"/>
          <w:b w:val="0"/>
          <w:bCs/>
          <w:color w:val="000000"/>
          <w:spacing w:val="-11"/>
          <w:sz w:val="24"/>
          <w:szCs w:val="24"/>
        </w:rPr>
        <w:t>据《中华人民共和国政府信息公开条例》《</w:t>
      </w:r>
      <w:r>
        <w:rPr>
          <w:rFonts w:hint="eastAsia" w:asciiTheme="minorEastAsia" w:hAnsiTheme="minorEastAsia" w:eastAsiaTheme="minorEastAsia" w:cstheme="minorEastAsia"/>
          <w:b w:val="0"/>
          <w:bCs/>
          <w:color w:val="000000"/>
          <w:spacing w:val="-11"/>
          <w:sz w:val="24"/>
          <w:szCs w:val="24"/>
          <w:lang w:eastAsia="zh-CN"/>
        </w:rPr>
        <w:t>河北省实施</w:t>
      </w:r>
      <w:r>
        <w:rPr>
          <w:rFonts w:hint="eastAsia" w:asciiTheme="minorEastAsia" w:hAnsiTheme="minorEastAsia" w:eastAsiaTheme="minorEastAsia" w:cstheme="minorEastAsia"/>
          <w:b w:val="0"/>
          <w:bCs/>
          <w:color w:val="000000"/>
          <w:spacing w:val="-11"/>
          <w:sz w:val="24"/>
          <w:szCs w:val="24"/>
          <w:lang w:val="en-US" w:eastAsia="zh-CN"/>
        </w:rPr>
        <w:t xml:space="preserve"> </w:t>
      </w:r>
      <w:r>
        <w:rPr>
          <w:rFonts w:hint="eastAsia" w:ascii="CESI仿宋-GB2312" w:hAnsi="CESI仿宋-GB2312" w:eastAsia="CESI仿宋-GB2312" w:cs="CESI仿宋-GB2312"/>
          <w:b w:val="0"/>
          <w:bCs/>
          <w:color w:val="000000"/>
          <w:spacing w:val="-11"/>
          <w:sz w:val="24"/>
          <w:szCs w:val="24"/>
          <w:lang w:eastAsia="zh-CN"/>
        </w:rPr>
        <w:t>&lt;</w:t>
      </w:r>
      <w:r>
        <w:rPr>
          <w:rFonts w:hint="eastAsia" w:asciiTheme="minorEastAsia" w:hAnsiTheme="minorEastAsia" w:eastAsiaTheme="minorEastAsia" w:cstheme="minorEastAsia"/>
          <w:b w:val="0"/>
          <w:bCs/>
          <w:color w:val="000000"/>
          <w:spacing w:val="-11"/>
          <w:sz w:val="24"/>
          <w:szCs w:val="24"/>
        </w:rPr>
        <w:t>中华人民共和国政府信息公开</w:t>
      </w:r>
      <w:r>
        <w:rPr>
          <w:rFonts w:hint="eastAsia" w:asciiTheme="minorEastAsia" w:hAnsiTheme="minorEastAsia" w:eastAsiaTheme="minorEastAsia" w:cstheme="minorEastAsia"/>
          <w:b w:val="0"/>
          <w:bCs/>
          <w:color w:val="000000"/>
          <w:spacing w:val="-11"/>
          <w:sz w:val="24"/>
          <w:szCs w:val="24"/>
          <w:lang w:eastAsia="zh-CN"/>
        </w:rPr>
        <w:t>条例</w:t>
      </w:r>
      <w:r>
        <w:rPr>
          <w:rFonts w:hint="eastAsia" w:asciiTheme="minorEastAsia" w:hAnsiTheme="minorEastAsia" w:eastAsiaTheme="minorEastAsia" w:cstheme="minorEastAsia"/>
          <w:b w:val="0"/>
          <w:bCs/>
          <w:color w:val="000000"/>
          <w:spacing w:val="-11"/>
          <w:sz w:val="24"/>
          <w:szCs w:val="24"/>
          <w:lang w:val="en-US" w:eastAsia="zh-CN"/>
        </w:rPr>
        <w:t xml:space="preserve"> </w:t>
      </w:r>
      <w:r>
        <w:rPr>
          <w:rFonts w:hint="eastAsia" w:ascii="CESI仿宋-GB2312" w:hAnsi="CESI仿宋-GB2312" w:eastAsia="CESI仿宋-GB2312" w:cs="CESI仿宋-GB2312"/>
          <w:b w:val="0"/>
          <w:bCs/>
          <w:color w:val="000000"/>
          <w:spacing w:val="-11"/>
          <w:sz w:val="24"/>
          <w:szCs w:val="24"/>
          <w:lang w:eastAsia="zh-CN"/>
        </w:rPr>
        <w:t>&gt;</w:t>
      </w:r>
      <w:r>
        <w:rPr>
          <w:rFonts w:hint="eastAsia" w:ascii="CESI仿宋-GB2312" w:hAnsi="CESI仿宋-GB2312" w:eastAsia="CESI仿宋-GB2312" w:cs="CESI仿宋-GB2312"/>
          <w:b w:val="0"/>
          <w:bCs/>
          <w:color w:val="000000"/>
          <w:spacing w:val="-11"/>
          <w:sz w:val="24"/>
          <w:szCs w:val="24"/>
          <w:lang w:val="en-US" w:eastAsia="zh-CN"/>
        </w:rPr>
        <w:t xml:space="preserve"> </w:t>
      </w:r>
      <w:r>
        <w:rPr>
          <w:rFonts w:hint="eastAsia" w:asciiTheme="minorEastAsia" w:hAnsiTheme="minorEastAsia" w:eastAsiaTheme="minorEastAsia" w:cstheme="minorEastAsia"/>
          <w:b w:val="0"/>
          <w:bCs/>
          <w:color w:val="000000"/>
          <w:spacing w:val="-11"/>
          <w:sz w:val="24"/>
          <w:szCs w:val="24"/>
          <w:lang w:eastAsia="zh-CN"/>
        </w:rPr>
        <w:t>办法</w:t>
      </w:r>
      <w:r>
        <w:rPr>
          <w:rFonts w:hint="eastAsia" w:asciiTheme="minorEastAsia" w:hAnsiTheme="minorEastAsia" w:eastAsiaTheme="minorEastAsia" w:cstheme="minorEastAsia"/>
          <w:b w:val="0"/>
          <w:bCs/>
          <w:color w:val="000000"/>
          <w:spacing w:val="-11"/>
          <w:sz w:val="24"/>
          <w:szCs w:val="24"/>
        </w:rPr>
        <w:t>》</w:t>
      </w:r>
      <w:r>
        <w:rPr>
          <w:rFonts w:hint="eastAsia" w:asciiTheme="minorEastAsia" w:hAnsiTheme="minorEastAsia" w:eastAsiaTheme="minorEastAsia" w:cstheme="minorEastAsia"/>
          <w:b w:val="0"/>
          <w:bCs/>
          <w:color w:val="000000"/>
          <w:spacing w:val="-11"/>
          <w:sz w:val="24"/>
          <w:szCs w:val="24"/>
          <w:lang w:eastAsia="zh-CN"/>
        </w:rPr>
        <w:t>等规定，发布本年度报告</w:t>
      </w:r>
      <w:r>
        <w:rPr>
          <w:rFonts w:hint="eastAsia" w:asciiTheme="minorEastAsia" w:hAnsiTheme="minorEastAsia" w:eastAsiaTheme="minorEastAsia" w:cstheme="minorEastAsia"/>
          <w:b w:val="0"/>
          <w:bCs/>
          <w:color w:val="000000"/>
          <w:spacing w:val="-11"/>
          <w:sz w:val="24"/>
          <w:szCs w:val="24"/>
        </w:rPr>
        <w:t>。报告中所列数据统计期限</w:t>
      </w:r>
      <w:r>
        <w:rPr>
          <w:rFonts w:hint="eastAsia" w:asciiTheme="minorEastAsia" w:hAnsiTheme="minorEastAsia" w:eastAsiaTheme="minorEastAsia" w:cstheme="minorEastAsia"/>
          <w:b w:val="0"/>
          <w:bCs/>
          <w:color w:val="000000"/>
          <w:spacing w:val="-11"/>
          <w:sz w:val="24"/>
          <w:szCs w:val="24"/>
          <w:lang w:eastAsia="zh-CN"/>
        </w:rPr>
        <w:t>为</w:t>
      </w:r>
      <w:r>
        <w:rPr>
          <w:rFonts w:hint="eastAsia" w:asciiTheme="minorEastAsia" w:hAnsiTheme="minorEastAsia" w:eastAsiaTheme="minorEastAsia" w:cstheme="minorEastAsia"/>
          <w:b w:val="0"/>
          <w:bCs/>
          <w:color w:val="000000"/>
          <w:spacing w:val="-11"/>
          <w:sz w:val="24"/>
          <w:szCs w:val="24"/>
        </w:rPr>
        <w:t>2023年1月1日至2023年12月31日。</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firstLine="437" w:firstLineChars="200"/>
        <w:jc w:val="left"/>
        <w:textAlignment w:val="auto"/>
        <w:outlineLvl w:val="0"/>
        <w:rPr>
          <w:rFonts w:hint="eastAsia" w:asciiTheme="minorEastAsia" w:hAnsiTheme="minorEastAsia" w:eastAsiaTheme="minorEastAsia" w:cstheme="minorEastAsia"/>
          <w:b/>
          <w:bCs w:val="0"/>
          <w:color w:val="000000"/>
          <w:spacing w:val="-11"/>
          <w:sz w:val="24"/>
          <w:szCs w:val="24"/>
        </w:rPr>
      </w:pPr>
      <w:r>
        <w:rPr>
          <w:rFonts w:hint="eastAsia" w:asciiTheme="minorEastAsia" w:hAnsiTheme="minorEastAsia" w:eastAsiaTheme="minorEastAsia" w:cstheme="minorEastAsia"/>
          <w:b/>
          <w:bCs w:val="0"/>
          <w:color w:val="000000"/>
          <w:spacing w:val="-11"/>
          <w:sz w:val="24"/>
          <w:szCs w:val="24"/>
        </w:rPr>
        <w:t>总体情况</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7" w:firstLineChars="200"/>
        <w:jc w:val="left"/>
        <w:textAlignment w:val="auto"/>
        <w:outlineLvl w:val="1"/>
        <w:rPr>
          <w:rFonts w:hint="eastAsia" w:asciiTheme="minorEastAsia" w:hAnsiTheme="minorEastAsia" w:eastAsiaTheme="minorEastAsia" w:cstheme="minorEastAsia"/>
          <w:b/>
          <w:bCs w:val="0"/>
          <w:color w:val="auto"/>
          <w:spacing w:val="-11"/>
          <w:sz w:val="24"/>
          <w:szCs w:val="24"/>
        </w:rPr>
      </w:pPr>
      <w:r>
        <w:rPr>
          <w:rFonts w:hint="eastAsia" w:asciiTheme="minorEastAsia" w:hAnsiTheme="minorEastAsia" w:eastAsiaTheme="minorEastAsia" w:cstheme="minorEastAsia"/>
          <w:b/>
          <w:bCs w:val="0"/>
          <w:color w:val="auto"/>
          <w:spacing w:val="-11"/>
          <w:sz w:val="24"/>
          <w:szCs w:val="24"/>
        </w:rPr>
        <w:t>（一）主动公开政府信息情况</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val="en-US" w:eastAsia="zh-CN"/>
        </w:rPr>
      </w:pPr>
      <w:r>
        <w:rPr>
          <w:rFonts w:hint="eastAsia" w:asciiTheme="minorEastAsia" w:hAnsiTheme="minorEastAsia" w:eastAsiaTheme="minorEastAsia" w:cstheme="minorEastAsia"/>
          <w:b w:val="0"/>
          <w:bCs/>
          <w:color w:val="000000"/>
          <w:spacing w:val="-11"/>
          <w:sz w:val="24"/>
          <w:szCs w:val="24"/>
          <w:lang w:val="en-US" w:eastAsia="zh-CN"/>
        </w:rPr>
        <w:t>我单位按照“决策公开、执行公开、管理公开、服务公开、结果公开”的部署要求，遵循公正、公平、合法、便民的原则，正确执行政府信息主动公开新规定，聚焦公开重点，规范公开方式。2023年度主动公开政府信息100余条。</w:t>
      </w:r>
    </w:p>
    <w:p>
      <w:pPr>
        <w:keepNext w:val="0"/>
        <w:keepLines w:val="0"/>
        <w:pageBreakBefore w:val="0"/>
        <w:widowControl w:val="0"/>
        <w:numPr>
          <w:ilvl w:val="0"/>
          <w:numId w:val="2"/>
        </w:numPr>
        <w:kinsoku/>
        <w:wordWrap/>
        <w:overflowPunct/>
        <w:topLinePunct w:val="0"/>
        <w:autoSpaceDE/>
        <w:autoSpaceDN/>
        <w:bidi w:val="0"/>
        <w:adjustRightInd/>
        <w:snapToGrid/>
        <w:spacing w:line="480" w:lineRule="exact"/>
        <w:ind w:firstLine="437" w:firstLineChars="200"/>
        <w:jc w:val="left"/>
        <w:textAlignment w:val="auto"/>
        <w:outlineLvl w:val="1"/>
        <w:rPr>
          <w:rFonts w:hint="eastAsia" w:asciiTheme="minorEastAsia" w:hAnsiTheme="minorEastAsia" w:eastAsiaTheme="minorEastAsia" w:cstheme="minorEastAsia"/>
          <w:b/>
          <w:bCs w:val="0"/>
          <w:color w:val="auto"/>
          <w:spacing w:val="-11"/>
          <w:sz w:val="24"/>
          <w:szCs w:val="24"/>
        </w:rPr>
      </w:pPr>
      <w:r>
        <w:rPr>
          <w:rFonts w:hint="eastAsia" w:asciiTheme="minorEastAsia" w:hAnsiTheme="minorEastAsia" w:eastAsiaTheme="minorEastAsia" w:cstheme="minorEastAsia"/>
          <w:b/>
          <w:bCs w:val="0"/>
          <w:color w:val="auto"/>
          <w:spacing w:val="-11"/>
          <w:sz w:val="24"/>
          <w:szCs w:val="24"/>
        </w:rPr>
        <w:t>依申请公开政府信息情况</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left"/>
        <w:textAlignment w:val="auto"/>
        <w:rPr>
          <w:rFonts w:hint="default" w:asciiTheme="minorEastAsia" w:hAnsiTheme="minorEastAsia" w:eastAsiaTheme="minorEastAsia" w:cstheme="minorEastAsia"/>
          <w:b w:val="0"/>
          <w:bCs/>
          <w:color w:val="C00000"/>
          <w:spacing w:val="-11"/>
          <w:sz w:val="24"/>
          <w:szCs w:val="24"/>
          <w:lang w:val="en-US" w:eastAsia="zh-CN"/>
        </w:rPr>
      </w:pPr>
      <w:r>
        <w:rPr>
          <w:rFonts w:hint="eastAsia" w:asciiTheme="minorEastAsia" w:hAnsiTheme="minorEastAsia" w:eastAsiaTheme="minorEastAsia" w:cstheme="minorEastAsia"/>
          <w:b/>
          <w:bCs w:val="0"/>
          <w:color w:val="auto"/>
          <w:spacing w:val="-11"/>
          <w:sz w:val="24"/>
          <w:szCs w:val="24"/>
          <w:lang w:val="en-US" w:eastAsia="zh-CN"/>
        </w:rPr>
        <w:t xml:space="preserve"> </w:t>
      </w:r>
      <w:r>
        <w:rPr>
          <w:rFonts w:hint="eastAsia" w:asciiTheme="minorEastAsia" w:hAnsiTheme="minorEastAsia" w:eastAsiaTheme="minorEastAsia" w:cstheme="minorEastAsia"/>
          <w:b w:val="0"/>
          <w:bCs/>
          <w:color w:val="auto"/>
          <w:spacing w:val="-11"/>
          <w:sz w:val="24"/>
          <w:szCs w:val="24"/>
          <w:lang w:val="en-US" w:eastAsia="zh-CN"/>
        </w:rPr>
        <w:t xml:space="preserve">    严格按照《河北省人民政府办公厅关于印发河北省政府信息公开申请办理规范的通知》（冀政办字〔2020〕124号），规范政府信息公开申请办理，健全完善政府信息公开申请登记、审核、办理、答复、归档制度，推行申请办理流程和答复格式文书标准化，全面提升办理工作质量。规范依申请公开工作流程，开设网络、信函、当面申请等渠道，依法依规有序推进政府信息依申请公开工作，确保及时、全面公开和回复申请人，充分尊重保障公众知情权。2023年，共收到政府信息公开申请0件。</w:t>
      </w:r>
    </w:p>
    <w:p>
      <w:pPr>
        <w:keepNext w:val="0"/>
        <w:keepLines w:val="0"/>
        <w:pageBreakBefore w:val="0"/>
        <w:widowControl w:val="0"/>
        <w:numPr>
          <w:ilvl w:val="0"/>
          <w:numId w:val="2"/>
        </w:numPr>
        <w:kinsoku/>
        <w:wordWrap/>
        <w:overflowPunct/>
        <w:topLinePunct w:val="0"/>
        <w:autoSpaceDE/>
        <w:autoSpaceDN/>
        <w:bidi w:val="0"/>
        <w:adjustRightInd/>
        <w:snapToGrid/>
        <w:spacing w:line="480" w:lineRule="exact"/>
        <w:ind w:left="0" w:leftChars="0" w:firstLine="437" w:firstLineChars="200"/>
        <w:jc w:val="left"/>
        <w:textAlignment w:val="auto"/>
        <w:outlineLvl w:val="1"/>
        <w:rPr>
          <w:rFonts w:hint="eastAsia" w:asciiTheme="minorEastAsia" w:hAnsiTheme="minorEastAsia" w:eastAsiaTheme="minorEastAsia" w:cstheme="minorEastAsia"/>
          <w:b/>
          <w:bCs w:val="0"/>
          <w:color w:val="auto"/>
          <w:spacing w:val="-11"/>
          <w:sz w:val="24"/>
          <w:szCs w:val="24"/>
          <w:lang w:val="en-US" w:eastAsia="zh-CN"/>
        </w:rPr>
      </w:pPr>
      <w:r>
        <w:rPr>
          <w:rFonts w:hint="eastAsia" w:asciiTheme="minorEastAsia" w:hAnsiTheme="minorEastAsia" w:eastAsiaTheme="minorEastAsia" w:cstheme="minorEastAsia"/>
          <w:b/>
          <w:bCs w:val="0"/>
          <w:color w:val="auto"/>
          <w:spacing w:val="-11"/>
          <w:sz w:val="24"/>
          <w:szCs w:val="24"/>
          <w:lang w:val="en-US" w:eastAsia="zh-CN"/>
        </w:rPr>
        <w:t>政府信息管理情况</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C00000"/>
          <w:spacing w:val="-11"/>
          <w:sz w:val="24"/>
          <w:szCs w:val="24"/>
          <w:lang w:val="en-US" w:eastAsia="zh-CN"/>
        </w:rPr>
      </w:pPr>
      <w:r>
        <w:rPr>
          <w:rFonts w:hint="eastAsia" w:asciiTheme="minorEastAsia" w:hAnsiTheme="minorEastAsia" w:eastAsiaTheme="minorEastAsia" w:cstheme="minorEastAsia"/>
          <w:b w:val="0"/>
          <w:bCs/>
          <w:color w:val="auto"/>
          <w:spacing w:val="-11"/>
          <w:sz w:val="24"/>
          <w:szCs w:val="24"/>
          <w:lang w:val="en-US" w:eastAsia="zh-CN"/>
        </w:rPr>
        <w:t>我乡明确政府信息公开义务主体，按照《大台乡权责清单》《阜平县基层政务公开标准目录汇编》，梳理确定了一批政府信息公开义务主体，在县政府门户网站上主动公开，并在阜平县大台乡人民政府微信公众号上公开相关事项。</w:t>
      </w:r>
    </w:p>
    <w:p>
      <w:pPr>
        <w:keepNext w:val="0"/>
        <w:keepLines w:val="0"/>
        <w:pageBreakBefore w:val="0"/>
        <w:widowControl w:val="0"/>
        <w:numPr>
          <w:ilvl w:val="0"/>
          <w:numId w:val="2"/>
        </w:numPr>
        <w:kinsoku/>
        <w:wordWrap/>
        <w:overflowPunct/>
        <w:topLinePunct w:val="0"/>
        <w:autoSpaceDE/>
        <w:autoSpaceDN/>
        <w:bidi w:val="0"/>
        <w:adjustRightInd/>
        <w:snapToGrid/>
        <w:spacing w:line="480" w:lineRule="exact"/>
        <w:ind w:left="0" w:leftChars="0" w:firstLine="437" w:firstLineChars="200"/>
        <w:jc w:val="left"/>
        <w:textAlignment w:val="auto"/>
        <w:outlineLvl w:val="1"/>
        <w:rPr>
          <w:rFonts w:hint="eastAsia" w:asciiTheme="minorEastAsia" w:hAnsiTheme="minorEastAsia" w:eastAsiaTheme="minorEastAsia" w:cstheme="minorEastAsia"/>
          <w:b/>
          <w:bCs w:val="0"/>
          <w:color w:val="auto"/>
          <w:spacing w:val="-11"/>
          <w:sz w:val="24"/>
          <w:szCs w:val="24"/>
          <w:lang w:val="en-US" w:eastAsia="zh-CN"/>
        </w:rPr>
      </w:pPr>
      <w:r>
        <w:rPr>
          <w:rFonts w:hint="eastAsia" w:asciiTheme="minorEastAsia" w:hAnsiTheme="minorEastAsia" w:eastAsiaTheme="minorEastAsia" w:cstheme="minorEastAsia"/>
          <w:b/>
          <w:bCs w:val="0"/>
          <w:color w:val="auto"/>
          <w:spacing w:val="-11"/>
          <w:sz w:val="24"/>
          <w:szCs w:val="24"/>
          <w:lang w:val="en-US" w:eastAsia="zh-CN"/>
        </w:rPr>
        <w:t>平台建设情况</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C00000"/>
          <w:spacing w:val="-11"/>
          <w:sz w:val="24"/>
          <w:szCs w:val="24"/>
          <w:lang w:val="en-US" w:eastAsia="zh-CN"/>
        </w:rPr>
      </w:pPr>
      <w:r>
        <w:rPr>
          <w:rFonts w:hint="eastAsia" w:asciiTheme="minorEastAsia" w:hAnsiTheme="minorEastAsia" w:eastAsiaTheme="minorEastAsia" w:cstheme="minorEastAsia"/>
          <w:b w:val="0"/>
          <w:bCs/>
          <w:color w:val="auto"/>
          <w:spacing w:val="-11"/>
          <w:sz w:val="24"/>
          <w:szCs w:val="24"/>
          <w:lang w:val="en-US" w:eastAsia="zh-CN"/>
        </w:rPr>
        <w:t>进一步加强政务新媒体管理，充分依托政务新媒体平台，做好信息发布、政策解读和办事服务工作。规范开设政务新媒体账号，微信公众号1个，2022年共发布政务信息128条。</w:t>
      </w:r>
    </w:p>
    <w:p>
      <w:pPr>
        <w:keepNext w:val="0"/>
        <w:keepLines w:val="0"/>
        <w:pageBreakBefore w:val="0"/>
        <w:widowControl w:val="0"/>
        <w:numPr>
          <w:ilvl w:val="0"/>
          <w:numId w:val="2"/>
        </w:numPr>
        <w:kinsoku/>
        <w:wordWrap/>
        <w:overflowPunct/>
        <w:topLinePunct w:val="0"/>
        <w:autoSpaceDE/>
        <w:autoSpaceDN/>
        <w:bidi w:val="0"/>
        <w:adjustRightInd/>
        <w:snapToGrid/>
        <w:spacing w:line="480" w:lineRule="exact"/>
        <w:ind w:left="0" w:leftChars="0" w:firstLine="437" w:firstLineChars="200"/>
        <w:jc w:val="left"/>
        <w:textAlignment w:val="auto"/>
        <w:outlineLvl w:val="1"/>
        <w:rPr>
          <w:rFonts w:hint="eastAsia" w:asciiTheme="minorEastAsia" w:hAnsiTheme="minorEastAsia" w:eastAsiaTheme="minorEastAsia" w:cstheme="minorEastAsia"/>
          <w:b/>
          <w:bCs w:val="0"/>
          <w:color w:val="auto"/>
          <w:spacing w:val="-11"/>
          <w:sz w:val="24"/>
          <w:szCs w:val="24"/>
          <w:lang w:val="en-US" w:eastAsia="zh-CN"/>
        </w:rPr>
      </w:pPr>
      <w:r>
        <w:rPr>
          <w:rFonts w:hint="eastAsia" w:asciiTheme="minorEastAsia" w:hAnsiTheme="minorEastAsia" w:eastAsiaTheme="minorEastAsia" w:cstheme="minorEastAsia"/>
          <w:b/>
          <w:bCs w:val="0"/>
          <w:color w:val="auto"/>
          <w:spacing w:val="-11"/>
          <w:sz w:val="24"/>
          <w:szCs w:val="24"/>
          <w:lang w:val="en-US" w:eastAsia="zh-CN"/>
        </w:rPr>
        <w:t>监督保障情况</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bCs w:val="0"/>
          <w:color w:val="auto"/>
          <w:spacing w:val="-11"/>
          <w:sz w:val="24"/>
          <w:szCs w:val="24"/>
          <w:lang w:val="en-US" w:eastAsia="zh-CN"/>
        </w:rPr>
      </w:pPr>
      <w:r>
        <w:rPr>
          <w:rFonts w:hint="eastAsia" w:asciiTheme="minorEastAsia" w:hAnsiTheme="minorEastAsia" w:eastAsiaTheme="minorEastAsia" w:cstheme="minorEastAsia"/>
          <w:b w:val="0"/>
          <w:bCs/>
          <w:color w:val="auto"/>
          <w:spacing w:val="-11"/>
          <w:sz w:val="24"/>
          <w:szCs w:val="24"/>
          <w:lang w:val="en-US" w:eastAsia="zh-CN"/>
        </w:rPr>
        <w:t>成立以党委书记为组长的政务公开工作领导小组，对全年工作做出重要安排部署，并及时研究解决政务公开和政府信息公开工作中重大问题； 明确宣传股具体承担政务公开工作，配备2名工作人员专门负责单位政务公开工作；通过微信公众号、乡公示栏等形式向社会宣传政务公开工作，今后我单位将加大向县政府政务公开部门信息报送力度，大力宣传政务公开新举措、新成效；按照省、市、县要求，于5月份组织开展政府信息公开法律知识学习问答活动，本单位共43名人员参加了答题活动，以测促学，推动工作人员学习宣传贯彻政府信息公开相关法律。</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0" w:leftChars="0" w:firstLine="437" w:firstLineChars="200"/>
        <w:jc w:val="left"/>
        <w:textAlignment w:val="auto"/>
        <w:outlineLvl w:val="0"/>
        <w:rPr>
          <w:rFonts w:hint="eastAsia" w:asciiTheme="minorEastAsia" w:hAnsiTheme="minorEastAsia" w:eastAsiaTheme="minorEastAsia" w:cstheme="minorEastAsia"/>
          <w:b/>
          <w:bCs w:val="0"/>
          <w:color w:val="auto"/>
          <w:spacing w:val="-11"/>
          <w:sz w:val="24"/>
          <w:szCs w:val="24"/>
          <w:lang w:val="en-US" w:eastAsia="zh-CN"/>
        </w:rPr>
      </w:pPr>
      <w:r>
        <w:rPr>
          <w:rFonts w:hint="eastAsia" w:asciiTheme="minorEastAsia" w:hAnsiTheme="minorEastAsia" w:eastAsiaTheme="minorEastAsia" w:cstheme="minorEastAsia"/>
          <w:b/>
          <w:bCs w:val="0"/>
          <w:color w:val="auto"/>
          <w:spacing w:val="-11"/>
          <w:sz w:val="24"/>
          <w:szCs w:val="24"/>
          <w:lang w:val="en-US" w:eastAsia="zh-CN"/>
        </w:rPr>
        <w:t>主动公开政府信息情况</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200"/>
        <w:jc w:val="left"/>
        <w:textAlignment w:val="auto"/>
        <w:outlineLvl w:val="0"/>
        <w:rPr>
          <w:rFonts w:hint="eastAsia" w:asciiTheme="minorEastAsia" w:hAnsiTheme="minorEastAsia" w:eastAsiaTheme="minorEastAsia" w:cstheme="minorEastAsia"/>
          <w:b/>
          <w:bCs w:val="0"/>
          <w:color w:val="auto"/>
          <w:spacing w:val="-11"/>
          <w:sz w:val="24"/>
          <w:szCs w:val="24"/>
          <w:lang w:val="en-US" w:eastAsia="zh-CN"/>
        </w:rPr>
      </w:pPr>
    </w:p>
    <w:tbl>
      <w:tblPr>
        <w:tblStyle w:val="5"/>
        <w:tblW w:w="0" w:type="auto"/>
        <w:jc w:val="center"/>
        <w:tblLayout w:type="fixed"/>
        <w:tblCellMar>
          <w:top w:w="0" w:type="dxa"/>
          <w:left w:w="0" w:type="dxa"/>
          <w:bottom w:w="0" w:type="dxa"/>
          <w:right w:w="0" w:type="dxa"/>
        </w:tblCellMar>
      </w:tblPr>
      <w:tblGrid>
        <w:gridCol w:w="2490"/>
        <w:gridCol w:w="1374"/>
        <w:gridCol w:w="1139"/>
        <w:gridCol w:w="1517"/>
      </w:tblGrid>
      <w:tr>
        <w:tblPrEx>
          <w:tblCellMar>
            <w:top w:w="0" w:type="dxa"/>
            <w:left w:w="0" w:type="dxa"/>
            <w:bottom w:w="0" w:type="dxa"/>
            <w:right w:w="0" w:type="dxa"/>
          </w:tblCellMar>
        </w:tblPrEx>
        <w:trPr>
          <w:trHeight w:val="656" w:hRule="atLeast"/>
          <w:jc w:val="center"/>
        </w:trPr>
        <w:tc>
          <w:tcPr>
            <w:tcW w:w="6520" w:type="dxa"/>
            <w:gridSpan w:val="4"/>
            <w:tcBorders>
              <w:top w:val="single" w:color="auto" w:sz="8" w:space="0"/>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第二十条第（一）项</w:t>
            </w:r>
          </w:p>
        </w:tc>
      </w:tr>
      <w:tr>
        <w:tblPrEx>
          <w:tblCellMar>
            <w:top w:w="0" w:type="dxa"/>
            <w:left w:w="0" w:type="dxa"/>
            <w:bottom w:w="0" w:type="dxa"/>
            <w:right w:w="0" w:type="dxa"/>
          </w:tblCellMar>
        </w:tblPrEx>
        <w:trPr>
          <w:trHeight w:val="771" w:hRule="atLeast"/>
          <w:jc w:val="center"/>
        </w:trPr>
        <w:tc>
          <w:tcPr>
            <w:tcW w:w="2490"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信息内容</w:t>
            </w:r>
          </w:p>
        </w:tc>
        <w:tc>
          <w:tcPr>
            <w:tcW w:w="1374"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宋体"/>
                <w:lang w:eastAsia="zh-CN"/>
              </w:rPr>
            </w:pPr>
            <w:r>
              <w:rPr>
                <w:rFonts w:hint="eastAsia" w:ascii="宋体" w:hAnsi="宋体" w:eastAsia="宋体" w:cs="宋体"/>
                <w:color w:val="000000"/>
                <w:kern w:val="0"/>
                <w:sz w:val="20"/>
                <w:szCs w:val="20"/>
              </w:rPr>
              <w:t>本年</w:t>
            </w:r>
            <w:r>
              <w:rPr>
                <w:rFonts w:hint="eastAsia" w:ascii="宋体" w:hAnsi="宋体" w:eastAsia="宋体" w:cs="宋体"/>
                <w:color w:val="000000"/>
                <w:kern w:val="0"/>
                <w:sz w:val="20"/>
                <w:szCs w:val="20"/>
                <w:lang w:eastAsia="zh-CN"/>
              </w:rPr>
              <w:t>制发件数</w:t>
            </w:r>
          </w:p>
        </w:tc>
        <w:tc>
          <w:tcPr>
            <w:tcW w:w="1139"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宋体"/>
                <w:lang w:eastAsia="zh-CN"/>
              </w:rPr>
            </w:pPr>
            <w:r>
              <w:rPr>
                <w:rFonts w:hint="eastAsia" w:ascii="宋体" w:hAnsi="宋体" w:eastAsia="宋体" w:cs="宋体"/>
                <w:color w:val="000000"/>
                <w:kern w:val="0"/>
                <w:sz w:val="20"/>
                <w:szCs w:val="20"/>
              </w:rPr>
              <w:t>本年</w:t>
            </w:r>
            <w:r>
              <w:rPr>
                <w:rFonts w:hint="eastAsia" w:ascii="宋体" w:hAnsi="宋体" w:eastAsia="宋体" w:cs="宋体"/>
                <w:color w:val="000000"/>
                <w:kern w:val="0"/>
                <w:sz w:val="20"/>
                <w:szCs w:val="20"/>
                <w:lang w:eastAsia="zh-CN"/>
              </w:rPr>
              <w:t>废止件数</w:t>
            </w:r>
          </w:p>
        </w:tc>
        <w:tc>
          <w:tcPr>
            <w:tcW w:w="1517"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仿宋_GB2312"/>
                <w:lang w:eastAsia="zh-CN"/>
              </w:rPr>
            </w:pPr>
            <w:r>
              <w:rPr>
                <w:rFonts w:hint="eastAsia" w:ascii="宋体" w:hAnsi="宋体" w:eastAsia="宋体" w:cs="宋体"/>
                <w:color w:val="000000"/>
                <w:kern w:val="0"/>
                <w:sz w:val="20"/>
                <w:szCs w:val="20"/>
                <w:lang w:eastAsia="zh-CN"/>
              </w:rPr>
              <w:t>现行有效件数</w:t>
            </w:r>
          </w:p>
        </w:tc>
      </w:tr>
      <w:tr>
        <w:tblPrEx>
          <w:tblCellMar>
            <w:top w:w="0" w:type="dxa"/>
            <w:left w:w="0" w:type="dxa"/>
            <w:bottom w:w="0" w:type="dxa"/>
            <w:right w:w="0" w:type="dxa"/>
          </w:tblCellMar>
        </w:tblPrEx>
        <w:trPr>
          <w:trHeight w:val="424" w:hRule="atLeast"/>
          <w:jc w:val="center"/>
        </w:trPr>
        <w:tc>
          <w:tcPr>
            <w:tcW w:w="2490"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规章</w:t>
            </w:r>
          </w:p>
        </w:tc>
        <w:tc>
          <w:tcPr>
            <w:tcW w:w="1374"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W w:w="1139"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W w:w="1517"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r>
      <w:tr>
        <w:tblPrEx>
          <w:tblCellMar>
            <w:top w:w="0" w:type="dxa"/>
            <w:left w:w="0" w:type="dxa"/>
            <w:bottom w:w="0" w:type="dxa"/>
            <w:right w:w="0" w:type="dxa"/>
          </w:tblCellMar>
        </w:tblPrEx>
        <w:trPr>
          <w:trHeight w:val="410" w:hRule="atLeast"/>
          <w:jc w:val="center"/>
        </w:trPr>
        <w:tc>
          <w:tcPr>
            <w:tcW w:w="2490"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lang w:eastAsia="zh-CN"/>
              </w:rPr>
              <w:t>行政</w:t>
            </w:r>
            <w:r>
              <w:rPr>
                <w:rFonts w:hint="eastAsia" w:ascii="宋体" w:hAnsi="宋体" w:eastAsia="宋体" w:cs="宋体"/>
                <w:color w:val="000000"/>
                <w:kern w:val="0"/>
                <w:sz w:val="20"/>
                <w:szCs w:val="20"/>
              </w:rPr>
              <w:t>规范性文件</w:t>
            </w:r>
          </w:p>
        </w:tc>
        <w:tc>
          <w:tcPr>
            <w:tcW w:w="1374"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W w:w="1139"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W w:w="1517"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r>
      <w:tr>
        <w:tblPrEx>
          <w:tblCellMar>
            <w:top w:w="0" w:type="dxa"/>
            <w:left w:w="0" w:type="dxa"/>
            <w:bottom w:w="0" w:type="dxa"/>
            <w:right w:w="0" w:type="dxa"/>
          </w:tblCellMar>
        </w:tblPrEx>
        <w:trPr>
          <w:trHeight w:val="411" w:hRule="atLeast"/>
          <w:jc w:val="center"/>
        </w:trPr>
        <w:tc>
          <w:tcPr>
            <w:tcW w:w="6520" w:type="dxa"/>
            <w:gridSpan w:val="4"/>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第二十条第（五）项</w:t>
            </w:r>
          </w:p>
        </w:tc>
      </w:tr>
      <w:tr>
        <w:tblPrEx>
          <w:tblCellMar>
            <w:top w:w="0" w:type="dxa"/>
            <w:left w:w="0" w:type="dxa"/>
            <w:bottom w:w="0" w:type="dxa"/>
            <w:right w:w="0" w:type="dxa"/>
          </w:tblCellMar>
        </w:tblPrEx>
        <w:trPr>
          <w:trHeight w:val="466" w:hRule="atLeast"/>
          <w:jc w:val="center"/>
        </w:trPr>
        <w:tc>
          <w:tcPr>
            <w:tcW w:w="2490"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信息内容</w:t>
            </w:r>
          </w:p>
        </w:tc>
        <w:tc>
          <w:tcPr>
            <w:tcW w:w="4030" w:type="dxa"/>
            <w:gridSpan w:val="3"/>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仿宋_GB2312"/>
                <w:lang w:eastAsia="zh-CN"/>
              </w:rPr>
            </w:pPr>
            <w:r>
              <w:rPr>
                <w:rFonts w:hint="eastAsia" w:ascii="宋体" w:hAnsi="宋体" w:eastAsia="宋体" w:cs="宋体"/>
                <w:color w:val="000000"/>
                <w:kern w:val="0"/>
                <w:sz w:val="20"/>
                <w:szCs w:val="20"/>
                <w:lang w:eastAsia="zh-CN"/>
              </w:rPr>
              <w:t>本年处理决定数量</w:t>
            </w:r>
          </w:p>
        </w:tc>
      </w:tr>
      <w:tr>
        <w:tblPrEx>
          <w:tblCellMar>
            <w:top w:w="0" w:type="dxa"/>
            <w:left w:w="0" w:type="dxa"/>
            <w:bottom w:w="0" w:type="dxa"/>
            <w:right w:w="0" w:type="dxa"/>
          </w:tblCellMar>
        </w:tblPrEx>
        <w:trPr>
          <w:trHeight w:val="324" w:hRule="exact"/>
          <w:jc w:val="center"/>
        </w:trPr>
        <w:tc>
          <w:tcPr>
            <w:tcW w:w="2490"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行政许可</w:t>
            </w:r>
          </w:p>
        </w:tc>
        <w:tc>
          <w:tcPr>
            <w:tcW w:w="4030" w:type="dxa"/>
            <w:gridSpan w:val="3"/>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宋体"/>
                <w:sz w:val="20"/>
                <w:szCs w:val="20"/>
                <w:lang w:val="en-US" w:eastAsia="zh-CN"/>
              </w:rPr>
            </w:pPr>
            <w:r>
              <w:rPr>
                <w:rFonts w:hint="eastAsia" w:ascii="宋体" w:hAnsi="宋体" w:eastAsia="宋体" w:cs="宋体"/>
                <w:color w:val="000000"/>
                <w:kern w:val="0"/>
                <w:sz w:val="20"/>
                <w:szCs w:val="20"/>
                <w:lang w:val="en-US" w:eastAsia="zh-CN"/>
              </w:rPr>
              <w:t>0</w:t>
            </w:r>
          </w:p>
          <w:p>
            <w:pPr>
              <w:widowControl/>
              <w:spacing w:after="180"/>
              <w:jc w:val="left"/>
              <w:rPr>
                <w:sz w:val="20"/>
                <w:szCs w:val="20"/>
              </w:rPr>
            </w:pPr>
            <w:r>
              <w:rPr>
                <w:rFonts w:hint="eastAsia" w:ascii="宋体" w:hAnsi="宋体" w:eastAsia="宋体" w:cs="宋体"/>
                <w:color w:val="000000"/>
                <w:kern w:val="0"/>
                <w:sz w:val="20"/>
                <w:szCs w:val="20"/>
              </w:rPr>
              <w:t> </w:t>
            </w:r>
          </w:p>
        </w:tc>
      </w:tr>
      <w:tr>
        <w:tblPrEx>
          <w:tblCellMar>
            <w:top w:w="0" w:type="dxa"/>
            <w:left w:w="0" w:type="dxa"/>
            <w:bottom w:w="0" w:type="dxa"/>
            <w:right w:w="0" w:type="dxa"/>
          </w:tblCellMar>
        </w:tblPrEx>
        <w:trPr>
          <w:trHeight w:val="451" w:hRule="atLeast"/>
          <w:jc w:val="center"/>
        </w:trPr>
        <w:tc>
          <w:tcPr>
            <w:tcW w:w="6520" w:type="dxa"/>
            <w:gridSpan w:val="4"/>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第二十条第（六）项</w:t>
            </w:r>
          </w:p>
        </w:tc>
      </w:tr>
      <w:tr>
        <w:tblPrEx>
          <w:tblCellMar>
            <w:top w:w="0" w:type="dxa"/>
            <w:left w:w="0" w:type="dxa"/>
            <w:bottom w:w="0" w:type="dxa"/>
            <w:right w:w="0" w:type="dxa"/>
          </w:tblCellMar>
        </w:tblPrEx>
        <w:trPr>
          <w:trHeight w:val="602" w:hRule="atLeast"/>
          <w:jc w:val="center"/>
        </w:trPr>
        <w:tc>
          <w:tcPr>
            <w:tcW w:w="2490"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信息内容</w:t>
            </w:r>
          </w:p>
        </w:tc>
        <w:tc>
          <w:tcPr>
            <w:tcW w:w="4030" w:type="dxa"/>
            <w:gridSpan w:val="3"/>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仿宋_GB2312"/>
                <w:lang w:eastAsia="zh-CN"/>
              </w:rPr>
            </w:pPr>
            <w:r>
              <w:rPr>
                <w:rFonts w:hint="eastAsia" w:ascii="宋体" w:hAnsi="宋体" w:eastAsia="宋体" w:cs="宋体"/>
                <w:color w:val="000000"/>
                <w:kern w:val="0"/>
                <w:sz w:val="20"/>
                <w:szCs w:val="20"/>
                <w:lang w:eastAsia="zh-CN"/>
              </w:rPr>
              <w:t>本年处理决定数量</w:t>
            </w:r>
          </w:p>
        </w:tc>
      </w:tr>
      <w:tr>
        <w:tblPrEx>
          <w:tblCellMar>
            <w:top w:w="0" w:type="dxa"/>
            <w:left w:w="0" w:type="dxa"/>
            <w:bottom w:w="0" w:type="dxa"/>
            <w:right w:w="0" w:type="dxa"/>
          </w:tblCellMar>
        </w:tblPrEx>
        <w:trPr>
          <w:trHeight w:val="324" w:hRule="exact"/>
          <w:jc w:val="center"/>
        </w:trPr>
        <w:tc>
          <w:tcPr>
            <w:tcW w:w="2490"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行政处罚</w:t>
            </w:r>
          </w:p>
        </w:tc>
        <w:tc>
          <w:tcPr>
            <w:tcW w:w="4030" w:type="dxa"/>
            <w:gridSpan w:val="3"/>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宋体"/>
                <w:sz w:val="20"/>
                <w:szCs w:val="20"/>
                <w:lang w:val="en-US" w:eastAsia="zh-CN"/>
              </w:rPr>
            </w:pPr>
            <w:r>
              <w:rPr>
                <w:rFonts w:hint="eastAsia" w:ascii="宋体" w:hAnsi="宋体" w:eastAsia="宋体" w:cs="宋体"/>
                <w:color w:val="000000"/>
                <w:kern w:val="0"/>
                <w:sz w:val="20"/>
                <w:szCs w:val="20"/>
                <w:lang w:val="en-US" w:eastAsia="zh-CN"/>
              </w:rPr>
              <w:t>0</w:t>
            </w:r>
          </w:p>
          <w:p>
            <w:pPr>
              <w:widowControl/>
              <w:spacing w:after="180"/>
              <w:jc w:val="center"/>
              <w:rPr>
                <w:sz w:val="20"/>
                <w:szCs w:val="20"/>
              </w:rPr>
            </w:pPr>
          </w:p>
          <w:p>
            <w:pPr>
              <w:widowControl/>
              <w:spacing w:after="180"/>
              <w:jc w:val="left"/>
              <w:rPr>
                <w:sz w:val="20"/>
                <w:szCs w:val="20"/>
              </w:rPr>
            </w:pPr>
            <w:r>
              <w:rPr>
                <w:rFonts w:hint="eastAsia" w:ascii="宋体" w:hAnsi="宋体" w:eastAsia="宋体" w:cs="宋体"/>
                <w:color w:val="000000"/>
                <w:kern w:val="0"/>
                <w:sz w:val="20"/>
                <w:szCs w:val="20"/>
              </w:rPr>
              <w:t>　</w:t>
            </w:r>
          </w:p>
        </w:tc>
      </w:tr>
      <w:tr>
        <w:tblPrEx>
          <w:tblCellMar>
            <w:top w:w="0" w:type="dxa"/>
            <w:left w:w="0" w:type="dxa"/>
            <w:bottom w:w="0" w:type="dxa"/>
            <w:right w:w="0" w:type="dxa"/>
          </w:tblCellMar>
        </w:tblPrEx>
        <w:trPr>
          <w:trHeight w:val="360" w:hRule="exact"/>
          <w:jc w:val="center"/>
        </w:trPr>
        <w:tc>
          <w:tcPr>
            <w:tcW w:w="2490"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行政强制</w:t>
            </w:r>
          </w:p>
        </w:tc>
        <w:tc>
          <w:tcPr>
            <w:tcW w:w="4030" w:type="dxa"/>
            <w:gridSpan w:val="3"/>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宋体"/>
                <w:sz w:val="20"/>
                <w:szCs w:val="20"/>
                <w:lang w:val="en-US" w:eastAsia="zh-CN"/>
              </w:rPr>
            </w:pPr>
            <w:r>
              <w:rPr>
                <w:rFonts w:hint="eastAsia" w:ascii="宋体" w:hAnsi="宋体" w:eastAsia="宋体" w:cs="宋体"/>
                <w:color w:val="000000"/>
                <w:kern w:val="0"/>
                <w:sz w:val="20"/>
                <w:szCs w:val="20"/>
                <w:lang w:val="en-US" w:eastAsia="zh-CN"/>
              </w:rPr>
              <w:t>0</w:t>
            </w:r>
          </w:p>
        </w:tc>
      </w:tr>
      <w:tr>
        <w:tblPrEx>
          <w:tblCellMar>
            <w:top w:w="0" w:type="dxa"/>
            <w:left w:w="0" w:type="dxa"/>
            <w:bottom w:w="0" w:type="dxa"/>
            <w:right w:w="0" w:type="dxa"/>
          </w:tblCellMar>
        </w:tblPrEx>
        <w:trPr>
          <w:trHeight w:val="656" w:hRule="atLeast"/>
          <w:jc w:val="center"/>
        </w:trPr>
        <w:tc>
          <w:tcPr>
            <w:tcW w:w="6520" w:type="dxa"/>
            <w:gridSpan w:val="4"/>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第二十条第（八）项</w:t>
            </w:r>
          </w:p>
        </w:tc>
      </w:tr>
      <w:tr>
        <w:tblPrEx>
          <w:tblCellMar>
            <w:top w:w="0" w:type="dxa"/>
            <w:left w:w="0" w:type="dxa"/>
            <w:bottom w:w="0" w:type="dxa"/>
            <w:right w:w="0" w:type="dxa"/>
          </w:tblCellMar>
        </w:tblPrEx>
        <w:trPr>
          <w:trHeight w:val="324" w:hRule="exact"/>
          <w:jc w:val="center"/>
        </w:trPr>
        <w:tc>
          <w:tcPr>
            <w:tcW w:w="2490"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信息内容</w:t>
            </w:r>
          </w:p>
        </w:tc>
        <w:tc>
          <w:tcPr>
            <w:tcW w:w="4030" w:type="dxa"/>
            <w:gridSpan w:val="3"/>
            <w:tcBorders>
              <w:top w:val="nil"/>
              <w:left w:val="nil"/>
              <w:bottom w:val="single" w:color="auto" w:sz="8" w:space="0"/>
              <w:right w:val="single" w:color="000000"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lang w:eastAsia="zh-CN"/>
              </w:rPr>
              <w:t>本年收费金额（单位：万元）</w:t>
            </w:r>
          </w:p>
        </w:tc>
      </w:tr>
      <w:tr>
        <w:tblPrEx>
          <w:tblCellMar>
            <w:top w:w="0" w:type="dxa"/>
            <w:left w:w="0" w:type="dxa"/>
            <w:bottom w:w="0" w:type="dxa"/>
            <w:right w:w="0" w:type="dxa"/>
          </w:tblCellMar>
        </w:tblPrEx>
        <w:trPr>
          <w:trHeight w:val="509" w:hRule="exact"/>
          <w:jc w:val="center"/>
        </w:trPr>
        <w:tc>
          <w:tcPr>
            <w:tcW w:w="2490"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行政事业性收费</w:t>
            </w:r>
          </w:p>
        </w:tc>
        <w:tc>
          <w:tcPr>
            <w:tcW w:w="4030" w:type="dxa"/>
            <w:gridSpan w:val="3"/>
            <w:tcBorders>
              <w:top w:val="nil"/>
              <w:left w:val="nil"/>
              <w:bottom w:val="single" w:color="auto" w:sz="8" w:space="0"/>
              <w:right w:val="single" w:color="000000"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r>
    </w:tbl>
    <w:p>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left"/>
        <w:textAlignment w:val="auto"/>
        <w:outlineLvl w:val="0"/>
        <w:rPr>
          <w:rFonts w:hint="eastAsia" w:asciiTheme="minorEastAsia" w:hAnsiTheme="minorEastAsia" w:eastAsiaTheme="minorEastAsia" w:cstheme="minorEastAsia"/>
          <w:b/>
          <w:bCs w:val="0"/>
          <w:color w:val="auto"/>
          <w:spacing w:val="-11"/>
          <w:sz w:val="24"/>
          <w:szCs w:val="24"/>
          <w:lang w:val="en-US" w:eastAsia="zh-CN"/>
        </w:rPr>
      </w:pPr>
    </w:p>
    <w:p>
      <w:pPr>
        <w:numPr>
          <w:ilvl w:val="0"/>
          <w:numId w:val="0"/>
        </w:numPr>
        <w:bidi w:val="0"/>
        <w:ind w:firstLine="240" w:firstLineChars="100"/>
        <w:jc w:val="left"/>
        <w:outlineLvl w:val="0"/>
        <w:rPr>
          <w:rFonts w:hint="default" w:asciiTheme="minorEastAsia" w:hAnsiTheme="minorEastAsia" w:eastAsiaTheme="minorEastAsia" w:cstheme="minorEastAsia"/>
          <w:b/>
          <w:bCs w:val="0"/>
          <w:color w:val="auto"/>
          <w:spacing w:val="-11"/>
          <w:sz w:val="24"/>
          <w:szCs w:val="24"/>
          <w:lang w:val="en-US" w:eastAsia="zh-CN"/>
        </w:rPr>
      </w:pPr>
      <w:r>
        <w:rPr>
          <w:rFonts w:hint="eastAsia" w:asciiTheme="minorEastAsia" w:hAnsiTheme="minorEastAsia" w:eastAsiaTheme="minorEastAsia" w:cstheme="minorEastAsia"/>
          <w:b/>
          <w:bCs/>
          <w:sz w:val="24"/>
          <w:szCs w:val="24"/>
          <w:lang w:val="en-US" w:eastAsia="zh-CN"/>
        </w:rPr>
        <w:t>三、</w:t>
      </w:r>
      <w:r>
        <w:rPr>
          <w:rFonts w:hint="eastAsia" w:asciiTheme="minorEastAsia" w:hAnsiTheme="minorEastAsia" w:eastAsiaTheme="minorEastAsia" w:cstheme="minorEastAsia"/>
          <w:b/>
          <w:bCs/>
          <w:sz w:val="24"/>
          <w:szCs w:val="24"/>
        </w:rPr>
        <w:t>收到和处理政府信息公开申请情况</w:t>
      </w:r>
    </w:p>
    <w:tbl>
      <w:tblPr>
        <w:tblStyle w:val="5"/>
        <w:tblpPr w:leftFromText="180" w:rightFromText="180" w:vertAnchor="text" w:horzAnchor="page" w:tblpX="1551" w:tblpY="-11900"/>
        <w:tblOverlap w:val="never"/>
        <w:tblW w:w="0" w:type="auto"/>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063"/>
        <w:gridCol w:w="1028"/>
        <w:gridCol w:w="3162"/>
        <w:gridCol w:w="314"/>
        <w:gridCol w:w="392"/>
        <w:gridCol w:w="392"/>
        <w:gridCol w:w="706"/>
        <w:gridCol w:w="706"/>
        <w:gridCol w:w="315"/>
        <w:gridCol w:w="393"/>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06" w:hRule="atLeast"/>
        </w:trPr>
        <w:tc>
          <w:tcPr>
            <w:tcW w:w="0" w:type="auto"/>
            <w:gridSpan w:val="3"/>
            <w:vMerge w:val="restart"/>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kern w:val="0"/>
                <w:sz w:val="20"/>
                <w:szCs w:val="20"/>
                <w:lang w:val="en-US" w:eastAsia="zh-CN" w:bidi="ar"/>
              </w:rPr>
              <w:t xml:space="preserve"> （本列数据的勾稽关系为：第一项加第二项之和，等于第三项加第四项之和）</w:t>
            </w:r>
          </w:p>
        </w:tc>
        <w:tc>
          <w:tcPr>
            <w:tcW w:w="0" w:type="auto"/>
            <w:gridSpan w:val="7"/>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gridSpan w:val="3"/>
            <w:vMerge w:val="continue"/>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0" w:type="auto"/>
            <w:vMerge w:val="restart"/>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人</w:t>
            </w:r>
          </w:p>
        </w:tc>
        <w:tc>
          <w:tcPr>
            <w:tcW w:w="0" w:type="auto"/>
            <w:gridSpan w:val="5"/>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法人或其他组织</w:t>
            </w:r>
          </w:p>
        </w:tc>
        <w:tc>
          <w:tcPr>
            <w:tcW w:w="0" w:type="auto"/>
            <w:vMerge w:val="restart"/>
            <w:tcBorders>
              <w:top w:val="single" w:color="auto" w:sz="8" w:space="0"/>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093" w:hRule="atLeast"/>
        </w:trPr>
        <w:tc>
          <w:tcPr>
            <w:tcW w:w="0" w:type="auto"/>
            <w:gridSpan w:val="3"/>
            <w:vMerge w:val="continue"/>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0" w:type="auto"/>
            <w:vMerge w:val="continue"/>
            <w:tcBorders>
              <w:top w:val="nil"/>
              <w:left w:val="nil"/>
              <w:bottom w:val="single"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商业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企业</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科研</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机构</w:t>
            </w:r>
          </w:p>
        </w:tc>
        <w:tc>
          <w:tcPr>
            <w:tcW w:w="0" w:type="auto"/>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社会公益组织</w:t>
            </w:r>
          </w:p>
        </w:tc>
        <w:tc>
          <w:tcPr>
            <w:tcW w:w="0" w:type="auto"/>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法律服务机构</w:t>
            </w:r>
          </w:p>
        </w:tc>
        <w:tc>
          <w:tcPr>
            <w:tcW w:w="0" w:type="auto"/>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他</w:t>
            </w:r>
          </w:p>
        </w:tc>
        <w:tc>
          <w:tcPr>
            <w:tcW w:w="0" w:type="auto"/>
            <w:vMerge w:val="continue"/>
            <w:tcBorders>
              <w:top w:val="single" w:color="auto" w:sz="8" w:space="0"/>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06" w:hRule="atLeast"/>
        </w:trPr>
        <w:tc>
          <w:tcPr>
            <w:tcW w:w="0" w:type="auto"/>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一、本年新收政府信息公开申请数量</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二、上年结转政府信息公开申请数量</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06" w:hRule="atLeast"/>
        </w:trPr>
        <w:tc>
          <w:tcPr>
            <w:tcW w:w="0" w:type="auto"/>
            <w:vMerge w:val="restart"/>
            <w:tcBorders>
              <w:top w:val="nil"/>
              <w:left w:val="single" w:color="auto" w:sz="8" w:space="0"/>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三、本年度办理结果</w:t>
            </w:r>
          </w:p>
        </w:tc>
        <w:tc>
          <w:tcPr>
            <w:tcW w:w="0" w:type="auto"/>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（一）予以公开</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0" w:type="auto"/>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56"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（二）部分公开</w:t>
            </w:r>
            <w:r>
              <w:rPr>
                <w:rFonts w:hint="default" w:ascii="楷体" w:hAnsi="楷体" w:eastAsia="楷体" w:cs="楷体"/>
                <w:color w:val="auto"/>
                <w:kern w:val="0"/>
                <w:sz w:val="20"/>
                <w:szCs w:val="20"/>
                <w:lang w:val="en-US" w:eastAsia="zh-CN" w:bidi="ar"/>
              </w:rPr>
              <w:t>（区分处理的，只计这一情形，不计其他情形）</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（三）不予公开</w:t>
            </w:r>
          </w:p>
        </w:tc>
        <w:tc>
          <w:tcPr>
            <w:tcW w:w="0" w:type="auto"/>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1.属于国家秘密</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2.其他法律行政法规禁止公开</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3.危及“三安全一稳定”</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4.保护第三方合法权益</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5.属于三类内部事务信息</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6.属于四类过程性信息</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7.属于行政执法案卷</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8.属于行政查询事项</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（四）无法提供</w:t>
            </w:r>
          </w:p>
        </w:tc>
        <w:tc>
          <w:tcPr>
            <w:tcW w:w="0" w:type="auto"/>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1.本机关不掌握相关政府信息</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2.没有现成信息需要另行制作</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3.补正后申请内容仍不明确</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（五）不予处理</w:t>
            </w:r>
          </w:p>
        </w:tc>
        <w:tc>
          <w:tcPr>
            <w:tcW w:w="0" w:type="auto"/>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1.信访举报投诉类申请</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2.重复申请</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3.要求提供公开出版物</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4.无正当理由大量反复申请</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56"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color w:val="auto"/>
                <w:kern w:val="0"/>
                <w:sz w:val="20"/>
                <w:szCs w:val="20"/>
                <w:lang w:val="en-US" w:eastAsia="zh-CN" w:bidi="ar"/>
              </w:rPr>
              <w:t>5.要求行政机关确认或重新出具已获取信息</w:t>
            </w:r>
          </w:p>
        </w:tc>
        <w:tc>
          <w:tcPr>
            <w:tcW w:w="0" w:type="auto"/>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824"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restart"/>
            <w:tcBorders>
              <w:top w:val="outset" w:color="auto" w:sz="8" w:space="0"/>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（六）其他处理</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color w:val="auto"/>
                <w:kern w:val="0"/>
                <w:sz w:val="20"/>
                <w:szCs w:val="20"/>
                <w:lang w:val="en-US" w:eastAsia="zh-CN" w:bidi="ar"/>
              </w:rPr>
              <w:t>1.申请人无正当理由逾期不补正、行政机关不再处理其政府信息公开申请</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824"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continue"/>
            <w:tcBorders>
              <w:top w:val="outset" w:color="auto" w:sz="8" w:space="0"/>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color w:val="auto"/>
                <w:kern w:val="0"/>
                <w:sz w:val="20"/>
                <w:szCs w:val="20"/>
                <w:lang w:val="en-US" w:eastAsia="zh-CN" w:bidi="ar"/>
              </w:rPr>
              <w:t>2.申请人逾期未按收费通知要求缴纳费用、行政机关不再处理其政府信息公开申请</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continue"/>
            <w:tcBorders>
              <w:top w:val="outset" w:color="auto" w:sz="8" w:space="0"/>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3.其他</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（七）总计</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3" w:hRule="atLeast"/>
        </w:trPr>
        <w:tc>
          <w:tcPr>
            <w:tcW w:w="0" w:type="auto"/>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四、结转下年度继续办理</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bl>
    <w:p>
      <w:pPr>
        <w:numPr>
          <w:ilvl w:val="0"/>
          <w:numId w:val="0"/>
        </w:numPr>
        <w:bidi w:val="0"/>
        <w:ind w:left="420" w:leftChars="0"/>
        <w:jc w:val="left"/>
        <w:outlineLvl w:val="0"/>
        <w:rPr>
          <w:rFonts w:hint="eastAsia" w:asciiTheme="minorEastAsia" w:hAnsiTheme="minorEastAsia" w:eastAsiaTheme="minorEastAsia" w:cstheme="minorEastAsia"/>
          <w:b/>
          <w:bCs/>
          <w:sz w:val="24"/>
          <w:szCs w:val="24"/>
        </w:rPr>
      </w:pPr>
    </w:p>
    <w:p>
      <w:pPr>
        <w:numPr>
          <w:ilvl w:val="0"/>
          <w:numId w:val="0"/>
        </w:numPr>
        <w:bidi w:val="0"/>
        <w:jc w:val="left"/>
        <w:outlineLvl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四、</w:t>
      </w:r>
      <w:r>
        <w:rPr>
          <w:rFonts w:hint="eastAsia" w:asciiTheme="minorEastAsia" w:hAnsiTheme="minorEastAsia" w:eastAsiaTheme="minorEastAsia" w:cstheme="minorEastAsia"/>
          <w:b/>
          <w:bCs/>
          <w:sz w:val="24"/>
          <w:szCs w:val="24"/>
        </w:rPr>
        <w:t>政府信息公开行政复议、行政诉讼情况</w:t>
      </w:r>
    </w:p>
    <w:p>
      <w:pPr>
        <w:numPr>
          <w:ilvl w:val="0"/>
          <w:numId w:val="0"/>
        </w:numPr>
        <w:bidi w:val="0"/>
        <w:ind w:left="420" w:leftChars="0"/>
        <w:jc w:val="left"/>
        <w:outlineLvl w:val="0"/>
        <w:rPr>
          <w:rFonts w:hint="eastAsia" w:asciiTheme="minorEastAsia" w:hAnsiTheme="minorEastAsia" w:eastAsiaTheme="minorEastAsia" w:cstheme="minorEastAsia"/>
          <w:b/>
          <w:bCs/>
          <w:sz w:val="24"/>
          <w:szCs w:val="24"/>
        </w:rPr>
      </w:pPr>
    </w:p>
    <w:p>
      <w:pPr>
        <w:numPr>
          <w:ilvl w:val="0"/>
          <w:numId w:val="0"/>
        </w:numPr>
        <w:bidi w:val="0"/>
        <w:jc w:val="left"/>
        <w:outlineLvl w:val="0"/>
        <w:rPr>
          <w:rFonts w:hint="eastAsia" w:asciiTheme="minorEastAsia" w:hAnsiTheme="minorEastAsia" w:eastAsiaTheme="minorEastAsia" w:cstheme="minorEastAsia"/>
          <w:b/>
          <w:bCs/>
          <w:sz w:val="24"/>
          <w:szCs w:val="24"/>
        </w:rPr>
      </w:pPr>
    </w:p>
    <w:tbl>
      <w:tblPr>
        <w:tblStyle w:val="5"/>
        <w:tblpPr w:leftFromText="180" w:rightFromText="180" w:vertAnchor="text" w:horzAnchor="page" w:tblpX="1370" w:tblpY="-409"/>
        <w:tblOverlap w:val="never"/>
        <w:tblW w:w="9079"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557"/>
        <w:gridCol w:w="633"/>
        <w:gridCol w:w="633"/>
        <w:gridCol w:w="633"/>
        <w:gridCol w:w="443"/>
        <w:gridCol w:w="661"/>
        <w:gridCol w:w="703"/>
        <w:gridCol w:w="646"/>
        <w:gridCol w:w="675"/>
        <w:gridCol w:w="383"/>
        <w:gridCol w:w="717"/>
        <w:gridCol w:w="674"/>
        <w:gridCol w:w="646"/>
        <w:gridCol w:w="647"/>
        <w:gridCol w:w="428"/>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65" w:hRule="atLeast"/>
        </w:trPr>
        <w:tc>
          <w:tcPr>
            <w:tcW w:w="2899"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行政复议</w:t>
            </w:r>
          </w:p>
        </w:tc>
        <w:tc>
          <w:tcPr>
            <w:tcW w:w="6180" w:type="dxa"/>
            <w:gridSpan w:val="10"/>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87" w:hRule="atLeast"/>
        </w:trPr>
        <w:tc>
          <w:tcPr>
            <w:tcW w:w="557"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结果维持</w:t>
            </w:r>
          </w:p>
        </w:tc>
        <w:tc>
          <w:tcPr>
            <w:tcW w:w="633"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33"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其他</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结果</w:t>
            </w:r>
          </w:p>
        </w:tc>
        <w:tc>
          <w:tcPr>
            <w:tcW w:w="633"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443"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总计</w:t>
            </w:r>
          </w:p>
        </w:tc>
        <w:tc>
          <w:tcPr>
            <w:tcW w:w="3068"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未经复议直接起诉</w:t>
            </w:r>
          </w:p>
        </w:tc>
        <w:tc>
          <w:tcPr>
            <w:tcW w:w="3112"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34" w:hRule="atLeast"/>
        </w:trPr>
        <w:tc>
          <w:tcPr>
            <w:tcW w:w="557"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33"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33"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33"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443"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61"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维持</w:t>
            </w:r>
          </w:p>
        </w:tc>
        <w:tc>
          <w:tcPr>
            <w:tcW w:w="70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46"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其他</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结果</w:t>
            </w:r>
          </w:p>
        </w:tc>
        <w:tc>
          <w:tcPr>
            <w:tcW w:w="675"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38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总计</w:t>
            </w:r>
          </w:p>
        </w:tc>
        <w:tc>
          <w:tcPr>
            <w:tcW w:w="717"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维持</w:t>
            </w:r>
          </w:p>
        </w:tc>
        <w:tc>
          <w:tcPr>
            <w:tcW w:w="674"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46"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其他</w:t>
            </w:r>
            <w:r>
              <w:rPr>
                <w:rFonts w:hint="eastAsia" w:ascii="宋体" w:hAnsi="宋体" w:eastAsia="宋体" w:cs="宋体"/>
                <w:color w:val="000000"/>
                <w:kern w:val="0"/>
                <w:sz w:val="20"/>
                <w:szCs w:val="20"/>
                <w:lang w:val="en-US" w:eastAsia="zh-CN" w:bidi="ar"/>
              </w:rPr>
              <w:br w:type="textWrapping"/>
            </w:r>
            <w:r>
              <w:rPr>
                <w:rFonts w:hint="eastAsia" w:ascii="宋体" w:hAnsi="宋体" w:eastAsia="宋体" w:cs="宋体"/>
                <w:color w:val="000000"/>
                <w:kern w:val="0"/>
                <w:sz w:val="20"/>
                <w:szCs w:val="20"/>
                <w:lang w:val="en-US" w:eastAsia="zh-CN" w:bidi="ar"/>
              </w:rPr>
              <w:t>结果</w:t>
            </w:r>
          </w:p>
        </w:tc>
        <w:tc>
          <w:tcPr>
            <w:tcW w:w="647"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428"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42" w:hRule="atLeast"/>
        </w:trPr>
        <w:tc>
          <w:tcPr>
            <w:tcW w:w="557"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3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3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3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61"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0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6"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5"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38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17"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4"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6"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7"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28" w:type="dxa"/>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eastAsia="仿宋_GB2312"/>
                <w:sz w:val="24"/>
                <w:szCs w:val="24"/>
                <w:lang w:val="en-US" w:eastAsia="zh-CN"/>
              </w:rPr>
            </w:pPr>
            <w:r>
              <w:rPr>
                <w:rFonts w:hint="eastAsia" w:ascii="Calibri" w:hAnsi="Calibri" w:eastAsia="宋体" w:cs="Calibri"/>
                <w:color w:val="auto"/>
                <w:kern w:val="0"/>
                <w:sz w:val="20"/>
                <w:szCs w:val="20"/>
                <w:lang w:val="en-US" w:eastAsia="zh-CN" w:bidi="ar"/>
              </w:rPr>
              <w:t>0</w:t>
            </w:r>
          </w:p>
        </w:tc>
      </w:tr>
    </w:tbl>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420" w:leftChars="0"/>
        <w:jc w:val="left"/>
        <w:textAlignment w:val="auto"/>
        <w:outlineLvl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五、存在的主要问题及改进情况</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rPr>
          <w:rFonts w:hint="default" w:asciiTheme="minorEastAsia" w:hAnsiTheme="minorEastAsia" w:eastAsiaTheme="minorEastAsia" w:cstheme="minorEastAsia"/>
          <w:b w:val="0"/>
          <w:bCs/>
          <w:color w:val="auto"/>
          <w:spacing w:val="-11"/>
          <w:sz w:val="24"/>
          <w:szCs w:val="24"/>
          <w:lang w:val="en-US" w:eastAsia="zh-CN"/>
        </w:rPr>
      </w:pPr>
      <w:r>
        <w:rPr>
          <w:rFonts w:hint="eastAsia" w:asciiTheme="minorEastAsia" w:hAnsiTheme="minorEastAsia" w:eastAsiaTheme="minorEastAsia" w:cstheme="minorEastAsia"/>
          <w:b w:val="0"/>
          <w:bCs/>
          <w:color w:val="auto"/>
          <w:spacing w:val="-11"/>
          <w:sz w:val="24"/>
          <w:szCs w:val="24"/>
          <w:lang w:val="en-US" w:eastAsia="zh-CN"/>
        </w:rPr>
        <w:t>存在问题：一、思想认识不足。需进一步加强对政务信息公开工作的思想认识，提高对此项工作的重视；二、文章创作不精，不够接地气。相关人员知识储备不足，写作水平不够高，部分信息撰写不够深入，导致文章不够接地气，不够精炼；三、政策解读形式单一，宣传效果差。</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auto"/>
          <w:spacing w:val="-11"/>
          <w:sz w:val="24"/>
          <w:szCs w:val="24"/>
          <w:lang w:val="en-US" w:eastAsia="zh-CN"/>
        </w:rPr>
      </w:pPr>
      <w:r>
        <w:rPr>
          <w:rFonts w:hint="eastAsia" w:asciiTheme="minorEastAsia" w:hAnsiTheme="minorEastAsia" w:eastAsiaTheme="minorEastAsia" w:cstheme="minorEastAsia"/>
          <w:b w:val="0"/>
          <w:bCs/>
          <w:color w:val="auto"/>
          <w:spacing w:val="-11"/>
          <w:sz w:val="24"/>
          <w:szCs w:val="24"/>
          <w:lang w:val="en-US" w:eastAsia="zh-CN"/>
        </w:rPr>
        <w:t>改进情况：一、强化学习，提高思想认识。定期组织专职人员集中学习政务公开工作相关文件；二、强化业务提升，提高写作水平。强化业务学习，提升信息公开工作人员业务能力水平，提升信息发布质量；</w:t>
      </w:r>
      <w:bookmarkStart w:id="0" w:name="_GoBack"/>
      <w:bookmarkEnd w:id="0"/>
      <w:r>
        <w:rPr>
          <w:rFonts w:hint="eastAsia" w:asciiTheme="minorEastAsia" w:hAnsiTheme="minorEastAsia" w:eastAsiaTheme="minorEastAsia" w:cstheme="minorEastAsia"/>
          <w:b w:val="0"/>
          <w:bCs/>
          <w:color w:val="auto"/>
          <w:spacing w:val="-11"/>
          <w:sz w:val="24"/>
          <w:szCs w:val="24"/>
          <w:lang w:val="en-US" w:eastAsia="zh-CN"/>
        </w:rPr>
        <w:t>三、强化宣传讲解，丰富解读形式，拓展解读平台，提高解读质量和参与度。</w:t>
      </w:r>
    </w:p>
    <w:p>
      <w:pPr>
        <w:keepNext w:val="0"/>
        <w:keepLines w:val="0"/>
        <w:pageBreakBefore w:val="0"/>
        <w:widowControl w:val="0"/>
        <w:kinsoku/>
        <w:wordWrap/>
        <w:overflowPunct/>
        <w:topLinePunct w:val="0"/>
        <w:autoSpaceDE/>
        <w:autoSpaceDN/>
        <w:bidi w:val="0"/>
        <w:adjustRightInd/>
        <w:snapToGrid/>
        <w:spacing w:line="480" w:lineRule="exact"/>
        <w:ind w:left="480" w:leftChars="150" w:firstLine="0" w:firstLineChars="0"/>
        <w:jc w:val="left"/>
        <w:textAlignment w:val="auto"/>
        <w:outlineLvl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六、其他需要报告的事项</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rPr>
        <w:t>我</w:t>
      </w:r>
      <w:r>
        <w:rPr>
          <w:rFonts w:hint="eastAsia" w:asciiTheme="minorEastAsia" w:hAnsiTheme="minorEastAsia" w:eastAsiaTheme="minorEastAsia" w:cstheme="minorEastAsia"/>
          <w:b w:val="0"/>
          <w:bCs w:val="0"/>
          <w:sz w:val="24"/>
          <w:szCs w:val="24"/>
          <w:lang w:eastAsia="zh-CN"/>
        </w:rPr>
        <w:t>乡</w:t>
      </w:r>
      <w:r>
        <w:rPr>
          <w:rFonts w:hint="eastAsia" w:asciiTheme="minorEastAsia" w:hAnsiTheme="minorEastAsia" w:eastAsiaTheme="minorEastAsia" w:cstheme="minorEastAsia"/>
          <w:b w:val="0"/>
          <w:bCs w:val="0"/>
          <w:sz w:val="24"/>
          <w:szCs w:val="24"/>
        </w:rPr>
        <w:t>认真贯彻执行国务院办公厅《政府信息公开信息处理费管理办法》，</w:t>
      </w:r>
      <w:r>
        <w:rPr>
          <w:rFonts w:hint="eastAsia" w:asciiTheme="minorEastAsia" w:hAnsiTheme="minorEastAsia" w:eastAsiaTheme="minorEastAsia" w:cstheme="minorEastAsia"/>
          <w:b w:val="0"/>
          <w:bCs w:val="0"/>
          <w:sz w:val="24"/>
          <w:szCs w:val="24"/>
          <w:lang w:eastAsia="zh-CN"/>
        </w:rPr>
        <w:t>本年度</w:t>
      </w:r>
      <w:r>
        <w:rPr>
          <w:rFonts w:hint="eastAsia" w:asciiTheme="minorEastAsia" w:hAnsiTheme="minorEastAsia" w:eastAsiaTheme="minorEastAsia" w:cstheme="minorEastAsia"/>
          <w:b w:val="0"/>
          <w:bCs w:val="0"/>
          <w:sz w:val="24"/>
          <w:szCs w:val="24"/>
        </w:rPr>
        <w:t>未收取信息处理费。</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CESI仿宋-GB2312">
    <w:panose1 w:val="02000500000000000000"/>
    <w:charset w:val="86"/>
    <w:family w:val="auto"/>
    <w:pitch w:val="default"/>
    <w:sig w:usb0="800002AF" w:usb1="084F6CF8" w:usb2="00000010" w:usb3="00000000" w:csb0="0004000F" w:csb1="00000000"/>
  </w:font>
  <w:font w:name="楷体">
    <w:altName w:val="方正楷体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楷体_GBK">
    <w:panose1 w:val="02000000000000000000"/>
    <w:charset w:val="86"/>
    <w:family w:val="auto"/>
    <w:pitch w:val="default"/>
    <w:sig w:usb0="00000001" w:usb1="08000000" w:usb2="00000000" w:usb3="00000000" w:csb0="00040000" w:csb1="00000000"/>
  </w:font>
  <w:font w:name="Microsoft YaHei">
    <w:altName w:val="方正黑体_GBK"/>
    <w:panose1 w:val="00000000000000000000"/>
    <w:charset w:val="00"/>
    <w:family w:val="auto"/>
    <w:pitch w:val="default"/>
    <w:sig w:usb0="00000000" w:usb1="00000000" w:usb2="00000000" w:usb3="00000000" w:csb0="00000000" w:csb1="00000000"/>
  </w:font>
  <w:font w:name="Tahoma">
    <w:altName w:val="DejaVu Sans"/>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BC3FC8"/>
    <w:multiLevelType w:val="singleLevel"/>
    <w:tmpl w:val="D7BC3FC8"/>
    <w:lvl w:ilvl="0" w:tentative="0">
      <w:start w:val="2"/>
      <w:numFmt w:val="chineseCounting"/>
      <w:suff w:val="nothing"/>
      <w:lvlText w:val="（%1）"/>
      <w:lvlJc w:val="left"/>
      <w:rPr>
        <w:rFonts w:hint="eastAsia"/>
      </w:rPr>
    </w:lvl>
  </w:abstractNum>
  <w:abstractNum w:abstractNumId="1">
    <w:nsid w:val="FFEBFB3B"/>
    <w:multiLevelType w:val="singleLevel"/>
    <w:tmpl w:val="FFEBFB3B"/>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5B229F"/>
    <w:rsid w:val="000168E7"/>
    <w:rsid w:val="00091070"/>
    <w:rsid w:val="00102236"/>
    <w:rsid w:val="00121401"/>
    <w:rsid w:val="00157AC8"/>
    <w:rsid w:val="001801D5"/>
    <w:rsid w:val="00296580"/>
    <w:rsid w:val="002B2C96"/>
    <w:rsid w:val="00455C5D"/>
    <w:rsid w:val="004F0B4A"/>
    <w:rsid w:val="00586B59"/>
    <w:rsid w:val="00631E81"/>
    <w:rsid w:val="00653E36"/>
    <w:rsid w:val="008E1B1A"/>
    <w:rsid w:val="008E44F4"/>
    <w:rsid w:val="00A53DE3"/>
    <w:rsid w:val="00B5390F"/>
    <w:rsid w:val="00C06F06"/>
    <w:rsid w:val="00C51C9D"/>
    <w:rsid w:val="00CB4FF3"/>
    <w:rsid w:val="00CE1DC8"/>
    <w:rsid w:val="00D26420"/>
    <w:rsid w:val="00D36948"/>
    <w:rsid w:val="00E06057"/>
    <w:rsid w:val="00E212AC"/>
    <w:rsid w:val="00E41BBC"/>
    <w:rsid w:val="00E57F2A"/>
    <w:rsid w:val="00EA3ADC"/>
    <w:rsid w:val="00EF14E8"/>
    <w:rsid w:val="00F24E13"/>
    <w:rsid w:val="00FA6E92"/>
    <w:rsid w:val="00FC07B6"/>
    <w:rsid w:val="01285338"/>
    <w:rsid w:val="027F62A8"/>
    <w:rsid w:val="09813DFD"/>
    <w:rsid w:val="0B2121D5"/>
    <w:rsid w:val="0C146CDE"/>
    <w:rsid w:val="0F740752"/>
    <w:rsid w:val="0FBB3631"/>
    <w:rsid w:val="0FF935DB"/>
    <w:rsid w:val="11B05C5A"/>
    <w:rsid w:val="124000C5"/>
    <w:rsid w:val="15836008"/>
    <w:rsid w:val="19DE11D5"/>
    <w:rsid w:val="1A0F4175"/>
    <w:rsid w:val="1EFC934B"/>
    <w:rsid w:val="238E43F5"/>
    <w:rsid w:val="23F630A6"/>
    <w:rsid w:val="26B5A241"/>
    <w:rsid w:val="29477282"/>
    <w:rsid w:val="2BF04251"/>
    <w:rsid w:val="2E8A0E7B"/>
    <w:rsid w:val="2EF6126F"/>
    <w:rsid w:val="2F2C7572"/>
    <w:rsid w:val="341765DF"/>
    <w:rsid w:val="38A22FF6"/>
    <w:rsid w:val="38CB1FBA"/>
    <w:rsid w:val="3ADEDF92"/>
    <w:rsid w:val="3B214D37"/>
    <w:rsid w:val="3BC4405A"/>
    <w:rsid w:val="3E5B229F"/>
    <w:rsid w:val="3EF585D3"/>
    <w:rsid w:val="3FAF05CC"/>
    <w:rsid w:val="3FFF3219"/>
    <w:rsid w:val="42F84FBB"/>
    <w:rsid w:val="43DA9812"/>
    <w:rsid w:val="4587329F"/>
    <w:rsid w:val="4D617EE6"/>
    <w:rsid w:val="4E137BDD"/>
    <w:rsid w:val="50A7377A"/>
    <w:rsid w:val="53FFD66A"/>
    <w:rsid w:val="541E6540"/>
    <w:rsid w:val="571C05B0"/>
    <w:rsid w:val="5A6F3991"/>
    <w:rsid w:val="5B5D1369"/>
    <w:rsid w:val="5BCE4278"/>
    <w:rsid w:val="5D4F0FEF"/>
    <w:rsid w:val="5DDA7107"/>
    <w:rsid w:val="5FBD64F2"/>
    <w:rsid w:val="61022B79"/>
    <w:rsid w:val="642F6C02"/>
    <w:rsid w:val="67A3A7A5"/>
    <w:rsid w:val="68C13E1A"/>
    <w:rsid w:val="695D0560"/>
    <w:rsid w:val="69C937CA"/>
    <w:rsid w:val="6AFBAD5F"/>
    <w:rsid w:val="6FDF47DB"/>
    <w:rsid w:val="6FFF0CB4"/>
    <w:rsid w:val="71A62D78"/>
    <w:rsid w:val="72826491"/>
    <w:rsid w:val="74ED2BBE"/>
    <w:rsid w:val="764322DF"/>
    <w:rsid w:val="770E7AD4"/>
    <w:rsid w:val="772F065A"/>
    <w:rsid w:val="77BB3DCB"/>
    <w:rsid w:val="77CFF03C"/>
    <w:rsid w:val="7B7CC9B3"/>
    <w:rsid w:val="7D292759"/>
    <w:rsid w:val="7DDEB177"/>
    <w:rsid w:val="7DF756EB"/>
    <w:rsid w:val="7E2247C9"/>
    <w:rsid w:val="7ED53247"/>
    <w:rsid w:val="7EDDBA1E"/>
    <w:rsid w:val="7EFA1255"/>
    <w:rsid w:val="7FA76860"/>
    <w:rsid w:val="7FBF5690"/>
    <w:rsid w:val="7FC953CC"/>
    <w:rsid w:val="7FDF440F"/>
    <w:rsid w:val="7FE38852"/>
    <w:rsid w:val="8B9E95E9"/>
    <w:rsid w:val="92EC8D3F"/>
    <w:rsid w:val="9CEEDF49"/>
    <w:rsid w:val="A76EE464"/>
    <w:rsid w:val="B21D80AD"/>
    <w:rsid w:val="B45D9279"/>
    <w:rsid w:val="B7E7C1F0"/>
    <w:rsid w:val="BF6B13F6"/>
    <w:rsid w:val="BFF7D8B8"/>
    <w:rsid w:val="C3EEB8D0"/>
    <w:rsid w:val="CB7FA613"/>
    <w:rsid w:val="D37BBE9C"/>
    <w:rsid w:val="D4F38090"/>
    <w:rsid w:val="D99F8203"/>
    <w:rsid w:val="DACFF94B"/>
    <w:rsid w:val="DBF75DDE"/>
    <w:rsid w:val="DFC65336"/>
    <w:rsid w:val="E7FFFAFD"/>
    <w:rsid w:val="E9F54829"/>
    <w:rsid w:val="EAFFF69E"/>
    <w:rsid w:val="EDF7EABE"/>
    <w:rsid w:val="EF3E3C5F"/>
    <w:rsid w:val="EF77B124"/>
    <w:rsid w:val="EF7B5EE5"/>
    <w:rsid w:val="EFB618C8"/>
    <w:rsid w:val="EFFF7831"/>
    <w:rsid w:val="F75718EB"/>
    <w:rsid w:val="F7BEC138"/>
    <w:rsid w:val="F7DF081B"/>
    <w:rsid w:val="F7E52A64"/>
    <w:rsid w:val="F7FF2A12"/>
    <w:rsid w:val="F91E050A"/>
    <w:rsid w:val="FB17AA77"/>
    <w:rsid w:val="FB5D8DA7"/>
    <w:rsid w:val="FB6F83DF"/>
    <w:rsid w:val="FCBAD453"/>
    <w:rsid w:val="FCF3C5E7"/>
    <w:rsid w:val="FDEB3F1E"/>
    <w:rsid w:val="FF7AA915"/>
    <w:rsid w:val="FFBE59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32"/>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color w:val="000000"/>
      <w:kern w:val="0"/>
      <w:sz w:val="24"/>
    </w:rPr>
  </w:style>
  <w:style w:type="character" w:styleId="7">
    <w:name w:val="Strong"/>
    <w:basedOn w:val="6"/>
    <w:qFormat/>
    <w:uiPriority w:val="0"/>
    <w:rPr>
      <w:b/>
    </w:rPr>
  </w:style>
  <w:style w:type="character" w:customStyle="1" w:styleId="8">
    <w:name w:val="页眉 Char"/>
    <w:basedOn w:val="6"/>
    <w:link w:val="3"/>
    <w:qFormat/>
    <w:uiPriority w:val="0"/>
    <w:rPr>
      <w:rFonts w:ascii="仿宋_GB2312" w:eastAsia="仿宋_GB2312"/>
      <w:kern w:val="2"/>
      <w:sz w:val="18"/>
      <w:szCs w:val="18"/>
    </w:rPr>
  </w:style>
  <w:style w:type="character" w:customStyle="1" w:styleId="9">
    <w:name w:val="页脚 Char"/>
    <w:basedOn w:val="6"/>
    <w:link w:val="2"/>
    <w:qFormat/>
    <w:uiPriority w:val="0"/>
    <w:rPr>
      <w:rFonts w:ascii="仿宋_GB2312" w:eastAsia="仿宋_GB2312"/>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6</Pages>
  <Words>543</Words>
  <Characters>3100</Characters>
  <Lines>25</Lines>
  <Paragraphs>7</Paragraphs>
  <TotalTime>7</TotalTime>
  <ScaleCrop>false</ScaleCrop>
  <LinksUpToDate>false</LinksUpToDate>
  <CharactersWithSpaces>3636</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2020-01-03T11:38:00Z</dcterms:created>
  <dc:creator>小公举</dc:creator>
  <cp:lastModifiedBy>work</cp:lastModifiedBy>
  <cp:lastPrinted>2023-01-12T08:50:00Z</cp:lastPrinted>
  <dcterms:modified xsi:type="dcterms:W3CDTF">2024-01-15T14:09:26Z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EEC6F409A64142F7B38A21F05DCABCFA</vt:lpwstr>
  </property>
</Properties>
</file>