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1" w:lineRule="auto"/>
      </w:pPr>
    </w:p>
    <w:p>
      <w:pPr>
        <w:spacing w:before="140" w:line="225" w:lineRule="auto"/>
        <w:ind w:left="257"/>
        <w:jc w:val="center"/>
        <w:outlineLvl w:val="0"/>
        <w:rPr>
          <w:rFonts w:ascii="黑体" w:hAnsi="黑体" w:eastAsia="黑体" w:cs="黑体"/>
          <w:sz w:val="43"/>
          <w:szCs w:val="43"/>
        </w:rPr>
      </w:pPr>
      <w:r>
        <w:rPr>
          <w:rFonts w:ascii="黑体" w:hAnsi="黑体" w:eastAsia="黑体" w:cs="黑体"/>
          <w:spacing w:val="5"/>
          <w:sz w:val="43"/>
          <w:szCs w:val="43"/>
        </w:rPr>
        <w:t>武汉市</w:t>
      </w:r>
      <w:r>
        <w:rPr>
          <w:rFonts w:hint="eastAsia" w:ascii="黑体" w:hAnsi="黑体" w:eastAsia="黑体" w:cs="黑体"/>
          <w:spacing w:val="5"/>
          <w:sz w:val="43"/>
          <w:szCs w:val="43"/>
          <w:lang w:val="en-US" w:eastAsia="zh-CN"/>
        </w:rPr>
        <w:t>皮肤病防治院</w:t>
      </w:r>
      <w:r>
        <w:rPr>
          <w:rFonts w:ascii="黑体" w:hAnsi="黑体" w:eastAsia="黑体" w:cs="黑体"/>
          <w:spacing w:val="5"/>
          <w:sz w:val="43"/>
          <w:szCs w:val="43"/>
        </w:rPr>
        <w:t>2024年预算</w:t>
      </w: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6" w:lineRule="auto"/>
      </w:pPr>
    </w:p>
    <w:p>
      <w:pPr>
        <w:pStyle w:val="5"/>
        <w:spacing w:line="247" w:lineRule="auto"/>
      </w:pPr>
    </w:p>
    <w:p>
      <w:pPr>
        <w:pStyle w:val="5"/>
        <w:spacing w:line="247" w:lineRule="auto"/>
      </w:pPr>
    </w:p>
    <w:p>
      <w:pPr>
        <w:spacing w:before="113" w:line="228" w:lineRule="auto"/>
        <w:ind w:left="2193"/>
        <w:rPr>
          <w:rFonts w:ascii="黑体" w:hAnsi="黑体" w:eastAsia="黑体" w:cs="黑体"/>
          <w:sz w:val="35"/>
          <w:szCs w:val="35"/>
        </w:rPr>
      </w:pPr>
      <w:r>
        <w:rPr>
          <w:rFonts w:ascii="黑体" w:hAnsi="黑体" w:eastAsia="黑体" w:cs="黑体"/>
          <w:spacing w:val="4"/>
          <w:sz w:val="35"/>
          <w:szCs w:val="35"/>
        </w:rPr>
        <w:t>二</w:t>
      </w:r>
      <w:r>
        <w:rPr>
          <w:rFonts w:hint="eastAsia" w:ascii="黑体" w:hAnsi="黑体" w:eastAsia="黑体" w:cs="黑体"/>
          <w:spacing w:val="-66"/>
          <w:sz w:val="35"/>
          <w:szCs w:val="35"/>
          <w:lang w:val="en-US" w:eastAsia="zh-CN"/>
        </w:rPr>
        <w:t>〇</w:t>
      </w:r>
      <w:r>
        <w:rPr>
          <w:rFonts w:ascii="黑体" w:hAnsi="黑体" w:eastAsia="黑体" w:cs="黑体"/>
          <w:spacing w:val="4"/>
          <w:sz w:val="35"/>
          <w:szCs w:val="35"/>
        </w:rPr>
        <w:t>二四年</w:t>
      </w:r>
      <w:r>
        <w:rPr>
          <w:rFonts w:hint="eastAsia" w:ascii="黑体" w:hAnsi="黑体" w:eastAsia="黑体" w:cs="黑体"/>
          <w:spacing w:val="4"/>
          <w:sz w:val="35"/>
          <w:szCs w:val="35"/>
          <w:lang w:val="en-US" w:eastAsia="zh-CN"/>
        </w:rPr>
        <w:t>三</w:t>
      </w:r>
      <w:r>
        <w:rPr>
          <w:rFonts w:ascii="黑体" w:hAnsi="黑体" w:eastAsia="黑体" w:cs="黑体"/>
          <w:spacing w:val="4"/>
          <w:sz w:val="35"/>
          <w:szCs w:val="35"/>
        </w:rPr>
        <w:t>月</w:t>
      </w:r>
      <w:r>
        <w:rPr>
          <w:rFonts w:hint="eastAsia" w:ascii="黑体" w:hAnsi="黑体" w:eastAsia="黑体" w:cs="黑体"/>
          <w:spacing w:val="4"/>
          <w:sz w:val="35"/>
          <w:szCs w:val="35"/>
          <w:lang w:val="en-US" w:eastAsia="zh-CN"/>
        </w:rPr>
        <w:t>十二</w:t>
      </w:r>
      <w:r>
        <w:rPr>
          <w:rFonts w:ascii="黑体" w:hAnsi="黑体" w:eastAsia="黑体" w:cs="黑体"/>
          <w:spacing w:val="4"/>
          <w:sz w:val="35"/>
          <w:szCs w:val="35"/>
        </w:rPr>
        <w:t>日</w:t>
      </w:r>
    </w:p>
    <w:p>
      <w:pPr>
        <w:spacing w:line="228" w:lineRule="auto"/>
        <w:rPr>
          <w:rFonts w:ascii="黑体" w:hAnsi="黑体" w:eastAsia="黑体" w:cs="黑体"/>
          <w:sz w:val="35"/>
          <w:szCs w:val="35"/>
        </w:rPr>
        <w:sectPr>
          <w:footerReference r:id="rId5" w:type="default"/>
          <w:pgSz w:w="11906" w:h="16839"/>
          <w:pgMar w:top="1431" w:right="1785" w:bottom="1151" w:left="1785" w:header="0" w:footer="989" w:gutter="0"/>
          <w:pgBorders>
            <w:top w:val="none" w:sz="0" w:space="0"/>
            <w:left w:val="none" w:sz="0" w:space="0"/>
            <w:bottom w:val="none" w:sz="0" w:space="0"/>
            <w:right w:val="none" w:sz="0" w:space="0"/>
          </w:pgBorders>
          <w:cols w:space="720" w:num="1"/>
        </w:sectPr>
      </w:pPr>
    </w:p>
    <w:p>
      <w:pPr>
        <w:pStyle w:val="5"/>
        <w:spacing w:line="311" w:lineRule="auto"/>
      </w:pPr>
    </w:p>
    <w:p>
      <w:pPr>
        <w:keepNext w:val="0"/>
        <w:keepLines w:val="0"/>
        <w:pageBreakBefore w:val="0"/>
        <w:widowControl/>
        <w:kinsoku w:val="0"/>
        <w:wordWrap/>
        <w:overflowPunct/>
        <w:topLinePunct w:val="0"/>
        <w:autoSpaceDE w:val="0"/>
        <w:autoSpaceDN w:val="0"/>
        <w:bidi w:val="0"/>
        <w:adjustRightInd w:val="0"/>
        <w:snapToGrid w:val="0"/>
        <w:spacing w:before="114" w:line="224" w:lineRule="auto"/>
        <w:jc w:val="center"/>
        <w:textAlignment w:val="baseline"/>
        <w:rPr>
          <w:rFonts w:ascii="仿宋" w:hAnsi="仿宋" w:eastAsia="仿宋" w:cs="仿宋"/>
          <w:sz w:val="35"/>
          <w:szCs w:val="35"/>
        </w:rPr>
      </w:pPr>
      <w:r>
        <w:rPr>
          <w:rFonts w:hint="eastAsia" w:ascii="仿宋" w:hAnsi="仿宋" w:eastAsia="仿宋" w:cs="仿宋"/>
          <w:spacing w:val="5"/>
          <w:sz w:val="35"/>
          <w:szCs w:val="35"/>
          <w:lang w:eastAsia="zh-CN"/>
          <w14:textOutline w14:w="6537" w14:cap="sq" w14:cmpd="sng">
            <w14:solidFill>
              <w14:srgbClr w14:val="000000"/>
            </w14:solidFill>
            <w14:prstDash w14:val="solid"/>
            <w14:bevel/>
          </w14:textOutline>
        </w:rPr>
        <w:t>武汉市皮肤病防治院</w:t>
      </w:r>
      <w:r>
        <w:rPr>
          <w:rFonts w:ascii="仿宋" w:hAnsi="仿宋" w:eastAsia="仿宋" w:cs="仿宋"/>
          <w:spacing w:val="5"/>
          <w:sz w:val="35"/>
          <w:szCs w:val="35"/>
          <w14:textOutline w14:w="6537" w14:cap="sq" w14:cmpd="sng">
            <w14:solidFill>
              <w14:srgbClr w14:val="000000"/>
            </w14:solidFill>
            <w14:prstDash w14:val="solid"/>
            <w14:bevel/>
          </w14:textOutline>
        </w:rPr>
        <w:t>2024</w:t>
      </w:r>
      <w:r>
        <w:rPr>
          <w:rFonts w:ascii="仿宋" w:hAnsi="仿宋" w:eastAsia="仿宋" w:cs="仿宋"/>
          <w:spacing w:val="-65"/>
          <w:sz w:val="35"/>
          <w:szCs w:val="35"/>
        </w:rPr>
        <w:t xml:space="preserve"> </w:t>
      </w:r>
      <w:r>
        <w:rPr>
          <w:rFonts w:ascii="仿宋" w:hAnsi="仿宋" w:eastAsia="仿宋" w:cs="仿宋"/>
          <w:spacing w:val="5"/>
          <w:sz w:val="35"/>
          <w:szCs w:val="35"/>
          <w14:textOutline w14:w="6537" w14:cap="sq" w14:cmpd="sng">
            <w14:solidFill>
              <w14:srgbClr w14:val="000000"/>
            </w14:solidFill>
            <w14:prstDash w14:val="solid"/>
            <w14:bevel/>
          </w14:textOutline>
        </w:rPr>
        <w:t>年预算</w:t>
      </w:r>
    </w:p>
    <w:p>
      <w:pPr>
        <w:pStyle w:val="5"/>
      </w:pPr>
    </w:p>
    <w:p>
      <w:pPr>
        <w:pStyle w:val="5"/>
      </w:pPr>
    </w:p>
    <w:p>
      <w:pPr>
        <w:pStyle w:val="5"/>
      </w:pPr>
    </w:p>
    <w:p>
      <w:pPr>
        <w:spacing w:before="101" w:line="227" w:lineRule="auto"/>
        <w:ind w:left="3738"/>
        <w:rPr>
          <w:rFonts w:ascii="黑体" w:hAnsi="黑体" w:eastAsia="黑体" w:cs="黑体"/>
          <w:sz w:val="31"/>
          <w:szCs w:val="31"/>
        </w:rPr>
      </w:pPr>
      <w:r>
        <w:rPr>
          <w:rFonts w:ascii="黑体" w:hAnsi="黑体" w:eastAsia="黑体" w:cs="黑体"/>
          <w:spacing w:val="-22"/>
          <w:sz w:val="31"/>
          <w:szCs w:val="31"/>
        </w:rPr>
        <w:t>目</w:t>
      </w:r>
      <w:r>
        <w:rPr>
          <w:rFonts w:ascii="黑体" w:hAnsi="黑体" w:eastAsia="黑体" w:cs="黑体"/>
          <w:spacing w:val="13"/>
          <w:sz w:val="31"/>
          <w:szCs w:val="31"/>
        </w:rPr>
        <w:t xml:space="preserve">  </w:t>
      </w:r>
      <w:r>
        <w:rPr>
          <w:rFonts w:ascii="黑体" w:hAnsi="黑体" w:eastAsia="黑体" w:cs="黑体"/>
          <w:spacing w:val="-22"/>
          <w:sz w:val="31"/>
          <w:szCs w:val="31"/>
        </w:rPr>
        <w:t>录</w:t>
      </w:r>
    </w:p>
    <w:p>
      <w:pPr>
        <w:spacing w:before="178" w:line="226" w:lineRule="auto"/>
        <w:ind w:left="667"/>
        <w:rPr>
          <w:rFonts w:ascii="黑体" w:hAnsi="黑体" w:eastAsia="黑体" w:cs="黑体"/>
          <w:sz w:val="31"/>
          <w:szCs w:val="31"/>
        </w:rPr>
      </w:pPr>
      <w:r>
        <w:rPr>
          <w:rFonts w:ascii="黑体" w:hAnsi="黑体" w:eastAsia="黑体" w:cs="黑体"/>
          <w:spacing w:val="8"/>
          <w:sz w:val="31"/>
          <w:szCs w:val="31"/>
        </w:rPr>
        <w:t xml:space="preserve">第一部分  </w:t>
      </w:r>
      <w:r>
        <w:rPr>
          <w:rFonts w:hint="eastAsia" w:ascii="黑体" w:hAnsi="黑体" w:eastAsia="黑体" w:cs="黑体"/>
          <w:spacing w:val="8"/>
          <w:sz w:val="31"/>
          <w:szCs w:val="31"/>
          <w:lang w:eastAsia="zh-CN"/>
        </w:rPr>
        <w:t>武汉市皮肤病防治院</w:t>
      </w:r>
      <w:r>
        <w:rPr>
          <w:rFonts w:ascii="黑体" w:hAnsi="黑体" w:eastAsia="黑体" w:cs="黑体"/>
          <w:spacing w:val="8"/>
          <w:sz w:val="31"/>
          <w:szCs w:val="31"/>
        </w:rPr>
        <w:t>概况</w:t>
      </w:r>
    </w:p>
    <w:p>
      <w:pPr>
        <w:spacing w:before="182" w:line="222" w:lineRule="auto"/>
        <w:ind w:left="687"/>
        <w:rPr>
          <w:rFonts w:ascii="仿宋" w:hAnsi="仿宋" w:eastAsia="仿宋" w:cs="仿宋"/>
          <w:sz w:val="31"/>
          <w:szCs w:val="31"/>
        </w:rPr>
      </w:pPr>
      <w:r>
        <w:rPr>
          <w:rFonts w:ascii="仿宋" w:hAnsi="仿宋" w:eastAsia="仿宋" w:cs="仿宋"/>
          <w:spacing w:val="5"/>
          <w:sz w:val="31"/>
          <w:szCs w:val="31"/>
        </w:rPr>
        <w:t>一、</w:t>
      </w:r>
      <w:r>
        <w:rPr>
          <w:rFonts w:hint="eastAsia" w:ascii="仿宋" w:hAnsi="仿宋" w:eastAsia="仿宋" w:cs="仿宋"/>
          <w:spacing w:val="5"/>
          <w:sz w:val="31"/>
          <w:szCs w:val="31"/>
          <w:lang w:val="en-US" w:eastAsia="zh-CN"/>
        </w:rPr>
        <w:t>单位</w:t>
      </w:r>
      <w:r>
        <w:rPr>
          <w:rFonts w:ascii="仿宋" w:hAnsi="仿宋" w:eastAsia="仿宋" w:cs="仿宋"/>
          <w:spacing w:val="5"/>
          <w:sz w:val="31"/>
          <w:szCs w:val="31"/>
        </w:rPr>
        <w:t>主要职责</w:t>
      </w:r>
    </w:p>
    <w:p>
      <w:pPr>
        <w:spacing w:before="186" w:line="222" w:lineRule="auto"/>
        <w:ind w:left="684"/>
        <w:rPr>
          <w:rFonts w:ascii="仿宋" w:hAnsi="仿宋" w:eastAsia="仿宋" w:cs="仿宋"/>
          <w:sz w:val="31"/>
          <w:szCs w:val="31"/>
        </w:rPr>
      </w:pPr>
      <w:r>
        <w:rPr>
          <w:rFonts w:ascii="仿宋" w:hAnsi="仿宋" w:eastAsia="仿宋" w:cs="仿宋"/>
          <w:spacing w:val="6"/>
          <w:sz w:val="31"/>
          <w:szCs w:val="31"/>
        </w:rPr>
        <w:t>二、</w:t>
      </w:r>
      <w:r>
        <w:rPr>
          <w:rFonts w:hint="eastAsia" w:ascii="仿宋" w:hAnsi="仿宋" w:eastAsia="仿宋" w:cs="仿宋"/>
          <w:spacing w:val="6"/>
          <w:sz w:val="31"/>
          <w:szCs w:val="31"/>
          <w:lang w:val="en-US" w:eastAsia="zh-CN"/>
        </w:rPr>
        <w:t>单位</w:t>
      </w:r>
      <w:r>
        <w:rPr>
          <w:rFonts w:ascii="仿宋" w:hAnsi="仿宋" w:eastAsia="仿宋" w:cs="仿宋"/>
          <w:spacing w:val="6"/>
          <w:sz w:val="31"/>
          <w:szCs w:val="31"/>
        </w:rPr>
        <w:t>机构设置</w:t>
      </w:r>
    </w:p>
    <w:p>
      <w:pPr>
        <w:spacing w:before="186" w:line="226" w:lineRule="auto"/>
        <w:ind w:left="667"/>
        <w:rPr>
          <w:rFonts w:ascii="黑体" w:hAnsi="黑体" w:eastAsia="黑体" w:cs="黑体"/>
          <w:sz w:val="31"/>
          <w:szCs w:val="31"/>
        </w:rPr>
      </w:pPr>
      <w:r>
        <w:rPr>
          <w:rFonts w:ascii="黑体" w:hAnsi="黑体" w:eastAsia="黑体" w:cs="黑体"/>
          <w:spacing w:val="7"/>
          <w:sz w:val="31"/>
          <w:szCs w:val="31"/>
        </w:rPr>
        <w:t xml:space="preserve">第二部分  </w:t>
      </w:r>
      <w:r>
        <w:rPr>
          <w:rFonts w:hint="eastAsia" w:ascii="黑体" w:hAnsi="黑体" w:eastAsia="黑体" w:cs="黑体"/>
          <w:spacing w:val="7"/>
          <w:sz w:val="31"/>
          <w:szCs w:val="31"/>
          <w:lang w:eastAsia="zh-CN"/>
        </w:rPr>
        <w:t>武汉市皮肤病防治院</w:t>
      </w:r>
      <w:r>
        <w:rPr>
          <w:rFonts w:ascii="黑体" w:hAnsi="黑体" w:eastAsia="黑体" w:cs="黑体"/>
          <w:spacing w:val="7"/>
          <w:sz w:val="31"/>
          <w:szCs w:val="31"/>
        </w:rPr>
        <w:t>2024年预算表</w:t>
      </w:r>
    </w:p>
    <w:p>
      <w:pPr>
        <w:spacing w:before="182" w:line="222" w:lineRule="auto"/>
        <w:ind w:left="687"/>
        <w:rPr>
          <w:rFonts w:ascii="仿宋" w:hAnsi="仿宋" w:eastAsia="仿宋" w:cs="仿宋"/>
          <w:sz w:val="31"/>
          <w:szCs w:val="31"/>
        </w:rPr>
      </w:pPr>
      <w:r>
        <w:rPr>
          <w:rFonts w:ascii="仿宋" w:hAnsi="仿宋" w:eastAsia="仿宋" w:cs="仿宋"/>
          <w:spacing w:val="5"/>
          <w:sz w:val="31"/>
          <w:szCs w:val="31"/>
        </w:rPr>
        <w:t>一、</w:t>
      </w:r>
      <w:r>
        <w:rPr>
          <w:rFonts w:hint="eastAsia" w:ascii="仿宋" w:hAnsi="仿宋" w:eastAsia="仿宋" w:cs="仿宋"/>
          <w:spacing w:val="5"/>
          <w:sz w:val="31"/>
          <w:szCs w:val="31"/>
          <w:lang w:val="en-US" w:eastAsia="zh-CN"/>
        </w:rPr>
        <w:t>单位</w:t>
      </w:r>
      <w:r>
        <w:rPr>
          <w:rFonts w:ascii="仿宋" w:hAnsi="仿宋" w:eastAsia="仿宋" w:cs="仿宋"/>
          <w:spacing w:val="5"/>
          <w:sz w:val="31"/>
          <w:szCs w:val="31"/>
        </w:rPr>
        <w:t>收支总表</w:t>
      </w:r>
    </w:p>
    <w:p>
      <w:pPr>
        <w:spacing w:before="187" w:line="222" w:lineRule="auto"/>
        <w:ind w:left="684"/>
        <w:rPr>
          <w:rFonts w:ascii="仿宋" w:hAnsi="仿宋" w:eastAsia="仿宋" w:cs="仿宋"/>
          <w:sz w:val="31"/>
          <w:szCs w:val="31"/>
        </w:rPr>
      </w:pPr>
      <w:r>
        <w:rPr>
          <w:rFonts w:ascii="仿宋" w:hAnsi="仿宋" w:eastAsia="仿宋" w:cs="仿宋"/>
          <w:spacing w:val="6"/>
          <w:sz w:val="31"/>
          <w:szCs w:val="31"/>
        </w:rPr>
        <w:t>二、</w:t>
      </w:r>
      <w:r>
        <w:rPr>
          <w:rFonts w:hint="eastAsia" w:ascii="仿宋" w:hAnsi="仿宋" w:eastAsia="仿宋" w:cs="仿宋"/>
          <w:spacing w:val="6"/>
          <w:sz w:val="31"/>
          <w:szCs w:val="31"/>
          <w:lang w:val="en-US" w:eastAsia="zh-CN"/>
        </w:rPr>
        <w:t>单位</w:t>
      </w:r>
      <w:r>
        <w:rPr>
          <w:rFonts w:ascii="仿宋" w:hAnsi="仿宋" w:eastAsia="仿宋" w:cs="仿宋"/>
          <w:spacing w:val="6"/>
          <w:sz w:val="31"/>
          <w:szCs w:val="31"/>
        </w:rPr>
        <w:t>收入总表</w:t>
      </w:r>
    </w:p>
    <w:p>
      <w:pPr>
        <w:spacing w:before="186" w:line="222" w:lineRule="auto"/>
        <w:ind w:left="690"/>
        <w:rPr>
          <w:rFonts w:ascii="仿宋" w:hAnsi="仿宋" w:eastAsia="仿宋" w:cs="仿宋"/>
          <w:sz w:val="31"/>
          <w:szCs w:val="31"/>
        </w:rPr>
      </w:pPr>
      <w:r>
        <w:rPr>
          <w:rFonts w:ascii="仿宋" w:hAnsi="仿宋" w:eastAsia="仿宋" w:cs="仿宋"/>
          <w:spacing w:val="5"/>
          <w:sz w:val="31"/>
          <w:szCs w:val="31"/>
        </w:rPr>
        <w:t>三、</w:t>
      </w:r>
      <w:r>
        <w:rPr>
          <w:rFonts w:hint="eastAsia" w:ascii="仿宋" w:hAnsi="仿宋" w:eastAsia="仿宋" w:cs="仿宋"/>
          <w:spacing w:val="5"/>
          <w:sz w:val="31"/>
          <w:szCs w:val="31"/>
          <w:lang w:val="en-US" w:eastAsia="zh-CN"/>
        </w:rPr>
        <w:t>单位</w:t>
      </w:r>
      <w:r>
        <w:rPr>
          <w:rFonts w:ascii="仿宋" w:hAnsi="仿宋" w:eastAsia="仿宋" w:cs="仿宋"/>
          <w:spacing w:val="5"/>
          <w:sz w:val="31"/>
          <w:szCs w:val="31"/>
        </w:rPr>
        <w:t>支出总表</w:t>
      </w:r>
    </w:p>
    <w:p>
      <w:pPr>
        <w:spacing w:before="190" w:line="223" w:lineRule="auto"/>
        <w:ind w:left="704"/>
        <w:rPr>
          <w:rFonts w:ascii="仿宋" w:hAnsi="仿宋" w:eastAsia="仿宋" w:cs="仿宋"/>
          <w:sz w:val="31"/>
          <w:szCs w:val="31"/>
        </w:rPr>
      </w:pPr>
      <w:r>
        <w:rPr>
          <w:rFonts w:ascii="仿宋" w:hAnsi="仿宋" w:eastAsia="仿宋" w:cs="仿宋"/>
          <w:spacing w:val="4"/>
          <w:sz w:val="31"/>
          <w:szCs w:val="31"/>
        </w:rPr>
        <w:t>四、财政拨款收支总表</w:t>
      </w:r>
    </w:p>
    <w:p>
      <w:pPr>
        <w:spacing w:before="184" w:line="221" w:lineRule="auto"/>
        <w:ind w:left="678"/>
        <w:rPr>
          <w:rFonts w:ascii="仿宋" w:hAnsi="仿宋" w:eastAsia="仿宋" w:cs="仿宋"/>
          <w:sz w:val="31"/>
          <w:szCs w:val="31"/>
        </w:rPr>
      </w:pPr>
      <w:r>
        <w:rPr>
          <w:rFonts w:ascii="仿宋" w:hAnsi="仿宋" w:eastAsia="仿宋" w:cs="仿宋"/>
          <w:spacing w:val="8"/>
          <w:sz w:val="31"/>
          <w:szCs w:val="31"/>
        </w:rPr>
        <w:t>五、一般公共预算支出表(分功能科目，分单位)</w:t>
      </w:r>
    </w:p>
    <w:p>
      <w:pPr>
        <w:spacing w:before="188" w:line="222" w:lineRule="auto"/>
        <w:ind w:left="681"/>
        <w:rPr>
          <w:rFonts w:ascii="仿宋" w:hAnsi="仿宋" w:eastAsia="仿宋" w:cs="仿宋"/>
          <w:sz w:val="31"/>
          <w:szCs w:val="31"/>
        </w:rPr>
      </w:pPr>
      <w:r>
        <w:rPr>
          <w:rFonts w:ascii="仿宋" w:hAnsi="仿宋" w:eastAsia="仿宋" w:cs="仿宋"/>
          <w:spacing w:val="7"/>
          <w:sz w:val="31"/>
          <w:szCs w:val="31"/>
        </w:rPr>
        <w:t>六、一般公共预算基本支出表</w:t>
      </w:r>
    </w:p>
    <w:p>
      <w:pPr>
        <w:spacing w:before="189" w:line="222" w:lineRule="auto"/>
        <w:ind w:left="674"/>
        <w:rPr>
          <w:rFonts w:ascii="仿宋" w:hAnsi="仿宋" w:eastAsia="仿宋" w:cs="仿宋"/>
          <w:sz w:val="31"/>
          <w:szCs w:val="31"/>
        </w:rPr>
      </w:pPr>
      <w:r>
        <w:rPr>
          <w:rFonts w:ascii="仿宋" w:hAnsi="仿宋" w:eastAsia="仿宋" w:cs="仿宋"/>
          <w:spacing w:val="3"/>
          <w:sz w:val="31"/>
          <w:szCs w:val="31"/>
        </w:rPr>
        <w:t>七、一般公共预算</w:t>
      </w:r>
      <w:r>
        <w:rPr>
          <w:rFonts w:ascii="仿宋" w:hAnsi="仿宋" w:eastAsia="仿宋" w:cs="仿宋"/>
          <w:spacing w:val="-98"/>
          <w:sz w:val="31"/>
          <w:szCs w:val="31"/>
        </w:rPr>
        <w:t xml:space="preserve"> </w:t>
      </w:r>
      <w:r>
        <w:rPr>
          <w:rFonts w:ascii="仿宋" w:hAnsi="仿宋" w:eastAsia="仿宋" w:cs="仿宋"/>
          <w:spacing w:val="3"/>
          <w:sz w:val="31"/>
          <w:szCs w:val="31"/>
        </w:rPr>
        <w:t>“</w:t>
      </w:r>
      <w:r>
        <w:rPr>
          <w:rFonts w:ascii="仿宋" w:hAnsi="仿宋" w:eastAsia="仿宋" w:cs="仿宋"/>
          <w:spacing w:val="-116"/>
          <w:sz w:val="31"/>
          <w:szCs w:val="31"/>
        </w:rPr>
        <w:t xml:space="preserve"> </w:t>
      </w:r>
      <w:r>
        <w:rPr>
          <w:rFonts w:ascii="仿宋" w:hAnsi="仿宋" w:eastAsia="仿宋" w:cs="仿宋"/>
          <w:spacing w:val="3"/>
          <w:sz w:val="31"/>
          <w:szCs w:val="31"/>
        </w:rPr>
        <w:t>三公”经费支出表</w:t>
      </w:r>
    </w:p>
    <w:p>
      <w:pPr>
        <w:spacing w:before="187" w:line="220" w:lineRule="auto"/>
        <w:ind w:left="673"/>
        <w:rPr>
          <w:rFonts w:ascii="仿宋" w:hAnsi="仿宋" w:eastAsia="仿宋" w:cs="仿宋"/>
          <w:sz w:val="31"/>
          <w:szCs w:val="31"/>
        </w:rPr>
      </w:pPr>
      <w:r>
        <w:rPr>
          <w:rFonts w:ascii="仿宋" w:hAnsi="仿宋" w:eastAsia="仿宋" w:cs="仿宋"/>
          <w:spacing w:val="8"/>
          <w:sz w:val="31"/>
          <w:szCs w:val="31"/>
        </w:rPr>
        <w:t>八、政府性基金预算支出表</w:t>
      </w:r>
    </w:p>
    <w:p>
      <w:pPr>
        <w:spacing w:before="189" w:line="222" w:lineRule="auto"/>
        <w:ind w:left="671"/>
        <w:rPr>
          <w:rFonts w:ascii="仿宋" w:hAnsi="仿宋" w:eastAsia="仿宋" w:cs="仿宋"/>
          <w:sz w:val="31"/>
          <w:szCs w:val="31"/>
        </w:rPr>
      </w:pPr>
      <w:r>
        <w:rPr>
          <w:rFonts w:ascii="仿宋" w:hAnsi="仿宋" w:eastAsia="仿宋" w:cs="仿宋"/>
          <w:spacing w:val="8"/>
          <w:sz w:val="31"/>
          <w:szCs w:val="31"/>
        </w:rPr>
        <w:t>九、国有资本经营预算支出表</w:t>
      </w:r>
    </w:p>
    <w:p>
      <w:pPr>
        <w:spacing w:before="190" w:line="222" w:lineRule="auto"/>
        <w:ind w:left="681"/>
        <w:rPr>
          <w:rFonts w:ascii="仿宋" w:hAnsi="仿宋" w:eastAsia="仿宋" w:cs="仿宋"/>
          <w:sz w:val="31"/>
          <w:szCs w:val="31"/>
        </w:rPr>
      </w:pPr>
      <w:r>
        <w:rPr>
          <w:rFonts w:ascii="仿宋" w:hAnsi="仿宋" w:eastAsia="仿宋" w:cs="仿宋"/>
          <w:spacing w:val="7"/>
          <w:sz w:val="31"/>
          <w:szCs w:val="31"/>
        </w:rPr>
        <w:t>十、项目支出情况表</w:t>
      </w:r>
    </w:p>
    <w:p>
      <w:pPr>
        <w:spacing w:before="186" w:line="222" w:lineRule="auto"/>
        <w:ind w:left="681"/>
        <w:rPr>
          <w:rFonts w:ascii="仿宋" w:hAnsi="仿宋" w:eastAsia="仿宋" w:cs="仿宋"/>
          <w:sz w:val="31"/>
          <w:szCs w:val="31"/>
        </w:rPr>
      </w:pPr>
      <w:r>
        <w:rPr>
          <w:rFonts w:ascii="仿宋" w:hAnsi="仿宋" w:eastAsia="仿宋" w:cs="仿宋"/>
          <w:spacing w:val="7"/>
          <w:sz w:val="31"/>
          <w:szCs w:val="31"/>
        </w:rPr>
        <w:t>十一、整体支出绩效目标表</w:t>
      </w:r>
    </w:p>
    <w:p>
      <w:pPr>
        <w:spacing w:before="187" w:line="222" w:lineRule="auto"/>
        <w:ind w:left="681"/>
        <w:rPr>
          <w:rFonts w:ascii="仿宋" w:hAnsi="仿宋" w:eastAsia="仿宋" w:cs="仿宋"/>
          <w:sz w:val="31"/>
          <w:szCs w:val="31"/>
        </w:rPr>
      </w:pPr>
      <w:r>
        <w:rPr>
          <w:rFonts w:ascii="仿宋" w:hAnsi="仿宋" w:eastAsia="仿宋" w:cs="仿宋"/>
          <w:spacing w:val="7"/>
          <w:sz w:val="31"/>
          <w:szCs w:val="31"/>
        </w:rPr>
        <w:t>十二、项目支出绩效目标表</w:t>
      </w:r>
    </w:p>
    <w:p>
      <w:pPr>
        <w:spacing w:before="186" w:line="226" w:lineRule="auto"/>
        <w:ind w:left="667"/>
        <w:rPr>
          <w:rFonts w:ascii="黑体" w:hAnsi="黑体" w:eastAsia="黑体" w:cs="黑体"/>
          <w:spacing w:val="7"/>
          <w:sz w:val="31"/>
          <w:szCs w:val="31"/>
        </w:rPr>
      </w:pPr>
      <w:r>
        <w:rPr>
          <w:rFonts w:ascii="黑体" w:hAnsi="黑体" w:eastAsia="黑体" w:cs="黑体"/>
          <w:spacing w:val="7"/>
          <w:sz w:val="31"/>
          <w:szCs w:val="31"/>
        </w:rPr>
        <w:t xml:space="preserve">第三部分  </w:t>
      </w:r>
      <w:r>
        <w:rPr>
          <w:rFonts w:hint="eastAsia" w:ascii="黑体" w:hAnsi="黑体" w:eastAsia="黑体" w:cs="黑体"/>
          <w:spacing w:val="7"/>
          <w:sz w:val="31"/>
          <w:szCs w:val="31"/>
          <w:lang w:eastAsia="zh-CN"/>
        </w:rPr>
        <w:t>武汉市皮肤病防治院</w:t>
      </w:r>
      <w:r>
        <w:rPr>
          <w:rFonts w:ascii="黑体" w:hAnsi="黑体" w:eastAsia="黑体" w:cs="黑体"/>
          <w:spacing w:val="7"/>
          <w:sz w:val="31"/>
          <w:szCs w:val="31"/>
        </w:rPr>
        <w:t>2024年预算情况说明</w:t>
      </w:r>
    </w:p>
    <w:p>
      <w:pPr>
        <w:spacing w:before="180" w:line="222" w:lineRule="auto"/>
        <w:ind w:left="687"/>
        <w:rPr>
          <w:rFonts w:ascii="仿宋" w:hAnsi="仿宋" w:eastAsia="仿宋" w:cs="仿宋"/>
          <w:sz w:val="31"/>
          <w:szCs w:val="31"/>
        </w:rPr>
      </w:pPr>
      <w:r>
        <w:rPr>
          <w:rFonts w:ascii="仿宋" w:hAnsi="仿宋" w:eastAsia="仿宋" w:cs="仿宋"/>
          <w:spacing w:val="7"/>
          <w:sz w:val="31"/>
          <w:szCs w:val="31"/>
        </w:rPr>
        <w:t>一、收支预算总体安排情况</w:t>
      </w:r>
    </w:p>
    <w:p>
      <w:pPr>
        <w:spacing w:before="204" w:line="222" w:lineRule="auto"/>
        <w:ind w:left="690"/>
        <w:rPr>
          <w:rFonts w:ascii="仿宋" w:hAnsi="仿宋" w:eastAsia="仿宋" w:cs="仿宋"/>
          <w:spacing w:val="6"/>
          <w:sz w:val="31"/>
          <w:szCs w:val="31"/>
        </w:rPr>
      </w:pPr>
      <w:r>
        <w:rPr>
          <w:rFonts w:ascii="仿宋" w:hAnsi="仿宋" w:eastAsia="仿宋" w:cs="仿宋"/>
          <w:spacing w:val="6"/>
          <w:sz w:val="31"/>
          <w:szCs w:val="31"/>
        </w:rPr>
        <w:t>二、收入预算安排情况</w:t>
      </w:r>
    </w:p>
    <w:p>
      <w:pPr>
        <w:spacing w:before="204" w:line="222" w:lineRule="auto"/>
        <w:ind w:left="690"/>
        <w:rPr>
          <w:rFonts w:ascii="仿宋" w:hAnsi="仿宋" w:eastAsia="仿宋" w:cs="仿宋"/>
          <w:sz w:val="31"/>
          <w:szCs w:val="31"/>
        </w:rPr>
      </w:pPr>
      <w:r>
        <w:rPr>
          <w:rFonts w:ascii="仿宋" w:hAnsi="仿宋" w:eastAsia="仿宋" w:cs="仿宋"/>
          <w:spacing w:val="6"/>
          <w:sz w:val="31"/>
          <w:szCs w:val="31"/>
        </w:rPr>
        <w:t>三、支出预算安排情况</w:t>
      </w:r>
    </w:p>
    <w:p>
      <w:pPr>
        <w:spacing w:before="186" w:line="560" w:lineRule="exact"/>
        <w:ind w:left="704"/>
        <w:rPr>
          <w:rFonts w:ascii="仿宋" w:hAnsi="仿宋" w:eastAsia="仿宋" w:cs="仿宋"/>
          <w:sz w:val="31"/>
          <w:szCs w:val="31"/>
        </w:rPr>
      </w:pPr>
      <w:r>
        <w:rPr>
          <w:rFonts w:ascii="仿宋" w:hAnsi="仿宋" w:eastAsia="仿宋" w:cs="仿宋"/>
          <w:spacing w:val="6"/>
          <w:position w:val="18"/>
          <w:sz w:val="31"/>
          <w:szCs w:val="31"/>
        </w:rPr>
        <w:t>四、财政拨款收支预算总体情况</w:t>
      </w:r>
    </w:p>
    <w:p>
      <w:pPr>
        <w:spacing w:before="1" w:line="221" w:lineRule="auto"/>
        <w:ind w:left="678"/>
        <w:rPr>
          <w:rFonts w:ascii="仿宋" w:hAnsi="仿宋" w:eastAsia="仿宋" w:cs="仿宋"/>
          <w:sz w:val="31"/>
          <w:szCs w:val="31"/>
        </w:rPr>
      </w:pPr>
      <w:r>
        <w:rPr>
          <w:rFonts w:ascii="仿宋" w:hAnsi="仿宋" w:eastAsia="仿宋" w:cs="仿宋"/>
          <w:spacing w:val="8"/>
          <w:sz w:val="31"/>
          <w:szCs w:val="31"/>
        </w:rPr>
        <w:t>五、一般公共预算支出安排情况</w:t>
      </w:r>
    </w:p>
    <w:p>
      <w:pPr>
        <w:spacing w:before="188" w:line="222" w:lineRule="auto"/>
        <w:ind w:left="681"/>
        <w:rPr>
          <w:rFonts w:ascii="仿宋" w:hAnsi="仿宋" w:eastAsia="仿宋" w:cs="仿宋"/>
          <w:sz w:val="31"/>
          <w:szCs w:val="31"/>
        </w:rPr>
      </w:pPr>
      <w:r>
        <w:rPr>
          <w:rFonts w:ascii="仿宋" w:hAnsi="仿宋" w:eastAsia="仿宋" w:cs="仿宋"/>
          <w:spacing w:val="8"/>
          <w:sz w:val="31"/>
          <w:szCs w:val="31"/>
        </w:rPr>
        <w:t>六、一般公共预算基本支出安排情况</w:t>
      </w:r>
    </w:p>
    <w:p>
      <w:pPr>
        <w:spacing w:before="186" w:line="222" w:lineRule="auto"/>
        <w:ind w:left="674"/>
        <w:rPr>
          <w:rFonts w:ascii="仿宋" w:hAnsi="仿宋" w:eastAsia="仿宋" w:cs="仿宋"/>
          <w:sz w:val="31"/>
          <w:szCs w:val="31"/>
        </w:rPr>
      </w:pPr>
      <w:r>
        <w:rPr>
          <w:rFonts w:ascii="仿宋" w:hAnsi="仿宋" w:eastAsia="仿宋" w:cs="仿宋"/>
          <w:spacing w:val="4"/>
          <w:sz w:val="31"/>
          <w:szCs w:val="31"/>
        </w:rPr>
        <w:t>七、一般公共预算</w:t>
      </w:r>
      <w:r>
        <w:rPr>
          <w:rFonts w:ascii="仿宋" w:hAnsi="仿宋" w:eastAsia="仿宋" w:cs="仿宋"/>
          <w:spacing w:val="-97"/>
          <w:sz w:val="31"/>
          <w:szCs w:val="31"/>
        </w:rPr>
        <w:t xml:space="preserve"> </w:t>
      </w:r>
      <w:r>
        <w:rPr>
          <w:rFonts w:ascii="仿宋" w:hAnsi="仿宋" w:eastAsia="仿宋" w:cs="仿宋"/>
          <w:spacing w:val="4"/>
          <w:sz w:val="31"/>
          <w:szCs w:val="31"/>
        </w:rPr>
        <w:t>“</w:t>
      </w:r>
      <w:r>
        <w:rPr>
          <w:rFonts w:ascii="仿宋" w:hAnsi="仿宋" w:eastAsia="仿宋" w:cs="仿宋"/>
          <w:spacing w:val="-116"/>
          <w:sz w:val="31"/>
          <w:szCs w:val="31"/>
        </w:rPr>
        <w:t xml:space="preserve"> </w:t>
      </w:r>
      <w:r>
        <w:rPr>
          <w:rFonts w:ascii="仿宋" w:hAnsi="仿宋" w:eastAsia="仿宋" w:cs="仿宋"/>
          <w:spacing w:val="4"/>
          <w:sz w:val="31"/>
          <w:szCs w:val="31"/>
        </w:rPr>
        <w:t>三公”经费支出安排情况</w:t>
      </w:r>
    </w:p>
    <w:p>
      <w:pPr>
        <w:spacing w:before="187" w:line="220" w:lineRule="auto"/>
        <w:ind w:left="673"/>
        <w:rPr>
          <w:rFonts w:ascii="仿宋" w:hAnsi="仿宋" w:eastAsia="仿宋" w:cs="仿宋"/>
          <w:sz w:val="31"/>
          <w:szCs w:val="31"/>
        </w:rPr>
      </w:pPr>
      <w:r>
        <w:rPr>
          <w:rFonts w:ascii="仿宋" w:hAnsi="仿宋" w:eastAsia="仿宋" w:cs="仿宋"/>
          <w:spacing w:val="8"/>
          <w:sz w:val="31"/>
          <w:szCs w:val="31"/>
        </w:rPr>
        <w:t>八、政府性基金预算支出安排情况</w:t>
      </w:r>
    </w:p>
    <w:p>
      <w:pPr>
        <w:spacing w:before="192" w:line="559" w:lineRule="exact"/>
        <w:ind w:left="671"/>
        <w:rPr>
          <w:rFonts w:ascii="仿宋" w:hAnsi="仿宋" w:eastAsia="仿宋" w:cs="仿宋"/>
          <w:sz w:val="31"/>
          <w:szCs w:val="31"/>
        </w:rPr>
      </w:pPr>
      <w:r>
        <w:rPr>
          <w:rFonts w:ascii="仿宋" w:hAnsi="仿宋" w:eastAsia="仿宋" w:cs="仿宋"/>
          <w:spacing w:val="8"/>
          <w:position w:val="18"/>
          <w:sz w:val="31"/>
          <w:szCs w:val="31"/>
        </w:rPr>
        <w:t>九、国有资本经营预算支出安排情况</w:t>
      </w:r>
    </w:p>
    <w:p>
      <w:pPr>
        <w:spacing w:before="1" w:line="222" w:lineRule="auto"/>
        <w:ind w:left="681"/>
        <w:rPr>
          <w:rFonts w:ascii="仿宋" w:hAnsi="仿宋" w:eastAsia="仿宋" w:cs="仿宋"/>
          <w:sz w:val="31"/>
          <w:szCs w:val="31"/>
        </w:rPr>
      </w:pPr>
      <w:r>
        <w:rPr>
          <w:rFonts w:ascii="仿宋" w:hAnsi="仿宋" w:eastAsia="仿宋" w:cs="仿宋"/>
          <w:spacing w:val="7"/>
          <w:sz w:val="31"/>
          <w:szCs w:val="31"/>
        </w:rPr>
        <w:t>十、项目支出安排情况</w:t>
      </w:r>
    </w:p>
    <w:p>
      <w:pPr>
        <w:spacing w:before="185" w:line="561" w:lineRule="exact"/>
        <w:ind w:left="681"/>
        <w:rPr>
          <w:rFonts w:ascii="仿宋" w:hAnsi="仿宋" w:eastAsia="仿宋" w:cs="仿宋"/>
          <w:sz w:val="31"/>
          <w:szCs w:val="31"/>
        </w:rPr>
      </w:pPr>
      <w:r>
        <w:rPr>
          <w:rFonts w:ascii="仿宋" w:hAnsi="仿宋" w:eastAsia="仿宋" w:cs="仿宋"/>
          <w:spacing w:val="7"/>
          <w:position w:val="18"/>
          <w:sz w:val="31"/>
          <w:szCs w:val="31"/>
        </w:rPr>
        <w:t>十一、其他重要事项的情况说明</w:t>
      </w:r>
    </w:p>
    <w:p>
      <w:pPr>
        <w:spacing w:line="227" w:lineRule="auto"/>
        <w:ind w:left="667"/>
        <w:rPr>
          <w:rFonts w:ascii="黑体" w:hAnsi="黑体" w:eastAsia="黑体" w:cs="黑体"/>
          <w:sz w:val="31"/>
          <w:szCs w:val="31"/>
        </w:rPr>
      </w:pPr>
      <w:r>
        <w:rPr>
          <w:rFonts w:ascii="黑体" w:hAnsi="黑体" w:eastAsia="黑体" w:cs="黑体"/>
          <w:spacing w:val="7"/>
          <w:sz w:val="31"/>
          <w:szCs w:val="31"/>
        </w:rPr>
        <w:t>第四部分  名词解释</w:t>
      </w:r>
    </w:p>
    <w:p>
      <w:pPr>
        <w:spacing w:line="227" w:lineRule="auto"/>
        <w:rPr>
          <w:rFonts w:ascii="黑体" w:hAnsi="黑体" w:eastAsia="黑体" w:cs="黑体"/>
          <w:sz w:val="31"/>
          <w:szCs w:val="31"/>
        </w:rPr>
        <w:sectPr>
          <w:footerReference r:id="rId6" w:type="default"/>
          <w:pgSz w:w="11906" w:h="16839"/>
          <w:pgMar w:top="1431" w:right="1785" w:bottom="1151" w:left="1785" w:header="0" w:footer="989" w:gutter="0"/>
          <w:pgBorders>
            <w:top w:val="none" w:sz="0" w:space="0"/>
            <w:left w:val="none" w:sz="0" w:space="0"/>
            <w:bottom w:val="none" w:sz="0" w:space="0"/>
            <w:right w:val="none" w:sz="0" w:space="0"/>
          </w:pgBorders>
          <w:pgNumType w:fmt="decimal" w:start="1"/>
          <w:cols w:space="720" w:num="1"/>
        </w:sectPr>
      </w:pPr>
    </w:p>
    <w:p>
      <w:pPr>
        <w:spacing w:before="204" w:line="226" w:lineRule="auto"/>
        <w:ind w:left="1538"/>
        <w:rPr>
          <w:rFonts w:ascii="黑体" w:hAnsi="黑体" w:eastAsia="黑体" w:cs="黑体"/>
          <w:sz w:val="31"/>
          <w:szCs w:val="31"/>
        </w:rPr>
      </w:pPr>
      <w:r>
        <w:rPr>
          <w:rFonts w:ascii="黑体" w:hAnsi="黑体" w:eastAsia="黑体" w:cs="黑体"/>
          <w:spacing w:val="8"/>
          <w:sz w:val="31"/>
          <w:szCs w:val="31"/>
        </w:rPr>
        <w:t xml:space="preserve">第一部分 </w:t>
      </w:r>
      <w:r>
        <w:rPr>
          <w:rFonts w:hint="eastAsia" w:ascii="黑体" w:hAnsi="黑体" w:eastAsia="黑体" w:cs="黑体"/>
          <w:spacing w:val="8"/>
          <w:sz w:val="31"/>
          <w:szCs w:val="31"/>
          <w:lang w:eastAsia="zh-CN"/>
        </w:rPr>
        <w:t>武汉市皮肤病防治院</w:t>
      </w:r>
      <w:r>
        <w:rPr>
          <w:rFonts w:ascii="黑体" w:hAnsi="黑体" w:eastAsia="黑体" w:cs="黑体"/>
          <w:spacing w:val="8"/>
          <w:sz w:val="31"/>
          <w:szCs w:val="31"/>
        </w:rPr>
        <w:t>概况</w:t>
      </w:r>
    </w:p>
    <w:p>
      <w:pPr>
        <w:pStyle w:val="5"/>
        <w:spacing w:line="317" w:lineRule="auto"/>
      </w:pPr>
    </w:p>
    <w:p>
      <w:pPr>
        <w:pStyle w:val="5"/>
        <w:spacing w:line="317" w:lineRule="auto"/>
      </w:pPr>
    </w:p>
    <w:p>
      <w:pPr>
        <w:spacing w:before="100" w:line="226" w:lineRule="auto"/>
        <w:ind w:left="672"/>
      </w:pPr>
      <w:r>
        <w:rPr>
          <w:rFonts w:ascii="黑体" w:hAnsi="黑体" w:eastAsia="黑体" w:cs="黑体"/>
          <w:spacing w:val="7"/>
          <w:sz w:val="31"/>
          <w:szCs w:val="31"/>
        </w:rPr>
        <w:t>一、</w:t>
      </w:r>
      <w:r>
        <w:rPr>
          <w:rFonts w:hint="eastAsia" w:ascii="黑体" w:hAnsi="黑体" w:eastAsia="黑体" w:cs="黑体"/>
          <w:spacing w:val="7"/>
          <w:sz w:val="31"/>
          <w:szCs w:val="31"/>
          <w:lang w:val="en-US" w:eastAsia="zh-CN"/>
        </w:rPr>
        <w:t>单位</w:t>
      </w:r>
      <w:r>
        <w:rPr>
          <w:rFonts w:ascii="黑体" w:hAnsi="黑体" w:eastAsia="黑体" w:cs="黑体"/>
          <w:spacing w:val="7"/>
          <w:sz w:val="31"/>
          <w:szCs w:val="31"/>
        </w:rPr>
        <w:t>主要职责</w:t>
      </w:r>
    </w:p>
    <w:p>
      <w:pPr>
        <w:widowControl/>
        <w:tabs>
          <w:tab w:val="left" w:pos="0"/>
        </w:tabs>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一</w:t>
      </w:r>
      <w:r>
        <w:rPr>
          <w:rFonts w:hint="eastAsia" w:ascii="仿宋_GB2312" w:eastAsia="仿宋_GB2312" w:cs="仿宋_GB2312"/>
          <w:sz w:val="32"/>
          <w:szCs w:val="32"/>
          <w:lang w:eastAsia="zh-CN"/>
        </w:rPr>
        <w:t>）</w:t>
      </w:r>
      <w:r>
        <w:rPr>
          <w:rFonts w:ascii="仿宋_GB2312" w:eastAsia="仿宋_GB2312" w:cs="仿宋_GB2312"/>
          <w:sz w:val="32"/>
          <w:szCs w:val="32"/>
        </w:rPr>
        <w:t>承担麻风病防治工作。武汉市麻风病人集中收治及统一管理；武汉市新、复发麻风病监测；疫点调查及密切接触者体检；武汉市新、复发麻风病人联合化疗，麻风患者心理干预，畸残矫形及康复治疗；麻风病防治社会宣传及健康教育；麻风病临床技术应用性研究；湖北省麻风病防治规划及临床诊疗规范的制定；湖北省麻风病临床技术指导、人员培训、质量控制；湖北省疑难重症和药物毒副反应病例收治；湖北省麻风病畸残手术和义肢安装。</w:t>
      </w:r>
    </w:p>
    <w:p>
      <w:pPr>
        <w:widowControl/>
        <w:tabs>
          <w:tab w:val="left" w:pos="0"/>
        </w:tabs>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二</w:t>
      </w:r>
      <w:r>
        <w:rPr>
          <w:rFonts w:hint="eastAsia" w:ascii="仿宋_GB2312" w:eastAsia="仿宋_GB2312" w:cs="仿宋_GB2312"/>
          <w:sz w:val="32"/>
          <w:szCs w:val="32"/>
          <w:lang w:eastAsia="zh-CN"/>
        </w:rPr>
        <w:t>）</w:t>
      </w:r>
      <w:r>
        <w:rPr>
          <w:rFonts w:ascii="仿宋_GB2312" w:eastAsia="仿宋_GB2312" w:cs="仿宋_GB2312"/>
          <w:sz w:val="32"/>
          <w:szCs w:val="32"/>
        </w:rPr>
        <w:t>承担性病艾滋病防治工作。武汉市性病疫情监测及病例报告管理；武汉市性病诊疗专业技术培训；武汉市性病实验室质量控制;武汉市规范化性病诊疗机构准入评审；武汉市娱乐场所100%安全套推广使用项目管理及工作督导；武汉市艾滋病自愿咨询检测CWCT工作管理及督导考核;医务人员主动提供艾滋病咨询检测服务(PITC工作管理及督导考核</w:t>
      </w:r>
      <w:r>
        <w:rPr>
          <w:rFonts w:hint="eastAsia" w:ascii="仿宋_GB2312" w:eastAsia="仿宋_GB2312" w:cs="仿宋_GB2312"/>
          <w:sz w:val="32"/>
          <w:szCs w:val="32"/>
        </w:rPr>
        <w:t>)</w:t>
      </w:r>
      <w:r>
        <w:rPr>
          <w:rFonts w:ascii="仿宋_GB2312" w:eastAsia="仿宋_GB2312" w:cs="仿宋_GB2312"/>
          <w:sz w:val="32"/>
          <w:szCs w:val="32"/>
        </w:rPr>
        <w:t>；武汉市性病艾滋病重点人群主动监测；武汉市性病艾滋病社会宣传及健康教育；特定人群的性病患病率及行为危险因素调查。国家级性病病原体耐药监测点。国家级艾滋病监测点。艾滋病关爱中心（艾滋病检测、治疗、干预一站式服务平台试点）。</w:t>
      </w:r>
    </w:p>
    <w:p>
      <w:pPr>
        <w:widowControl/>
        <w:tabs>
          <w:tab w:val="left" w:pos="0"/>
        </w:tabs>
        <w:snapToGrid w:val="0"/>
        <w:spacing w:line="560" w:lineRule="exact"/>
        <w:ind w:firstLine="640" w:firstLineChars="200"/>
        <w:rPr>
          <w:rFonts w:hint="eastAsia" w:ascii="仿宋_GB2312" w:hAnsi="仿宋" w:eastAsia="仿宋_GB2312"/>
          <w:sz w:val="32"/>
          <w:szCs w:val="32"/>
        </w:rPr>
      </w:pP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三</w:t>
      </w:r>
      <w:r>
        <w:rPr>
          <w:rFonts w:hint="eastAsia" w:ascii="仿宋_GB2312" w:eastAsia="仿宋_GB2312" w:cs="仿宋_GB2312"/>
          <w:sz w:val="32"/>
          <w:szCs w:val="32"/>
          <w:lang w:eastAsia="zh-CN"/>
        </w:rPr>
        <w:t>）</w:t>
      </w:r>
      <w:r>
        <w:rPr>
          <w:rFonts w:ascii="仿宋_GB2312" w:eastAsia="仿宋_GB2312" w:cs="仿宋_GB2312"/>
          <w:sz w:val="32"/>
          <w:szCs w:val="32"/>
        </w:rPr>
        <w:t>承担皮肤病防治工作。</w:t>
      </w:r>
      <w:r>
        <w:rPr>
          <w:rFonts w:hint="eastAsia" w:ascii="仿宋_GB2312" w:eastAsia="仿宋_GB2312" w:cs="仿宋_GB2312"/>
          <w:sz w:val="32"/>
          <w:szCs w:val="32"/>
          <w:lang w:eastAsia="zh-CN"/>
        </w:rPr>
        <w:t>涉及工作有</w:t>
      </w:r>
      <w:r>
        <w:rPr>
          <w:rFonts w:ascii="仿宋_GB2312" w:eastAsia="仿宋_GB2312" w:cs="仿宋_GB2312"/>
          <w:sz w:val="32"/>
          <w:szCs w:val="32"/>
        </w:rPr>
        <w:t>皮肤性病科临床,医学美容整形,疑难皮肤科临床技术应用性研究（市级皮肤性病临床重点专学科）。</w:t>
      </w:r>
    </w:p>
    <w:p>
      <w:pPr>
        <w:spacing w:before="284" w:line="227" w:lineRule="auto"/>
        <w:ind w:left="672"/>
        <w:rPr>
          <w:rFonts w:ascii="仿宋" w:hAnsi="仿宋" w:eastAsia="仿宋" w:cs="仿宋"/>
          <w:sz w:val="30"/>
          <w:szCs w:val="30"/>
        </w:rPr>
      </w:pPr>
      <w:r>
        <w:rPr>
          <w:rFonts w:ascii="黑体" w:hAnsi="黑体" w:eastAsia="黑体" w:cs="黑体"/>
          <w:spacing w:val="8"/>
          <w:sz w:val="31"/>
          <w:szCs w:val="31"/>
        </w:rPr>
        <w:t>二、部门预算单位构成</w:t>
      </w:r>
    </w:p>
    <w:p>
      <w:pPr>
        <w:snapToGrid w:val="0"/>
        <w:spacing w:line="560" w:lineRule="exact"/>
        <w:ind w:firstLine="640" w:firstLineChars="200"/>
        <w:rPr>
          <w:rFonts w:hint="eastAsia" w:ascii="仿宋_GB2312" w:eastAsia="仿宋_GB2312"/>
          <w:bCs/>
          <w:sz w:val="32"/>
          <w:szCs w:val="32"/>
        </w:rPr>
      </w:pPr>
      <w:r>
        <w:rPr>
          <w:rFonts w:hint="eastAsia" w:ascii="仿宋_GB2312" w:eastAsia="仿宋_GB2312"/>
          <w:bCs/>
          <w:sz w:val="32"/>
          <w:szCs w:val="32"/>
        </w:rPr>
        <w:t>按照《市卫生计生委关于疾病预防控制中心等二十家单位内设机构设置的批复》（武卫生计生复﹝2017﹞27号）内容，我院设10个内设机构，分别为办公室、纪检监察科、组织人事科、工会、财务科、科教科、总务科、公共卫生科、医务科、花山院区综合管理办公室。现有业务科室13个：后湖院区门诊办公室、武胜路院区门诊办公室、光谷院区门诊办公室、花山住院部、皮肤内一科、皮肤内二科、医疗美容整形科、性病科、性防科、麻防科、检验科、护理部、药械科、采购办、社会服务部。</w:t>
      </w:r>
    </w:p>
    <w:p>
      <w:pPr>
        <w:rPr>
          <w:b/>
          <w:bCs/>
        </w:rPr>
      </w:pPr>
      <w:r>
        <w:rPr>
          <w:b/>
          <w:bCs/>
        </w:rPr>
        <w:br w:type="page"/>
      </w:r>
    </w:p>
    <w:p>
      <w:pPr>
        <w:pStyle w:val="3"/>
        <w:sectPr>
          <w:footerReference r:id="rId7" w:type="default"/>
          <w:pgSz w:w="11906" w:h="16839"/>
          <w:pgMar w:top="1431" w:right="1675" w:bottom="1151" w:left="1785" w:header="0" w:footer="989" w:gutter="0"/>
          <w:pgBorders>
            <w:top w:val="none" w:sz="0" w:space="0"/>
            <w:left w:val="none" w:sz="0" w:space="0"/>
            <w:bottom w:val="none" w:sz="0" w:space="0"/>
            <w:right w:val="none" w:sz="0" w:space="0"/>
          </w:pgBorders>
          <w:pgNumType w:fmt="decimal"/>
          <w:cols w:space="720" w:num="1"/>
        </w:sectPr>
      </w:pPr>
    </w:p>
    <w:p>
      <w:pPr>
        <w:spacing w:before="204" w:line="226" w:lineRule="auto"/>
        <w:ind w:left="499"/>
        <w:rPr>
          <w:rFonts w:ascii="黑体" w:hAnsi="黑体" w:eastAsia="黑体" w:cs="黑体"/>
          <w:sz w:val="31"/>
          <w:szCs w:val="31"/>
        </w:rPr>
      </w:pPr>
      <w:r>
        <w:rPr>
          <w:rFonts w:ascii="黑体" w:hAnsi="黑体" w:eastAsia="黑体" w:cs="黑体"/>
          <w:spacing w:val="7"/>
          <w:sz w:val="31"/>
          <w:szCs w:val="31"/>
        </w:rPr>
        <w:t xml:space="preserve">第二部分 </w:t>
      </w:r>
      <w:r>
        <w:rPr>
          <w:rFonts w:hint="eastAsia" w:ascii="黑体" w:hAnsi="黑体" w:eastAsia="黑体" w:cs="黑体"/>
          <w:spacing w:val="7"/>
          <w:sz w:val="31"/>
          <w:szCs w:val="31"/>
          <w:lang w:eastAsia="zh-CN"/>
        </w:rPr>
        <w:t>武汉市皮肤病防治院</w:t>
      </w:r>
      <w:r>
        <w:rPr>
          <w:rFonts w:ascii="黑体" w:hAnsi="黑体" w:eastAsia="黑体" w:cs="黑体"/>
          <w:spacing w:val="7"/>
          <w:sz w:val="31"/>
          <w:szCs w:val="31"/>
        </w:rPr>
        <w:t>2024年预算表</w:t>
      </w:r>
    </w:p>
    <w:p>
      <w:pPr>
        <w:pStyle w:val="5"/>
        <w:spacing w:line="317" w:lineRule="auto"/>
      </w:pPr>
    </w:p>
    <w:p>
      <w:pPr>
        <w:pStyle w:val="5"/>
        <w:spacing w:line="318" w:lineRule="auto"/>
      </w:pPr>
    </w:p>
    <w:p>
      <w:pPr>
        <w:spacing w:before="100" w:line="562" w:lineRule="exact"/>
        <w:ind w:left="664"/>
        <w:rPr>
          <w:rFonts w:ascii="仿宋" w:hAnsi="仿宋" w:eastAsia="仿宋" w:cs="仿宋"/>
          <w:sz w:val="31"/>
          <w:szCs w:val="31"/>
        </w:rPr>
      </w:pPr>
      <w:r>
        <w:rPr>
          <w:rFonts w:ascii="仿宋" w:hAnsi="仿宋" w:eastAsia="仿宋" w:cs="仿宋"/>
          <w:spacing w:val="4"/>
          <w:position w:val="18"/>
          <w:sz w:val="31"/>
          <w:szCs w:val="31"/>
        </w:rPr>
        <w:t>表</w:t>
      </w:r>
      <w:r>
        <w:rPr>
          <w:rFonts w:ascii="仿宋" w:hAnsi="仿宋" w:eastAsia="仿宋" w:cs="仿宋"/>
          <w:spacing w:val="-43"/>
          <w:position w:val="18"/>
          <w:sz w:val="31"/>
          <w:szCs w:val="31"/>
        </w:rPr>
        <w:t xml:space="preserve"> </w:t>
      </w:r>
      <w:r>
        <w:rPr>
          <w:rFonts w:ascii="仿宋" w:hAnsi="仿宋" w:eastAsia="仿宋" w:cs="仿宋"/>
          <w:spacing w:val="4"/>
          <w:position w:val="18"/>
          <w:sz w:val="31"/>
          <w:szCs w:val="31"/>
        </w:rPr>
        <w:t>1.</w:t>
      </w:r>
      <w:r>
        <w:rPr>
          <w:rFonts w:hint="eastAsia" w:ascii="仿宋" w:hAnsi="仿宋" w:eastAsia="仿宋" w:cs="仿宋"/>
          <w:spacing w:val="4"/>
          <w:position w:val="18"/>
          <w:sz w:val="31"/>
          <w:szCs w:val="31"/>
          <w:lang w:val="en-US" w:eastAsia="zh-CN"/>
        </w:rPr>
        <w:t>单位</w:t>
      </w:r>
      <w:r>
        <w:rPr>
          <w:rFonts w:ascii="仿宋" w:hAnsi="仿宋" w:eastAsia="仿宋" w:cs="仿宋"/>
          <w:spacing w:val="4"/>
          <w:position w:val="18"/>
          <w:sz w:val="31"/>
          <w:szCs w:val="31"/>
        </w:rPr>
        <w:t>收支总表</w:t>
      </w:r>
    </w:p>
    <w:p>
      <w:pPr>
        <w:spacing w:before="1" w:line="221" w:lineRule="auto"/>
        <w:ind w:left="664"/>
        <w:rPr>
          <w:rFonts w:ascii="仿宋" w:hAnsi="仿宋" w:eastAsia="仿宋" w:cs="仿宋"/>
          <w:sz w:val="31"/>
          <w:szCs w:val="31"/>
        </w:rPr>
      </w:pPr>
      <w:r>
        <w:rPr>
          <w:rFonts w:ascii="仿宋" w:hAnsi="仿宋" w:eastAsia="仿宋" w:cs="仿宋"/>
          <w:spacing w:val="5"/>
          <w:sz w:val="31"/>
          <w:szCs w:val="31"/>
        </w:rPr>
        <w:t>表</w:t>
      </w:r>
      <w:r>
        <w:rPr>
          <w:rFonts w:ascii="仿宋" w:hAnsi="仿宋" w:eastAsia="仿宋" w:cs="仿宋"/>
          <w:spacing w:val="-51"/>
          <w:sz w:val="31"/>
          <w:szCs w:val="31"/>
        </w:rPr>
        <w:t xml:space="preserve"> </w:t>
      </w:r>
      <w:r>
        <w:rPr>
          <w:rFonts w:ascii="仿宋" w:hAnsi="仿宋" w:eastAsia="仿宋" w:cs="仿宋"/>
          <w:spacing w:val="5"/>
          <w:sz w:val="31"/>
          <w:szCs w:val="31"/>
        </w:rPr>
        <w:t>2.</w:t>
      </w:r>
      <w:r>
        <w:rPr>
          <w:rFonts w:hint="eastAsia" w:ascii="仿宋" w:hAnsi="仿宋" w:eastAsia="仿宋" w:cs="仿宋"/>
          <w:spacing w:val="5"/>
          <w:sz w:val="31"/>
          <w:szCs w:val="31"/>
          <w:lang w:val="en-US" w:eastAsia="zh-CN"/>
        </w:rPr>
        <w:t>单位</w:t>
      </w:r>
      <w:r>
        <w:rPr>
          <w:rFonts w:ascii="仿宋" w:hAnsi="仿宋" w:eastAsia="仿宋" w:cs="仿宋"/>
          <w:spacing w:val="5"/>
          <w:sz w:val="31"/>
          <w:szCs w:val="31"/>
        </w:rPr>
        <w:t>收入总表</w:t>
      </w:r>
    </w:p>
    <w:p>
      <w:pPr>
        <w:spacing w:before="186" w:line="222" w:lineRule="auto"/>
        <w:ind w:left="664"/>
        <w:rPr>
          <w:rFonts w:ascii="仿宋" w:hAnsi="仿宋" w:eastAsia="仿宋" w:cs="仿宋"/>
          <w:sz w:val="31"/>
          <w:szCs w:val="31"/>
        </w:rPr>
      </w:pPr>
      <w:r>
        <w:rPr>
          <w:rFonts w:ascii="仿宋" w:hAnsi="仿宋" w:eastAsia="仿宋" w:cs="仿宋"/>
          <w:spacing w:val="3"/>
          <w:sz w:val="31"/>
          <w:szCs w:val="31"/>
        </w:rPr>
        <w:t>表</w:t>
      </w:r>
      <w:r>
        <w:rPr>
          <w:rFonts w:ascii="仿宋" w:hAnsi="仿宋" w:eastAsia="仿宋" w:cs="仿宋"/>
          <w:spacing w:val="-34"/>
          <w:sz w:val="31"/>
          <w:szCs w:val="31"/>
        </w:rPr>
        <w:t xml:space="preserve"> </w:t>
      </w:r>
      <w:r>
        <w:rPr>
          <w:rFonts w:ascii="仿宋" w:hAnsi="仿宋" w:eastAsia="仿宋" w:cs="仿宋"/>
          <w:spacing w:val="3"/>
          <w:sz w:val="31"/>
          <w:szCs w:val="31"/>
        </w:rPr>
        <w:t>3.</w:t>
      </w:r>
      <w:r>
        <w:rPr>
          <w:rFonts w:hint="eastAsia" w:ascii="仿宋" w:hAnsi="仿宋" w:eastAsia="仿宋" w:cs="仿宋"/>
          <w:spacing w:val="3"/>
          <w:sz w:val="31"/>
          <w:szCs w:val="31"/>
          <w:lang w:val="en-US" w:eastAsia="zh-CN"/>
        </w:rPr>
        <w:t>单位</w:t>
      </w:r>
      <w:r>
        <w:rPr>
          <w:rFonts w:ascii="仿宋" w:hAnsi="仿宋" w:eastAsia="仿宋" w:cs="仿宋"/>
          <w:spacing w:val="3"/>
          <w:sz w:val="31"/>
          <w:szCs w:val="31"/>
        </w:rPr>
        <w:t>支出总表</w:t>
      </w:r>
    </w:p>
    <w:p>
      <w:pPr>
        <w:spacing w:before="187" w:line="223" w:lineRule="auto"/>
        <w:ind w:left="664"/>
        <w:rPr>
          <w:rFonts w:ascii="仿宋" w:hAnsi="仿宋" w:eastAsia="仿宋" w:cs="仿宋"/>
          <w:sz w:val="31"/>
          <w:szCs w:val="31"/>
        </w:rPr>
      </w:pPr>
      <w:r>
        <w:rPr>
          <w:rFonts w:ascii="仿宋" w:hAnsi="仿宋" w:eastAsia="仿宋" w:cs="仿宋"/>
          <w:spacing w:val="5"/>
          <w:sz w:val="31"/>
          <w:szCs w:val="31"/>
        </w:rPr>
        <w:t>表</w:t>
      </w:r>
      <w:r>
        <w:rPr>
          <w:rFonts w:ascii="仿宋" w:hAnsi="仿宋" w:eastAsia="仿宋" w:cs="仿宋"/>
          <w:spacing w:val="-43"/>
          <w:sz w:val="31"/>
          <w:szCs w:val="31"/>
        </w:rPr>
        <w:t xml:space="preserve"> </w:t>
      </w:r>
      <w:r>
        <w:rPr>
          <w:rFonts w:ascii="仿宋" w:hAnsi="仿宋" w:eastAsia="仿宋" w:cs="仿宋"/>
          <w:spacing w:val="5"/>
          <w:sz w:val="31"/>
          <w:szCs w:val="31"/>
        </w:rPr>
        <w:t>4.财政拨款收支总表</w:t>
      </w:r>
    </w:p>
    <w:p>
      <w:pPr>
        <w:spacing w:before="186" w:line="559" w:lineRule="exact"/>
        <w:ind w:left="664"/>
        <w:rPr>
          <w:rFonts w:ascii="仿宋" w:hAnsi="仿宋" w:eastAsia="仿宋" w:cs="仿宋"/>
          <w:sz w:val="31"/>
          <w:szCs w:val="31"/>
        </w:rPr>
      </w:pPr>
      <w:r>
        <w:rPr>
          <w:rFonts w:ascii="仿宋" w:hAnsi="仿宋" w:eastAsia="仿宋" w:cs="仿宋"/>
          <w:spacing w:val="6"/>
          <w:position w:val="18"/>
          <w:sz w:val="31"/>
          <w:szCs w:val="31"/>
        </w:rPr>
        <w:t>表</w:t>
      </w:r>
      <w:r>
        <w:rPr>
          <w:rFonts w:ascii="仿宋" w:hAnsi="仿宋" w:eastAsia="仿宋" w:cs="仿宋"/>
          <w:spacing w:val="-35"/>
          <w:position w:val="18"/>
          <w:sz w:val="31"/>
          <w:szCs w:val="31"/>
        </w:rPr>
        <w:t xml:space="preserve"> </w:t>
      </w:r>
      <w:r>
        <w:rPr>
          <w:rFonts w:ascii="仿宋" w:hAnsi="仿宋" w:eastAsia="仿宋" w:cs="仿宋"/>
          <w:spacing w:val="6"/>
          <w:position w:val="18"/>
          <w:sz w:val="31"/>
          <w:szCs w:val="31"/>
        </w:rPr>
        <w:t>5-1.一般公共预算支出表(分功能科目)</w:t>
      </w:r>
    </w:p>
    <w:p>
      <w:pPr>
        <w:spacing w:line="221" w:lineRule="auto"/>
        <w:ind w:left="664"/>
        <w:rPr>
          <w:rFonts w:ascii="仿宋" w:hAnsi="仿宋" w:eastAsia="仿宋" w:cs="仿宋"/>
          <w:sz w:val="31"/>
          <w:szCs w:val="31"/>
        </w:rPr>
      </w:pPr>
      <w:r>
        <w:rPr>
          <w:rFonts w:ascii="仿宋" w:hAnsi="仿宋" w:eastAsia="仿宋" w:cs="仿宋"/>
          <w:spacing w:val="6"/>
          <w:sz w:val="31"/>
          <w:szCs w:val="31"/>
        </w:rPr>
        <w:t>表</w:t>
      </w:r>
      <w:r>
        <w:rPr>
          <w:rFonts w:ascii="仿宋" w:hAnsi="仿宋" w:eastAsia="仿宋" w:cs="仿宋"/>
          <w:spacing w:val="-41"/>
          <w:sz w:val="31"/>
          <w:szCs w:val="31"/>
        </w:rPr>
        <w:t xml:space="preserve"> </w:t>
      </w:r>
      <w:r>
        <w:rPr>
          <w:rFonts w:ascii="仿宋" w:hAnsi="仿宋" w:eastAsia="仿宋" w:cs="仿宋"/>
          <w:spacing w:val="6"/>
          <w:sz w:val="31"/>
          <w:szCs w:val="31"/>
        </w:rPr>
        <w:t>5-2.一般公共预算支出表(分单位)</w:t>
      </w:r>
    </w:p>
    <w:p>
      <w:pPr>
        <w:spacing w:before="188" w:line="222" w:lineRule="auto"/>
        <w:ind w:left="664"/>
        <w:rPr>
          <w:rFonts w:ascii="仿宋" w:hAnsi="仿宋" w:eastAsia="仿宋" w:cs="仿宋"/>
          <w:sz w:val="31"/>
          <w:szCs w:val="31"/>
        </w:rPr>
      </w:pPr>
      <w:r>
        <w:rPr>
          <w:rFonts w:ascii="仿宋" w:hAnsi="仿宋" w:eastAsia="仿宋" w:cs="仿宋"/>
          <w:spacing w:val="6"/>
          <w:sz w:val="31"/>
          <w:szCs w:val="31"/>
        </w:rPr>
        <w:t>表</w:t>
      </w:r>
      <w:r>
        <w:rPr>
          <w:rFonts w:ascii="仿宋" w:hAnsi="仿宋" w:eastAsia="仿宋" w:cs="仿宋"/>
          <w:spacing w:val="-42"/>
          <w:sz w:val="31"/>
          <w:szCs w:val="31"/>
        </w:rPr>
        <w:t xml:space="preserve"> </w:t>
      </w:r>
      <w:r>
        <w:rPr>
          <w:rFonts w:ascii="仿宋" w:hAnsi="仿宋" w:eastAsia="仿宋" w:cs="仿宋"/>
          <w:spacing w:val="6"/>
          <w:sz w:val="31"/>
          <w:szCs w:val="31"/>
        </w:rPr>
        <w:t>6.一般公共预算基本支出表</w:t>
      </w:r>
    </w:p>
    <w:p>
      <w:pPr>
        <w:spacing w:before="189" w:line="222" w:lineRule="auto"/>
        <w:ind w:left="664"/>
        <w:rPr>
          <w:rFonts w:ascii="仿宋" w:hAnsi="仿宋" w:eastAsia="仿宋" w:cs="仿宋"/>
          <w:sz w:val="31"/>
          <w:szCs w:val="31"/>
        </w:rPr>
      </w:pPr>
      <w:r>
        <w:rPr>
          <w:rFonts w:ascii="仿宋" w:hAnsi="仿宋" w:eastAsia="仿宋" w:cs="仿宋"/>
          <w:spacing w:val="2"/>
          <w:sz w:val="31"/>
          <w:szCs w:val="31"/>
        </w:rPr>
        <w:t>表</w:t>
      </w:r>
      <w:r>
        <w:rPr>
          <w:rFonts w:ascii="仿宋" w:hAnsi="仿宋" w:eastAsia="仿宋" w:cs="仿宋"/>
          <w:spacing w:val="-42"/>
          <w:sz w:val="31"/>
          <w:szCs w:val="31"/>
        </w:rPr>
        <w:t xml:space="preserve"> </w:t>
      </w:r>
      <w:r>
        <w:rPr>
          <w:rFonts w:ascii="仿宋" w:hAnsi="仿宋" w:eastAsia="仿宋" w:cs="仿宋"/>
          <w:spacing w:val="2"/>
          <w:sz w:val="31"/>
          <w:szCs w:val="31"/>
        </w:rPr>
        <w:t>7.一般公共预算“三公”经费支出表</w:t>
      </w:r>
    </w:p>
    <w:p>
      <w:pPr>
        <w:spacing w:before="187" w:line="220" w:lineRule="auto"/>
        <w:ind w:left="664"/>
        <w:rPr>
          <w:rFonts w:ascii="仿宋" w:hAnsi="仿宋" w:eastAsia="仿宋" w:cs="仿宋"/>
          <w:sz w:val="31"/>
          <w:szCs w:val="31"/>
        </w:rPr>
      </w:pPr>
      <w:r>
        <w:rPr>
          <w:rFonts w:ascii="仿宋" w:hAnsi="仿宋" w:eastAsia="仿宋" w:cs="仿宋"/>
          <w:spacing w:val="6"/>
          <w:sz w:val="31"/>
          <w:szCs w:val="31"/>
        </w:rPr>
        <w:t>表</w:t>
      </w:r>
      <w:r>
        <w:rPr>
          <w:rFonts w:ascii="仿宋" w:hAnsi="仿宋" w:eastAsia="仿宋" w:cs="仿宋"/>
          <w:spacing w:val="-45"/>
          <w:sz w:val="31"/>
          <w:szCs w:val="31"/>
        </w:rPr>
        <w:t xml:space="preserve"> </w:t>
      </w:r>
      <w:r>
        <w:rPr>
          <w:rFonts w:ascii="仿宋" w:hAnsi="仿宋" w:eastAsia="仿宋" w:cs="仿宋"/>
          <w:spacing w:val="6"/>
          <w:sz w:val="31"/>
          <w:szCs w:val="31"/>
        </w:rPr>
        <w:t>8.政府性基金预算支出表</w:t>
      </w:r>
    </w:p>
    <w:p>
      <w:pPr>
        <w:spacing w:before="189" w:line="562" w:lineRule="exact"/>
        <w:ind w:left="664"/>
        <w:rPr>
          <w:rFonts w:ascii="仿宋" w:hAnsi="仿宋" w:eastAsia="仿宋" w:cs="仿宋"/>
          <w:sz w:val="31"/>
          <w:szCs w:val="31"/>
        </w:rPr>
      </w:pPr>
      <w:r>
        <w:rPr>
          <w:rFonts w:ascii="仿宋" w:hAnsi="仿宋" w:eastAsia="仿宋" w:cs="仿宋"/>
          <w:spacing w:val="6"/>
          <w:position w:val="18"/>
          <w:sz w:val="31"/>
          <w:szCs w:val="31"/>
        </w:rPr>
        <w:t>表</w:t>
      </w:r>
      <w:r>
        <w:rPr>
          <w:rFonts w:ascii="仿宋" w:hAnsi="仿宋" w:eastAsia="仿宋" w:cs="仿宋"/>
          <w:spacing w:val="-42"/>
          <w:position w:val="18"/>
          <w:sz w:val="31"/>
          <w:szCs w:val="31"/>
        </w:rPr>
        <w:t xml:space="preserve"> </w:t>
      </w:r>
      <w:r>
        <w:rPr>
          <w:rFonts w:ascii="仿宋" w:hAnsi="仿宋" w:eastAsia="仿宋" w:cs="仿宋"/>
          <w:spacing w:val="6"/>
          <w:position w:val="18"/>
          <w:sz w:val="31"/>
          <w:szCs w:val="31"/>
        </w:rPr>
        <w:t>9.国有资本经营预算支出表</w:t>
      </w:r>
    </w:p>
    <w:p>
      <w:pPr>
        <w:spacing w:before="1" w:line="222" w:lineRule="auto"/>
        <w:ind w:left="664"/>
        <w:rPr>
          <w:rFonts w:ascii="仿宋" w:hAnsi="仿宋" w:eastAsia="仿宋" w:cs="仿宋"/>
          <w:sz w:val="31"/>
          <w:szCs w:val="31"/>
        </w:rPr>
      </w:pPr>
      <w:r>
        <w:rPr>
          <w:rFonts w:ascii="仿宋" w:hAnsi="仿宋" w:eastAsia="仿宋" w:cs="仿宋"/>
          <w:spacing w:val="4"/>
          <w:sz w:val="31"/>
          <w:szCs w:val="31"/>
        </w:rPr>
        <w:t>表</w:t>
      </w:r>
      <w:r>
        <w:rPr>
          <w:rFonts w:ascii="仿宋" w:hAnsi="仿宋" w:eastAsia="仿宋" w:cs="仿宋"/>
          <w:spacing w:val="-38"/>
          <w:sz w:val="31"/>
          <w:szCs w:val="31"/>
        </w:rPr>
        <w:t xml:space="preserve"> </w:t>
      </w:r>
      <w:r>
        <w:rPr>
          <w:rFonts w:ascii="仿宋" w:hAnsi="仿宋" w:eastAsia="仿宋" w:cs="仿宋"/>
          <w:spacing w:val="4"/>
          <w:sz w:val="31"/>
          <w:szCs w:val="31"/>
        </w:rPr>
        <w:t>10.项目支出情况表</w:t>
      </w:r>
    </w:p>
    <w:p>
      <w:pPr>
        <w:spacing w:before="186" w:line="222" w:lineRule="auto"/>
        <w:ind w:left="664"/>
        <w:rPr>
          <w:rFonts w:ascii="仿宋" w:hAnsi="仿宋" w:eastAsia="仿宋" w:cs="仿宋"/>
          <w:sz w:val="31"/>
          <w:szCs w:val="31"/>
        </w:rPr>
      </w:pPr>
      <w:r>
        <w:rPr>
          <w:rFonts w:ascii="仿宋" w:hAnsi="仿宋" w:eastAsia="仿宋" w:cs="仿宋"/>
          <w:spacing w:val="5"/>
          <w:sz w:val="31"/>
          <w:szCs w:val="31"/>
        </w:rPr>
        <w:t>表</w:t>
      </w:r>
      <w:r>
        <w:rPr>
          <w:rFonts w:ascii="仿宋" w:hAnsi="仿宋" w:eastAsia="仿宋" w:cs="仿宋"/>
          <w:spacing w:val="-38"/>
          <w:sz w:val="31"/>
          <w:szCs w:val="31"/>
        </w:rPr>
        <w:t xml:space="preserve"> </w:t>
      </w:r>
      <w:r>
        <w:rPr>
          <w:rFonts w:ascii="仿宋" w:hAnsi="仿宋" w:eastAsia="仿宋" w:cs="仿宋"/>
          <w:spacing w:val="5"/>
          <w:sz w:val="31"/>
          <w:szCs w:val="31"/>
        </w:rPr>
        <w:t>11.整体支出绩效目标表</w:t>
      </w:r>
    </w:p>
    <w:p>
      <w:pPr>
        <w:spacing w:before="189" w:line="222" w:lineRule="auto"/>
        <w:ind w:left="664"/>
        <w:rPr>
          <w:rFonts w:ascii="仿宋" w:hAnsi="仿宋" w:eastAsia="仿宋" w:cs="仿宋"/>
          <w:spacing w:val="7"/>
          <w:sz w:val="31"/>
          <w:szCs w:val="31"/>
        </w:rPr>
      </w:pPr>
      <w:r>
        <w:rPr>
          <w:rFonts w:ascii="仿宋" w:hAnsi="仿宋" w:eastAsia="仿宋" w:cs="仿宋"/>
          <w:spacing w:val="7"/>
          <w:sz w:val="31"/>
          <w:szCs w:val="31"/>
        </w:rPr>
        <w:t>表</w:t>
      </w:r>
      <w:r>
        <w:rPr>
          <w:rFonts w:ascii="仿宋" w:hAnsi="仿宋" w:eastAsia="仿宋" w:cs="仿宋"/>
          <w:spacing w:val="-44"/>
          <w:sz w:val="31"/>
          <w:szCs w:val="31"/>
        </w:rPr>
        <w:t xml:space="preserve"> </w:t>
      </w:r>
      <w:r>
        <w:rPr>
          <w:rFonts w:ascii="仿宋" w:hAnsi="仿宋" w:eastAsia="仿宋" w:cs="仿宋"/>
          <w:spacing w:val="7"/>
          <w:sz w:val="31"/>
          <w:szCs w:val="31"/>
        </w:rPr>
        <w:t>12-1.医疗卫生机构改革和发展项目支出绩效目标</w:t>
      </w:r>
    </w:p>
    <w:p>
      <w:pPr>
        <w:spacing w:before="189" w:line="222" w:lineRule="auto"/>
        <w:ind w:left="664"/>
        <w:rPr>
          <w:rFonts w:ascii="仿宋" w:hAnsi="仿宋" w:eastAsia="仿宋" w:cs="仿宋"/>
          <w:spacing w:val="6"/>
          <w:position w:val="18"/>
          <w:sz w:val="31"/>
          <w:szCs w:val="31"/>
        </w:rPr>
      </w:pPr>
      <w:r>
        <w:rPr>
          <w:rFonts w:ascii="仿宋" w:hAnsi="仿宋" w:eastAsia="仿宋" w:cs="仿宋"/>
          <w:spacing w:val="6"/>
          <w:position w:val="18"/>
          <w:sz w:val="31"/>
          <w:szCs w:val="31"/>
        </w:rPr>
        <w:t>表</w:t>
      </w:r>
      <w:r>
        <w:rPr>
          <w:rFonts w:ascii="仿宋" w:hAnsi="仿宋" w:eastAsia="仿宋" w:cs="仿宋"/>
          <w:spacing w:val="-28"/>
          <w:position w:val="18"/>
          <w:sz w:val="31"/>
          <w:szCs w:val="31"/>
        </w:rPr>
        <w:t xml:space="preserve"> </w:t>
      </w:r>
      <w:r>
        <w:rPr>
          <w:rFonts w:ascii="仿宋" w:hAnsi="仿宋" w:eastAsia="仿宋" w:cs="仿宋"/>
          <w:spacing w:val="6"/>
          <w:position w:val="18"/>
          <w:sz w:val="31"/>
          <w:szCs w:val="31"/>
        </w:rPr>
        <w:t>12-2.公共卫生服务项目支出绩效目标表</w:t>
      </w:r>
    </w:p>
    <w:p>
      <w:pPr>
        <w:rPr>
          <w:rFonts w:ascii="仿宋" w:hAnsi="仿宋" w:eastAsia="仿宋" w:cs="仿宋"/>
          <w:spacing w:val="6"/>
          <w:position w:val="18"/>
          <w:sz w:val="31"/>
          <w:szCs w:val="31"/>
        </w:rPr>
      </w:pPr>
      <w:r>
        <w:rPr>
          <w:rFonts w:ascii="仿宋" w:hAnsi="仿宋" w:eastAsia="仿宋" w:cs="仿宋"/>
          <w:spacing w:val="6"/>
          <w:position w:val="18"/>
          <w:sz w:val="31"/>
          <w:szCs w:val="31"/>
        </w:rPr>
        <w:br w:type="page"/>
      </w:r>
    </w:p>
    <w:tbl>
      <w:tblPr>
        <w:tblStyle w:val="9"/>
        <w:tblW w:w="9315" w:type="dxa"/>
        <w:tblInd w:w="-1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05"/>
        <w:gridCol w:w="1185"/>
        <w:gridCol w:w="3255"/>
        <w:gridCol w:w="1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340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表1</w:t>
            </w:r>
          </w:p>
        </w:tc>
        <w:tc>
          <w:tcPr>
            <w:tcW w:w="1185"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325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47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9315"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单位收支总表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40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18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325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4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收      入</w:t>
            </w:r>
          </w:p>
        </w:tc>
        <w:tc>
          <w:tcPr>
            <w:tcW w:w="47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    目</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预算数</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    目</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一、一般公共预算拨款收入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4,380.36</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一、一般公共服务支出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二、政府性基金预算拨款收入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二、公共安全支出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三、国有资本经营预算拨款收入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三、教育支出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四、财政专户管理资金收入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四、科学技术支出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五、事业收入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4,348.44</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五、文化旅游体育与传媒支出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六、事业单位经营收入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六、社会保障和就业支出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319.81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七、上级补助收入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七、卫生健康支出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7,895.59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八、附属单位上缴收入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八、节能环保支出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九、其他收入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九、城乡社区支出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十、农林水支出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十一、交通运输支出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十二、资源勘探工业信息等支出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十三、商业服务业等支出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十四、金融支出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十五、援助其他地区支出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十六、自然资源海洋气象等支出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十七、住房保障支出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十八、粮油物资储备支出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十九、国有资本经营预算支出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二十、灾害防治及应急管理支出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廿一、其他支出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廿二、债务还本支出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廿三、债务付息支出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廿四、债务发行费用支出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本年收入合计</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8,728.80</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本年支出合计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8,732.10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上年结转结余</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年终结转结余</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收    入    总    计</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8,732.10</w:t>
            </w:r>
          </w:p>
        </w:tc>
        <w:tc>
          <w:tcPr>
            <w:tcW w:w="3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    出    总    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8,732.10</w:t>
            </w:r>
          </w:p>
        </w:tc>
      </w:tr>
    </w:tbl>
    <w:p>
      <w:pPr>
        <w:sectPr>
          <w:footerReference r:id="rId8" w:type="default"/>
          <w:pgSz w:w="11906" w:h="16839"/>
          <w:pgMar w:top="1431" w:right="1785" w:bottom="1151" w:left="2551" w:header="0" w:footer="989" w:gutter="0"/>
          <w:pgBorders>
            <w:top w:val="none" w:sz="0" w:space="0"/>
            <w:left w:val="none" w:sz="0" w:space="0"/>
            <w:bottom w:val="none" w:sz="0" w:space="0"/>
            <w:right w:val="none" w:sz="0" w:space="0"/>
          </w:pgBorders>
          <w:pgNumType w:fmt="decimal"/>
          <w:cols w:space="720" w:num="1"/>
        </w:sectPr>
      </w:pPr>
    </w:p>
    <w:tbl>
      <w:tblPr>
        <w:tblStyle w:val="9"/>
        <w:tblW w:w="9435" w:type="dxa"/>
        <w:tblInd w:w="-10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1755"/>
        <w:gridCol w:w="1200"/>
        <w:gridCol w:w="1110"/>
        <w:gridCol w:w="1305"/>
        <w:gridCol w:w="1155"/>
        <w:gridCol w:w="915"/>
        <w:gridCol w:w="9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100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表2</w:t>
            </w:r>
          </w:p>
        </w:tc>
        <w:tc>
          <w:tcPr>
            <w:tcW w:w="175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00"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0"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0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5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1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90"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435"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单位收入总表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3960" w:type="dxa"/>
            <w:gridSpan w:val="3"/>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110"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0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55"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905"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部门（单位）代码</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部门（单位）名称</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35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本年收入</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一般公共预算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事业收入</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一般公共预算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8,732.10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8,728.80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4,380.36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4,348.44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3.30</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713005</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武汉市皮肤病防治院</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8,732.10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8,728.80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4,380.36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4,348.44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r>
    </w:tbl>
    <w:p>
      <w:pPr>
        <w:rPr>
          <w:rFonts w:ascii="宋体" w:hAnsi="宋体" w:eastAsia="宋体" w:cs="宋体"/>
          <w:sz w:val="20"/>
          <w:szCs w:val="20"/>
        </w:rPr>
      </w:pPr>
      <w:r>
        <w:rPr>
          <w:rFonts w:ascii="宋体" w:hAnsi="宋体" w:eastAsia="宋体" w:cs="宋体"/>
          <w:sz w:val="20"/>
          <w:szCs w:val="20"/>
        </w:rPr>
        <w:br w:type="page"/>
      </w:r>
    </w:p>
    <w:tbl>
      <w:tblPr>
        <w:tblStyle w:val="9"/>
        <w:tblW w:w="8970" w:type="dxa"/>
        <w:tblInd w:w="-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85"/>
        <w:gridCol w:w="3270"/>
        <w:gridCol w:w="1245"/>
        <w:gridCol w:w="1365"/>
        <w:gridCol w:w="13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表3</w:t>
            </w:r>
          </w:p>
        </w:tc>
        <w:tc>
          <w:tcPr>
            <w:tcW w:w="3270"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124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36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30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97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单位支出总表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55" w:type="dxa"/>
            <w:gridSpan w:val="2"/>
            <w:tcBorders>
              <w:top w:val="nil"/>
              <w:left w:val="nil"/>
              <w:bottom w:val="nil"/>
              <w:right w:val="nil"/>
            </w:tcBorders>
            <w:shd w:val="clear" w:color="auto" w:fill="auto"/>
            <w:noWrap/>
            <w:vAlign w:val="center"/>
          </w:tcPr>
          <w:p>
            <w:pPr>
              <w:rPr>
                <w:rFonts w:hint="default" w:ascii="Calibri" w:hAnsi="Calibri" w:cs="Calibri"/>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24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670" w:type="dxa"/>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科目编码</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科目名称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基本支出</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8,732.10</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6,043.84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2,688.26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208</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社会保障和就业支出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319.81</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319.81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20805</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行政事业单位养老支出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299.73</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299.73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2080502</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事业单位离退休</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19.07</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19.07</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2080505</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机关事业单位基本养老保险缴费支出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226.45</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226.45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2080506</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机关事业单位职业年金缴费支出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54.21</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54.21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20899</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其他社会保障和就业支出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20.08</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20.08</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2089999</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其他社会保障和就业支出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20.08</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20.08</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210</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卫生健康支出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7,895.59</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5,207.33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2,688.26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21004</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公共卫生</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7,602.20</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4,913.94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2,688.26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2100401</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疾病预防控制机构</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7,602.20</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4,913.94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2,688.26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21011</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行政事业单位医疗</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293.39</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293.39</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2101102</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事业单位医疗</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293.39</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293.39</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221</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住房保障支出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516.70</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516.70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22102</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住房改革支出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516.70</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516.70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2210201</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住房公积金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390.44</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390.44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2210202</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提租补贴</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41.95</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41.95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2210203</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购房补贴</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84.32</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84.32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r>
        <w:br w:type="page"/>
      </w:r>
    </w:p>
    <w:p>
      <w:pPr>
        <w:pStyle w:val="2"/>
        <w:sectPr>
          <w:footerReference r:id="rId9" w:type="default"/>
          <w:pgSz w:w="11906" w:h="16839"/>
          <w:pgMar w:top="1431" w:right="1682" w:bottom="1151" w:left="2268" w:header="0" w:footer="989" w:gutter="0"/>
          <w:pgBorders>
            <w:top w:val="none" w:sz="0" w:space="0"/>
            <w:left w:val="none" w:sz="0" w:space="0"/>
            <w:bottom w:val="none" w:sz="0" w:space="0"/>
            <w:right w:val="none" w:sz="0" w:space="0"/>
          </w:pgBorders>
          <w:pgNumType w:fmt="decimal"/>
          <w:cols w:space="720" w:num="1"/>
        </w:sectPr>
      </w:pPr>
    </w:p>
    <w:tbl>
      <w:tblPr>
        <w:tblStyle w:val="9"/>
        <w:tblW w:w="9405" w:type="dxa"/>
        <w:tblInd w:w="-10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60"/>
        <w:gridCol w:w="1320"/>
        <w:gridCol w:w="3510"/>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表4</w:t>
            </w:r>
          </w:p>
        </w:tc>
        <w:tc>
          <w:tcPr>
            <w:tcW w:w="132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51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9405"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32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51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3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收      入</w:t>
            </w:r>
          </w:p>
        </w:tc>
        <w:tc>
          <w:tcPr>
            <w:tcW w:w="50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预算数</w:t>
            </w: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一、本年收入</w:t>
            </w:r>
          </w:p>
        </w:tc>
        <w:tc>
          <w:tcPr>
            <w:tcW w:w="132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4380.36</w:t>
            </w: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一、本年支出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4383.66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4380.36</w:t>
            </w: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（一）一般公共服务支出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（二）公共安全支出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（三）教育支出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二、上年结转</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（四）科学技术支出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（五）文化旅游体育与传媒支出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（六）社会保障和就业支出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319.81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（三）国有资本经营预算拨款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（七）卫生健康支出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3738.67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（八）节能环保支出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（九）城乡社区支出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（十）农林水支出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（十一）交通运输支出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（十二）资源勘探工业信息等支出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（十三）商业服务业等支出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（十四）金融支出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（十五）援助其他地区支出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（十六）自然资源海洋气象等支出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（十七）住房保障支出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（十八）粮油物资储备支出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（十九）国有资本经营预算支出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（二十）灾害防治及应急管理支出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（廿一）其他支出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（廿二）债务还本支出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（廿三）债务付息支出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（廿四）债务发行费用支出</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pStyle w:val="5"/>
      </w:pPr>
    </w:p>
    <w:p>
      <w:pPr>
        <w:sectPr>
          <w:footerReference r:id="rId10" w:type="default"/>
          <w:pgSz w:w="11906" w:h="16839"/>
          <w:pgMar w:top="1431" w:right="1785" w:bottom="1151" w:left="2268" w:header="0" w:footer="989" w:gutter="0"/>
          <w:pgBorders>
            <w:top w:val="none" w:sz="0" w:space="0"/>
            <w:left w:val="none" w:sz="0" w:space="0"/>
            <w:bottom w:val="none" w:sz="0" w:space="0"/>
            <w:right w:val="none" w:sz="0" w:space="0"/>
          </w:pgBorders>
          <w:pgNumType w:fmt="decimal"/>
          <w:cols w:space="720" w:num="1"/>
        </w:sectPr>
      </w:pPr>
    </w:p>
    <w:tbl>
      <w:tblPr>
        <w:tblStyle w:val="9"/>
        <w:tblW w:w="9510" w:type="dxa"/>
        <w:tblInd w:w="-11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0"/>
        <w:gridCol w:w="2580"/>
        <w:gridCol w:w="1125"/>
        <w:gridCol w:w="1125"/>
        <w:gridCol w:w="1170"/>
        <w:gridCol w:w="975"/>
        <w:gridCol w:w="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表5-1</w:t>
            </w:r>
          </w:p>
        </w:tc>
        <w:tc>
          <w:tcPr>
            <w:tcW w:w="258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951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一般公共预算支出表(分功能科目)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140"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75"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科目编码</w:t>
            </w:r>
          </w:p>
        </w:tc>
        <w:tc>
          <w:tcPr>
            <w:tcW w:w="25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科目名称</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32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基本支出</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25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人员经费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公用经费</w:t>
            </w: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4,383.66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3,462.40</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2,988.14</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474.26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921.26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208</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社会保障和就业支出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319.81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319.81</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319.81</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20805</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行政事业单位养老支出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299.73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299.73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299.73</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事业单位离退休</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19.07</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19.07</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2080505</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机关事业单位基本养老保险缴费支出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226.45</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226.45</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226.45</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2080506</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机关事业单位职业年金缴费支出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54.21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54.21</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54.21</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20899</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其他社会保障和就业支出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20.08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20.08</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20.08</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2089999</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其他社会保障和就业支出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20.08</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20.08</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210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卫生健康支出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3,738.67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2,817.41</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2,343.15</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474.26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921.26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21004</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公共卫生</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3,445.28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2,524.02</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2,049.76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474.26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921.26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2100401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疾病预防控制机构</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3,445.28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2,524.02</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2,049.76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474.26</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921.26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21011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行政事业单位医疗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293.39</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293.39</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293.39</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2101102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事业单位医疗</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293.39</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293.39</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293.39</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221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住房保障支出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22102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住房改革支出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325.18</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住房公积金</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198.91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198.91</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198.91</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提租补贴</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41.95</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41.95</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41.95</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2210203</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购房补贴</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84.32</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84.32</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84.32</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pStyle w:val="5"/>
      </w:pPr>
    </w:p>
    <w:p>
      <w:pPr>
        <w:sectPr>
          <w:footerReference r:id="rId11" w:type="default"/>
          <w:pgSz w:w="11906" w:h="16839"/>
          <w:pgMar w:top="1431" w:right="1785" w:bottom="1151" w:left="2268" w:header="0" w:footer="989" w:gutter="0"/>
          <w:pgBorders>
            <w:top w:val="none" w:sz="0" w:space="0"/>
            <w:left w:val="none" w:sz="0" w:space="0"/>
            <w:bottom w:val="none" w:sz="0" w:space="0"/>
            <w:right w:val="none" w:sz="0" w:space="0"/>
          </w:pgBorders>
          <w:pgNumType w:fmt="decimal"/>
          <w:cols w:space="720" w:num="1"/>
        </w:sectPr>
      </w:pPr>
    </w:p>
    <w:p>
      <w:pPr>
        <w:spacing w:line="14" w:lineRule="auto"/>
        <w:rPr>
          <w:sz w:val="2"/>
          <w:szCs w:val="2"/>
        </w:rPr>
        <w:sectPr>
          <w:footerReference r:id="rId12" w:type="default"/>
          <w:type w:val="continuous"/>
          <w:pgSz w:w="11906" w:h="16839"/>
          <w:pgMar w:top="1431" w:right="1785" w:bottom="1151" w:left="1783" w:header="0" w:footer="989" w:gutter="0"/>
          <w:pgBorders>
            <w:top w:val="none" w:sz="0" w:space="0"/>
            <w:left w:val="none" w:sz="0" w:space="0"/>
            <w:bottom w:val="none" w:sz="0" w:space="0"/>
            <w:right w:val="none" w:sz="0" w:space="0"/>
          </w:pgBorders>
          <w:pgNumType w:fmt="decimal"/>
          <w:cols w:equalWidth="0" w:num="1">
            <w:col w:w="8337"/>
          </w:cols>
        </w:sectPr>
      </w:pPr>
    </w:p>
    <w:tbl>
      <w:tblPr>
        <w:tblStyle w:val="9"/>
        <w:tblW w:w="8880" w:type="dxa"/>
        <w:tblInd w:w="-8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1710"/>
        <w:gridCol w:w="1050"/>
        <w:gridCol w:w="1140"/>
        <w:gridCol w:w="1260"/>
        <w:gridCol w:w="1215"/>
        <w:gridCol w:w="15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2715" w:type="dxa"/>
            <w:gridSpan w:val="2"/>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snapToGrid w:val="0"/>
                <w:color w:val="auto"/>
                <w:w w:val="90"/>
                <w:kern w:val="0"/>
                <w:sz w:val="20"/>
                <w:szCs w:val="20"/>
                <w:u w:val="none"/>
                <w:lang w:val="en-US" w:eastAsia="zh-CN" w:bidi="ar"/>
              </w:rPr>
              <w:t>表-5-2</w:t>
            </w:r>
          </w:p>
        </w:tc>
        <w:tc>
          <w:tcPr>
            <w:tcW w:w="105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6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1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888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一般公共预算支出表(分单位)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765" w:type="dxa"/>
            <w:gridSpan w:val="3"/>
            <w:tcBorders>
              <w:top w:val="nil"/>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140" w:type="dxa"/>
            <w:tcBorders>
              <w:top w:val="nil"/>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60" w:type="dxa"/>
            <w:tcBorders>
              <w:top w:val="nil"/>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15" w:type="dxa"/>
            <w:tcBorders>
              <w:top w:val="nil"/>
              <w:left w:val="nil"/>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0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单位编码</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单位名称</w:t>
            </w:r>
          </w:p>
        </w:tc>
        <w:tc>
          <w:tcPr>
            <w:tcW w:w="1050"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361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基本支出</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710" w:type="dxa"/>
            <w:vMerge w:val="continue"/>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050" w:type="dxa"/>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人员经费</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公用经费</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Calibri" w:hAnsi="Calibri" w:cs="Calibri"/>
                <w:b/>
                <w:bCs/>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合计</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4383.66</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3,462.40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2,988.14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474.26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921.26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713005</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武汉市皮肤病防治院</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4383.66</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3,462.40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2,988.14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474.26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921.26</w:t>
            </w:r>
          </w:p>
        </w:tc>
      </w:tr>
    </w:tbl>
    <w:p>
      <w:pPr>
        <w:pStyle w:val="2"/>
        <w:sectPr>
          <w:footerReference r:id="rId13" w:type="default"/>
          <w:pgSz w:w="11906" w:h="16839"/>
          <w:pgMar w:top="1431" w:right="1785" w:bottom="1151" w:left="2268" w:header="0" w:footer="989" w:gutter="0"/>
          <w:pgBorders>
            <w:top w:val="none" w:sz="0" w:space="0"/>
            <w:left w:val="none" w:sz="0" w:space="0"/>
            <w:bottom w:val="none" w:sz="0" w:space="0"/>
            <w:right w:val="none" w:sz="0" w:space="0"/>
          </w:pgBorders>
          <w:pgNumType w:fmt="decimal"/>
          <w:cols w:space="720" w:num="1"/>
        </w:sectPr>
      </w:pPr>
    </w:p>
    <w:p>
      <w:pPr>
        <w:spacing w:before="60" w:line="229" w:lineRule="auto"/>
        <w:ind w:left="21"/>
        <w:rPr>
          <w:rFonts w:ascii="宋体" w:hAnsi="宋体" w:eastAsia="宋体" w:cs="宋体"/>
          <w:spacing w:val="-6"/>
          <w:sz w:val="20"/>
          <w:szCs w:val="20"/>
        </w:rPr>
      </w:pPr>
    </w:p>
    <w:tbl>
      <w:tblPr>
        <w:tblStyle w:val="9"/>
        <w:tblpPr w:leftFromText="180" w:rightFromText="180" w:vertAnchor="text" w:horzAnchor="page" w:tblpX="477" w:tblpY="306"/>
        <w:tblOverlap w:val="never"/>
        <w:tblW w:w="112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98"/>
        <w:gridCol w:w="3045"/>
        <w:gridCol w:w="1605"/>
        <w:gridCol w:w="1515"/>
        <w:gridCol w:w="1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9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color w:val="auto"/>
                <w:w w:val="90"/>
                <w:kern w:val="0"/>
                <w:sz w:val="20"/>
                <w:szCs w:val="20"/>
                <w:u w:val="none"/>
                <w:lang w:val="en-US" w:eastAsia="zh-CN" w:bidi="ar"/>
              </w:rPr>
              <w:t>表6</w:t>
            </w:r>
          </w:p>
        </w:tc>
        <w:tc>
          <w:tcPr>
            <w:tcW w:w="304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0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1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11243"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43"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60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1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8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4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部门预算支出经济分类科目</w:t>
            </w:r>
          </w:p>
        </w:tc>
        <w:tc>
          <w:tcPr>
            <w:tcW w:w="48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科目编码</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科目名称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人员经费</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3,462.40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2,988.14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474.26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工资福利支出</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2,598.39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2,598.39</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30101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基本工资</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487.39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487.39</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30102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津贴补贴</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233.81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233.81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30107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绩效工资</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1,071.11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1,071.11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30108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机关事业单位基本养老保险缴费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226.45</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226.45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30109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职业年金缴费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54.21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54.21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30110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职工基本医疗保险缴费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293.39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293.39</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30112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其他社会保障缴费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20.08</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20.08</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30113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住房公积金</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198.91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198.91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30199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其他工资福利支出</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13.04</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13.04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商品和服务支出</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474.26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474.26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办公费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4.52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印刷费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5.00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水费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18.00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电费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100.00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邮电费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11.20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30209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物业管理费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203.56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30211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差旅费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6.90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30213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维修（护）费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4.39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30214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租赁费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9.44</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9.44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30217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公务接待费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3.00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30218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专用材料费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0.00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30226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劳务费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0.30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30228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工会经费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75.29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75.29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30231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公务用车运行维护费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30239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其他交通费用</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30299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其他商品和服务支出</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20.66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对个人和家庭的补助</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389.75</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b/>
                <w:bCs/>
                <w:i w:val="0"/>
                <w:iCs w:val="0"/>
                <w:color w:val="000000"/>
                <w:sz w:val="22"/>
                <w:szCs w:val="22"/>
                <w:u w:val="none"/>
              </w:rPr>
            </w:pPr>
            <w:r>
              <w:rPr>
                <w:rFonts w:hint="default" w:ascii="Calibri" w:hAnsi="Calibri" w:eastAsia="宋体" w:cs="Calibri"/>
                <w:b/>
                <w:bCs/>
                <w:i w:val="0"/>
                <w:iCs w:val="0"/>
                <w:snapToGrid w:val="0"/>
                <w:color w:val="000000"/>
                <w:kern w:val="0"/>
                <w:sz w:val="22"/>
                <w:szCs w:val="22"/>
                <w:u w:val="none"/>
                <w:lang w:val="en-US" w:eastAsia="zh-CN" w:bidi="ar"/>
              </w:rPr>
              <w:t>389.75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30301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离休费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19.58</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19.58</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30302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退休费</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291.20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291.20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30305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生活补助</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3.50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3.50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30307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医疗费补助</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67.95</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67.95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30399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其他对个人和家庭的补助</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7.52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snapToGrid w:val="0"/>
                <w:color w:val="000000"/>
                <w:kern w:val="0"/>
                <w:sz w:val="22"/>
                <w:szCs w:val="22"/>
                <w:u w:val="none"/>
                <w:lang w:val="en-US" w:eastAsia="zh-CN" w:bidi="ar"/>
              </w:rPr>
              <w:t>7.52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资本性支出</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31003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专用设备购置</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31007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信息网络及软件购置更新</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Calibri" w:hAnsi="Calibri" w:cs="Calibri"/>
                <w:i w:val="0"/>
                <w:iCs w:val="0"/>
                <w:color w:val="000000"/>
                <w:sz w:val="22"/>
                <w:szCs w:val="22"/>
                <w:u w:val="none"/>
              </w:rPr>
            </w:pPr>
          </w:p>
        </w:tc>
      </w:tr>
    </w:tbl>
    <w:p>
      <w:pPr>
        <w:rPr>
          <w:rFonts w:ascii="宋体" w:hAnsi="宋体" w:eastAsia="宋体" w:cs="宋体"/>
          <w:spacing w:val="-6"/>
          <w:sz w:val="20"/>
          <w:szCs w:val="20"/>
        </w:rPr>
      </w:pPr>
      <w:r>
        <w:rPr>
          <w:rFonts w:ascii="宋体" w:hAnsi="宋体" w:eastAsia="宋体" w:cs="宋体"/>
          <w:spacing w:val="-6"/>
          <w:sz w:val="20"/>
          <w:szCs w:val="20"/>
        </w:rPr>
        <w:br w:type="page"/>
      </w:r>
    </w:p>
    <w:tbl>
      <w:tblPr>
        <w:tblStyle w:val="9"/>
        <w:tblW w:w="9937" w:type="dxa"/>
        <w:tblInd w:w="4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57"/>
        <w:gridCol w:w="1725"/>
        <w:gridCol w:w="1590"/>
        <w:gridCol w:w="1380"/>
        <w:gridCol w:w="1755"/>
        <w:gridCol w:w="1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95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color w:val="auto"/>
                <w:w w:val="90"/>
                <w:kern w:val="0"/>
                <w:sz w:val="20"/>
                <w:szCs w:val="20"/>
                <w:u w:val="none"/>
                <w:lang w:val="en-US" w:eastAsia="zh-CN" w:bidi="ar"/>
              </w:rPr>
              <w:t>表7</w:t>
            </w:r>
          </w:p>
        </w:tc>
        <w:tc>
          <w:tcPr>
            <w:tcW w:w="1725"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159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38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53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9937"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一般公共预算“三公”经费支出表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82" w:type="dxa"/>
            <w:gridSpan w:val="2"/>
            <w:tcBorders>
              <w:top w:val="nil"/>
              <w:left w:val="nil"/>
              <w:bottom w:val="nil"/>
              <w:right w:val="nil"/>
            </w:tcBorders>
            <w:shd w:val="clear" w:color="auto" w:fill="auto"/>
            <w:noWrap/>
            <w:vAlign w:val="center"/>
          </w:tcPr>
          <w:p>
            <w:pPr>
              <w:rPr>
                <w:rFonts w:hint="default" w:ascii="Calibri" w:hAnsi="Calibri" w:cs="Calibri"/>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59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38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3285" w:type="dxa"/>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“三公”经费合计</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因公出国（境）费</w:t>
            </w:r>
          </w:p>
        </w:tc>
        <w:tc>
          <w:tcPr>
            <w:tcW w:w="4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公务用车购置及运行费</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公务用车购置费</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公务用车运行费</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w:t>
            </w:r>
          </w:p>
        </w:tc>
      </w:tr>
    </w:tbl>
    <w:p>
      <w:pPr>
        <w:rPr>
          <w:b/>
          <w:bCs/>
        </w:rPr>
      </w:pPr>
      <w:r>
        <w:rPr>
          <w:b/>
          <w:bCs/>
        </w:rPr>
        <w:br w:type="page"/>
      </w:r>
    </w:p>
    <w:tbl>
      <w:tblPr>
        <w:tblStyle w:val="9"/>
        <w:tblW w:w="9450" w:type="dxa"/>
        <w:tblInd w:w="7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89"/>
        <w:gridCol w:w="1892"/>
        <w:gridCol w:w="1308"/>
        <w:gridCol w:w="1750"/>
        <w:gridCol w:w="1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089"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color w:val="auto"/>
                <w:w w:val="90"/>
                <w:kern w:val="0"/>
                <w:sz w:val="20"/>
                <w:szCs w:val="20"/>
                <w:u w:val="none"/>
                <w:lang w:val="en-US" w:eastAsia="zh-CN" w:bidi="ar"/>
              </w:rPr>
              <w:t>表8</w:t>
            </w:r>
          </w:p>
        </w:tc>
        <w:tc>
          <w:tcPr>
            <w:tcW w:w="189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0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5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1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45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4981"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30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161"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30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科目编码</w:t>
            </w:r>
          </w:p>
        </w:tc>
        <w:tc>
          <w:tcPr>
            <w:tcW w:w="18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科目名称</w:t>
            </w:r>
          </w:p>
        </w:tc>
        <w:tc>
          <w:tcPr>
            <w:tcW w:w="44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30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30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7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基本支出</w:t>
            </w:r>
          </w:p>
        </w:tc>
        <w:tc>
          <w:tcPr>
            <w:tcW w:w="141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3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pStyle w:val="3"/>
        <w:ind w:left="0" w:leftChars="0" w:firstLine="1050" w:firstLineChars="5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注：本单位无政府性基金预算支出。</w:t>
      </w:r>
    </w:p>
    <w:p>
      <w:pP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br w:type="page"/>
      </w:r>
    </w:p>
    <w:tbl>
      <w:tblPr>
        <w:tblStyle w:val="9"/>
        <w:tblW w:w="10060" w:type="dxa"/>
        <w:tblInd w:w="3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74"/>
        <w:gridCol w:w="1835"/>
        <w:gridCol w:w="1461"/>
        <w:gridCol w:w="1725"/>
        <w:gridCol w:w="240"/>
        <w:gridCol w:w="26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color w:val="auto"/>
                <w:w w:val="90"/>
                <w:kern w:val="0"/>
                <w:sz w:val="20"/>
                <w:szCs w:val="20"/>
                <w:u w:val="none"/>
                <w:lang w:val="en-US" w:eastAsia="zh-CN" w:bidi="ar"/>
              </w:rPr>
              <w:t>表9</w:t>
            </w:r>
          </w:p>
        </w:tc>
        <w:tc>
          <w:tcPr>
            <w:tcW w:w="183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6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865" w:type="dxa"/>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0060"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国有资本经营预算支出表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009"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46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865"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1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科目编码</w:t>
            </w:r>
          </w:p>
        </w:tc>
        <w:tc>
          <w:tcPr>
            <w:tcW w:w="1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科目名称</w:t>
            </w:r>
          </w:p>
        </w:tc>
        <w:tc>
          <w:tcPr>
            <w:tcW w:w="60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1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46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965" w:type="dxa"/>
            <w:gridSpan w:val="2"/>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基本支出</w:t>
            </w:r>
          </w:p>
        </w:tc>
        <w:tc>
          <w:tcPr>
            <w:tcW w:w="262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2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rPr>
          <w:rFonts w:hint="eastAsia"/>
          <w:lang w:val="en-US" w:eastAsia="zh-CN"/>
        </w:rPr>
      </w:pPr>
    </w:p>
    <w:p>
      <w:pPr>
        <w:pStyle w:val="3"/>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注：本单位无国有资本经营预算支出。</w:t>
      </w:r>
    </w:p>
    <w:p>
      <w:pPr>
        <w:rPr>
          <w:rFonts w:hint="eastAsia"/>
          <w:lang w:val="en-US" w:eastAsia="zh-CN"/>
        </w:rPr>
      </w:pPr>
      <w:r>
        <w:rPr>
          <w:rFonts w:hint="eastAsia"/>
          <w:lang w:val="en-US" w:eastAsia="zh-CN"/>
        </w:rPr>
        <w:br w:type="page"/>
      </w:r>
    </w:p>
    <w:tbl>
      <w:tblPr>
        <w:tblStyle w:val="9"/>
        <w:tblW w:w="10260"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5"/>
        <w:gridCol w:w="2130"/>
        <w:gridCol w:w="1245"/>
        <w:gridCol w:w="1380"/>
        <w:gridCol w:w="1530"/>
        <w:gridCol w:w="19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9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创艺简标宋" w:hAnsi="创艺简标宋" w:eastAsia="创艺简标宋" w:cs="创艺简标宋"/>
                <w:i w:val="0"/>
                <w:iCs w:val="0"/>
                <w:color w:val="auto"/>
                <w:w w:val="90"/>
                <w:kern w:val="0"/>
                <w:sz w:val="20"/>
                <w:szCs w:val="20"/>
                <w:u w:val="none"/>
                <w:lang w:val="en-US" w:eastAsia="zh-CN" w:bidi="ar"/>
              </w:rPr>
              <w:t>表10</w:t>
            </w:r>
          </w:p>
        </w:tc>
        <w:tc>
          <w:tcPr>
            <w:tcW w:w="213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4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3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9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trPr>
        <w:tc>
          <w:tcPr>
            <w:tcW w:w="10260"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6"/>
                <w:szCs w:val="36"/>
                <w:u w:val="none"/>
                <w:lang w:val="en-US" w:eastAsia="zh-CN" w:bidi="ar"/>
              </w:rPr>
              <w:t>项目支出表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trPr>
        <w:tc>
          <w:tcPr>
            <w:tcW w:w="4125"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单位：武汉市皮肤病防治院</w:t>
            </w:r>
          </w:p>
        </w:tc>
        <w:tc>
          <w:tcPr>
            <w:tcW w:w="124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3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98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项目编码</w:t>
            </w:r>
          </w:p>
        </w:tc>
        <w:tc>
          <w:tcPr>
            <w:tcW w:w="21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项目名称</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本年拨款</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财政拨款结转结余</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21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一般公共预算</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一般公共预算</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2"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2,688.26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917.96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3.30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1,767.00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2"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420100227130030000108</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医疗卫生机构改革和发展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2,684.96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917.96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1,767.00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2"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42010023713T000000110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机构运转维护</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2,153.46</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592.96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1,560.50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42010023713T000000128</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机构发展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531.50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325.00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420100230000030004716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公共卫生服务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3.30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3.30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42010024713T000000243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公共卫生专项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rPr>
          <w:rFonts w:ascii="宋体" w:hAnsi="宋体" w:eastAsia="宋体" w:cs="宋体"/>
          <w:spacing w:val="-6"/>
          <w:sz w:val="20"/>
          <w:szCs w:val="20"/>
        </w:rPr>
      </w:pPr>
      <w:r>
        <w:rPr>
          <w:rFonts w:ascii="宋体" w:hAnsi="宋体" w:eastAsia="宋体" w:cs="宋体"/>
          <w:spacing w:val="-6"/>
          <w:sz w:val="20"/>
          <w:szCs w:val="20"/>
        </w:rPr>
        <w:br w:type="page"/>
      </w:r>
    </w:p>
    <w:tbl>
      <w:tblPr>
        <w:tblStyle w:val="9"/>
        <w:tblW w:w="11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9"/>
        <w:gridCol w:w="847"/>
        <w:gridCol w:w="1167"/>
        <w:gridCol w:w="1676"/>
        <w:gridCol w:w="1557"/>
        <w:gridCol w:w="429"/>
        <w:gridCol w:w="800"/>
        <w:gridCol w:w="816"/>
        <w:gridCol w:w="1150"/>
        <w:gridCol w:w="14"/>
        <w:gridCol w:w="1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 w:hRule="atLeast"/>
          <w:jc w:val="center"/>
        </w:trPr>
        <w:tc>
          <w:tcPr>
            <w:tcW w:w="11340" w:type="dxa"/>
            <w:gridSpan w:val="11"/>
            <w:tcBorders>
              <w:top w:val="nil"/>
              <w:left w:val="nil"/>
              <w:bottom w:val="nil"/>
              <w:right w:val="nil"/>
            </w:tcBorders>
            <w:noWrap/>
            <w:vAlign w:val="bottom"/>
          </w:tcPr>
          <w:p>
            <w:pPr>
              <w:keepNext w:val="0"/>
              <w:keepLines w:val="0"/>
              <w:widowControl/>
              <w:suppressLineNumbers w:val="0"/>
              <w:jc w:val="left"/>
              <w:textAlignment w:val="bottom"/>
              <w:rPr>
                <w:rFonts w:hint="default" w:ascii="创艺简标宋" w:hAnsi="创艺简标宋" w:eastAsia="创艺简标宋" w:cs="创艺简标宋"/>
                <w:i w:val="0"/>
                <w:iCs w:val="0"/>
                <w:color w:val="auto"/>
                <w:w w:val="90"/>
                <w:kern w:val="0"/>
                <w:sz w:val="36"/>
                <w:szCs w:val="36"/>
                <w:u w:val="none"/>
                <w:lang w:val="en-US" w:eastAsia="zh-CN" w:bidi="ar"/>
              </w:rPr>
            </w:pPr>
            <w:r>
              <w:rPr>
                <w:rFonts w:hint="default" w:ascii="创艺简标宋" w:hAnsi="创艺简标宋" w:eastAsia="创艺简标宋" w:cs="创艺简标宋"/>
                <w:i w:val="0"/>
                <w:iCs w:val="0"/>
                <w:color w:val="auto"/>
                <w:w w:val="90"/>
                <w:kern w:val="0"/>
                <w:sz w:val="20"/>
                <w:szCs w:val="20"/>
                <w:u w:val="none"/>
                <w:lang w:val="en-US" w:eastAsia="zh-CN" w:bidi="ar"/>
              </w:rPr>
              <w:t>表1</w:t>
            </w:r>
            <w:r>
              <w:rPr>
                <w:rFonts w:hint="eastAsia" w:ascii="创艺简标宋" w:hAnsi="创艺简标宋" w:eastAsia="创艺简标宋" w:cs="创艺简标宋"/>
                <w:i w:val="0"/>
                <w:iCs w:val="0"/>
                <w:color w:val="auto"/>
                <w:w w:val="90"/>
                <w:kern w:val="0"/>
                <w:sz w:val="20"/>
                <w:szCs w:val="20"/>
                <w:u w:val="none"/>
                <w:lang w:val="en-US" w:eastAsia="zh-CN" w:bidi="ar"/>
              </w:rPr>
              <w:t>1</w:t>
            </w:r>
          </w:p>
          <w:p>
            <w:pPr>
              <w:keepNext w:val="0"/>
              <w:keepLines w:val="0"/>
              <w:widowControl/>
              <w:suppressLineNumbers w:val="0"/>
              <w:jc w:val="center"/>
              <w:textAlignment w:val="bottom"/>
              <w:rPr>
                <w:rFonts w:ascii="创艺简标宋" w:hAnsi="创艺简标宋" w:eastAsia="创艺简标宋" w:cs="创艺简标宋"/>
                <w:i w:val="0"/>
                <w:iCs w:val="0"/>
                <w:color w:val="auto"/>
                <w:w w:val="90"/>
                <w:sz w:val="36"/>
                <w:szCs w:val="36"/>
                <w:u w:val="none"/>
              </w:rPr>
            </w:pPr>
            <w:r>
              <w:rPr>
                <w:rFonts w:hint="default" w:ascii="创艺简标宋" w:hAnsi="创艺简标宋" w:eastAsia="创艺简标宋" w:cs="创艺简标宋"/>
                <w:i w:val="0"/>
                <w:iCs w:val="0"/>
                <w:color w:val="auto"/>
                <w:w w:val="90"/>
                <w:kern w:val="0"/>
                <w:sz w:val="32"/>
                <w:szCs w:val="32"/>
                <w:u w:val="none"/>
                <w:lang w:val="en-US" w:eastAsia="zh-CN" w:bidi="ar"/>
              </w:rPr>
              <w:t>部门整体支出绩效目标申报表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1340" w:type="dxa"/>
            <w:gridSpan w:val="11"/>
            <w:tcBorders>
              <w:top w:val="nil"/>
              <w:left w:val="nil"/>
              <w:bottom w:val="nil"/>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w w:val="90"/>
                <w:sz w:val="24"/>
                <w:szCs w:val="24"/>
                <w:u w:val="none"/>
              </w:rPr>
            </w:pPr>
            <w:r>
              <w:rPr>
                <w:rFonts w:hint="eastAsia" w:ascii="宋体" w:hAnsi="宋体" w:eastAsia="宋体" w:cs="宋体"/>
                <w:i w:val="0"/>
                <w:iCs w:val="0"/>
                <w:color w:val="auto"/>
                <w:w w:val="90"/>
                <w:kern w:val="0"/>
                <w:sz w:val="24"/>
                <w:szCs w:val="24"/>
                <w:u w:val="none"/>
                <w:lang w:val="en-US" w:eastAsia="zh-CN" w:bidi="ar"/>
              </w:rPr>
              <w:t>填报日期：                                                                                 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blHeader/>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部门(单位)名称</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武汉市皮肤病防治院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填报人</w:t>
            </w: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熊姝</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联系电话</w:t>
            </w:r>
          </w:p>
        </w:tc>
        <w:tc>
          <w:tcPr>
            <w:tcW w:w="606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85638087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部门总体</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资金情况</w:t>
            </w:r>
          </w:p>
        </w:tc>
        <w:tc>
          <w:tcPr>
            <w:tcW w:w="369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总体资金情况</w:t>
            </w:r>
          </w:p>
        </w:tc>
        <w:tc>
          <w:tcPr>
            <w:tcW w:w="15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当年金额</w:t>
            </w:r>
          </w:p>
        </w:tc>
        <w:tc>
          <w:tcPr>
            <w:tcW w:w="2045"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占比</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近两年收支金额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369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55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4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202</w:t>
            </w:r>
            <w:r>
              <w:rPr>
                <w:rFonts w:hint="eastAsia" w:ascii="宋体" w:hAnsi="宋体" w:cs="宋体"/>
                <w:i w:val="0"/>
                <w:iCs w:val="0"/>
                <w:color w:val="auto"/>
                <w:w w:val="90"/>
                <w:kern w:val="0"/>
                <w:sz w:val="21"/>
                <w:szCs w:val="21"/>
                <w:u w:val="none"/>
                <w:lang w:val="en-US" w:eastAsia="zh-CN" w:bidi="ar"/>
              </w:rPr>
              <w:t>2</w:t>
            </w:r>
            <w:r>
              <w:rPr>
                <w:rStyle w:val="14"/>
                <w:color w:val="auto"/>
                <w:w w:val="90"/>
                <w:u w:val="none"/>
                <w:lang w:val="en-US" w:eastAsia="zh-CN" w:bidi="ar"/>
              </w:rPr>
              <w:t>年</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202</w:t>
            </w:r>
            <w:r>
              <w:rPr>
                <w:rFonts w:hint="eastAsia" w:ascii="宋体" w:hAnsi="宋体" w:cs="宋体"/>
                <w:i w:val="0"/>
                <w:iCs w:val="0"/>
                <w:color w:val="auto"/>
                <w:w w:val="90"/>
                <w:kern w:val="0"/>
                <w:sz w:val="21"/>
                <w:szCs w:val="21"/>
                <w:u w:val="none"/>
                <w:lang w:val="en-US" w:eastAsia="zh-CN" w:bidi="ar"/>
              </w:rPr>
              <w:t>3</w:t>
            </w:r>
            <w:r>
              <w:rPr>
                <w:rFonts w:hint="eastAsia" w:ascii="宋体" w:hAnsi="宋体" w:eastAsia="宋体" w:cs="宋体"/>
                <w:i w:val="0"/>
                <w:iCs w:val="0"/>
                <w:color w:val="auto"/>
                <w:w w:val="90"/>
                <w:kern w:val="0"/>
                <w:sz w:val="21"/>
                <w:szCs w:val="21"/>
                <w:u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收入</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构成</w:t>
            </w: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财政拨款</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4383.66</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50.20%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3</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884.16</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4168</w:t>
            </w:r>
            <w:r>
              <w:rPr>
                <w:rFonts w:hint="eastAsia" w:ascii="宋体" w:hAnsi="宋体" w:cs="宋体"/>
                <w:i w:val="0"/>
                <w:iCs w:val="0"/>
                <w:color w:val="auto"/>
                <w:w w:val="90"/>
                <w:kern w:val="0"/>
                <w:sz w:val="21"/>
                <w:szCs w:val="21"/>
                <w:u w:val="none"/>
                <w:lang w:val="en-US" w:eastAsia="zh-CN" w:bidi="ar"/>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财政专户管理资金</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kern w:val="0"/>
                <w:sz w:val="21"/>
                <w:szCs w:val="21"/>
                <w:u w:val="none"/>
                <w:lang w:val="en-US" w:eastAsia="zh-CN" w:bidi="ar"/>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kern w:val="2"/>
                <w:sz w:val="21"/>
                <w:szCs w:val="21"/>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单位资金</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4348.44</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49.80%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4</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858.71</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3359.57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合  计</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8732.10</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8</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742.87</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7527.57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支出</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构成</w:t>
            </w: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人员类项目支出</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4983.99</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57.08%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4</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304.53</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4440.98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运转类项目支出</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1059.85</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12.14%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566.08</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949.25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特定目标类项目支出</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2688.26</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30.79%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3</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872.26</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2137.34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8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合  计</w:t>
            </w:r>
          </w:p>
        </w:tc>
        <w:tc>
          <w:tcPr>
            <w:tcW w:w="15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8732.10</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8</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742.87</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7527.57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1"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部门职能概述</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378" w:firstLineChars="200"/>
              <w:textAlignment w:val="auto"/>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本</w:t>
            </w:r>
            <w:r>
              <w:rPr>
                <w:rFonts w:hint="eastAsia" w:ascii="宋体" w:hAnsi="宋体" w:cs="宋体"/>
                <w:i w:val="0"/>
                <w:iCs w:val="0"/>
                <w:color w:val="auto"/>
                <w:w w:val="90"/>
                <w:kern w:val="0"/>
                <w:sz w:val="21"/>
                <w:szCs w:val="21"/>
                <w:u w:val="none"/>
                <w:lang w:val="en-US" w:eastAsia="zh-CN" w:bidi="ar"/>
              </w:rPr>
              <w:t>单位是隶属武汉市卫生健康委的疾病预防控制</w:t>
            </w:r>
            <w:r>
              <w:rPr>
                <w:rFonts w:hint="eastAsia" w:ascii="宋体" w:hAnsi="宋体" w:eastAsia="宋体" w:cs="宋体"/>
                <w:i w:val="0"/>
                <w:iCs w:val="0"/>
                <w:color w:val="auto"/>
                <w:w w:val="90"/>
                <w:kern w:val="0"/>
                <w:sz w:val="21"/>
                <w:szCs w:val="21"/>
                <w:u w:val="none"/>
                <w:lang w:val="en-US" w:eastAsia="zh-CN" w:bidi="ar"/>
              </w:rPr>
              <w:t>机构，公益一类事业单位，</w:t>
            </w:r>
            <w:r>
              <w:rPr>
                <w:rFonts w:hint="eastAsia" w:ascii="宋体" w:hAnsi="宋体" w:cs="宋体"/>
                <w:i w:val="0"/>
                <w:iCs w:val="0"/>
                <w:color w:val="auto"/>
                <w:w w:val="90"/>
                <w:kern w:val="0"/>
                <w:sz w:val="21"/>
                <w:szCs w:val="21"/>
                <w:u w:val="none"/>
                <w:lang w:val="en-US" w:eastAsia="zh-CN" w:bidi="ar"/>
              </w:rPr>
              <w:t>主要</w:t>
            </w:r>
            <w:r>
              <w:rPr>
                <w:rFonts w:hint="eastAsia" w:ascii="宋体" w:hAnsi="宋体" w:eastAsia="宋体" w:cs="宋体"/>
                <w:i w:val="0"/>
                <w:iCs w:val="0"/>
                <w:color w:val="auto"/>
                <w:w w:val="90"/>
                <w:kern w:val="0"/>
                <w:sz w:val="21"/>
                <w:szCs w:val="21"/>
                <w:u w:val="none"/>
                <w:lang w:val="en-US" w:eastAsia="zh-CN" w:bidi="ar"/>
              </w:rPr>
              <w:t>职能</w:t>
            </w:r>
            <w:r>
              <w:rPr>
                <w:rFonts w:hint="eastAsia" w:ascii="宋体" w:hAnsi="宋体" w:cs="宋体"/>
                <w:i w:val="0"/>
                <w:iCs w:val="0"/>
                <w:color w:val="auto"/>
                <w:w w:val="90"/>
                <w:kern w:val="0"/>
                <w:sz w:val="21"/>
                <w:szCs w:val="21"/>
                <w:u w:val="none"/>
                <w:lang w:val="en-US" w:eastAsia="zh-CN" w:bidi="ar"/>
              </w:rPr>
              <w:t>为</w:t>
            </w:r>
            <w:r>
              <w:rPr>
                <w:rFonts w:hint="eastAsia" w:ascii="宋体" w:hAnsi="宋体" w:eastAsia="宋体" w:cs="宋体"/>
                <w:i w:val="0"/>
                <w:iCs w:val="0"/>
                <w:color w:val="auto"/>
                <w:w w:val="90"/>
                <w:kern w:val="0"/>
                <w:sz w:val="21"/>
                <w:szCs w:val="21"/>
                <w:u w:val="none"/>
                <w:lang w:val="en-US" w:eastAsia="zh-CN" w:bidi="ar"/>
              </w:rPr>
              <w:t>：麻风病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w:t>
            </w:r>
            <w:r>
              <w:rPr>
                <w:rFonts w:hint="eastAsia" w:ascii="宋体" w:hAnsi="宋体" w:cs="宋体"/>
                <w:i w:val="0"/>
                <w:iCs w:val="0"/>
                <w:color w:val="auto"/>
                <w:w w:val="90"/>
                <w:kern w:val="0"/>
                <w:sz w:val="21"/>
                <w:szCs w:val="21"/>
                <w:u w:val="none"/>
                <w:lang w:val="en-US" w:eastAsia="zh-CN" w:bidi="ar"/>
              </w:rPr>
              <w:t>、艾滋病等专病防治和管理（包括武汉地区麻风病人集中收治和管理，麻风病、性病疫情监测、现症病人治疗和康复，</w:t>
            </w:r>
            <w:r>
              <w:rPr>
                <w:rFonts w:hint="eastAsia" w:ascii="宋体" w:hAnsi="宋体" w:eastAsia="宋体" w:cs="宋体"/>
                <w:i w:val="0"/>
                <w:iCs w:val="0"/>
                <w:color w:val="auto"/>
                <w:w w:val="90"/>
                <w:kern w:val="0"/>
                <w:sz w:val="21"/>
                <w:szCs w:val="21"/>
                <w:u w:val="none"/>
                <w:lang w:val="en-US" w:eastAsia="zh-CN" w:bidi="ar"/>
              </w:rPr>
              <w:t>艾滋病</w:t>
            </w:r>
            <w:r>
              <w:rPr>
                <w:rFonts w:hint="eastAsia" w:ascii="宋体" w:hAnsi="宋体" w:cs="宋体"/>
                <w:i w:val="0"/>
                <w:iCs w:val="0"/>
                <w:color w:val="auto"/>
                <w:w w:val="90"/>
                <w:kern w:val="0"/>
                <w:sz w:val="21"/>
                <w:szCs w:val="21"/>
                <w:u w:val="none"/>
                <w:lang w:val="en-US" w:eastAsia="zh-CN" w:bidi="ar"/>
              </w:rPr>
              <w:t>咨询检测及感染者治疗，专业培训和技术指导等）。是</w:t>
            </w:r>
            <w:r>
              <w:rPr>
                <w:rFonts w:hint="eastAsia" w:ascii="宋体" w:hAnsi="宋体" w:eastAsia="宋体" w:cs="宋体"/>
                <w:i w:val="0"/>
                <w:iCs w:val="0"/>
                <w:color w:val="auto"/>
                <w:w w:val="90"/>
                <w:kern w:val="0"/>
                <w:sz w:val="21"/>
                <w:szCs w:val="21"/>
                <w:u w:val="none"/>
                <w:lang w:val="en-US" w:eastAsia="zh-CN" w:bidi="ar"/>
              </w:rPr>
              <w:t>“武汉麻风防治中心”</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“武汉市性病监测中心”</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“湖北省麻风病临床技术指导中心”</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“全国麻风病健康促进示范基地”“武汉市</w:t>
            </w:r>
            <w:r>
              <w:rPr>
                <w:rFonts w:hint="eastAsia" w:ascii="宋体" w:hAnsi="宋体" w:cs="宋体"/>
                <w:i w:val="0"/>
                <w:iCs w:val="0"/>
                <w:color w:val="auto"/>
                <w:w w:val="90"/>
                <w:kern w:val="0"/>
                <w:sz w:val="21"/>
                <w:szCs w:val="21"/>
                <w:u w:val="none"/>
                <w:lang w:val="en-US" w:eastAsia="zh-CN" w:bidi="ar"/>
              </w:rPr>
              <w:t>娱乐场所</w:t>
            </w:r>
            <w:r>
              <w:rPr>
                <w:rFonts w:hint="eastAsia" w:ascii="宋体" w:hAnsi="宋体" w:eastAsia="宋体" w:cs="宋体"/>
                <w:i w:val="0"/>
                <w:iCs w:val="0"/>
                <w:color w:val="auto"/>
                <w:w w:val="90"/>
                <w:kern w:val="0"/>
                <w:sz w:val="21"/>
                <w:szCs w:val="21"/>
                <w:u w:val="none"/>
                <w:lang w:val="en-US" w:eastAsia="zh-CN" w:bidi="ar"/>
              </w:rPr>
              <w:t>100%安全套推广使用项目管理办公室”</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“武汉国际麻风畸残康复中心”</w:t>
            </w:r>
            <w:r>
              <w:rPr>
                <w:rFonts w:hint="eastAsia" w:ascii="宋体" w:hAnsi="宋体" w:cs="宋体"/>
                <w:i w:val="0"/>
                <w:iCs w:val="0"/>
                <w:color w:val="auto"/>
                <w:w w:val="90"/>
                <w:kern w:val="0"/>
                <w:sz w:val="21"/>
                <w:szCs w:val="21"/>
                <w:u w:val="none"/>
                <w:lang w:val="en-US" w:eastAsia="zh-CN" w:bidi="ar"/>
              </w:rPr>
              <w:t>等授牌单位</w:t>
            </w:r>
            <w:r>
              <w:rPr>
                <w:rFonts w:hint="eastAsia" w:ascii="宋体" w:hAnsi="宋体" w:eastAsia="宋体" w:cs="宋体"/>
                <w:i w:val="0"/>
                <w:iCs w:val="0"/>
                <w:color w:val="auto"/>
                <w:w w:val="9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1"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年度工作任务</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切实保障住院麻风病人生活及医疗服务，开展住院麻风病人生命全周期健康管理，消除麻风病危害。</w:t>
            </w:r>
          </w:p>
          <w:p>
            <w:pPr>
              <w:keepNext w:val="0"/>
              <w:keepLines w:val="0"/>
              <w:pageBreakBefore w:val="0"/>
              <w:widowControl/>
              <w:numPr>
                <w:ilvl w:val="0"/>
                <w:numId w:val="1"/>
              </w:numPr>
              <w:suppressLineNumbers w:val="0"/>
              <w:kinsoku/>
              <w:wordWrap/>
              <w:overflowPunct/>
              <w:topLinePunct w:val="0"/>
              <w:autoSpaceDE/>
              <w:autoSpaceDN/>
              <w:bidi w:val="0"/>
              <w:adjustRightInd/>
              <w:snapToGrid/>
              <w:jc w:val="left"/>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规范开展全市麻风病、性病监测、检测、治疗及疫情报告管理。</w:t>
            </w:r>
          </w:p>
          <w:p>
            <w:pPr>
              <w:keepNext w:val="0"/>
              <w:keepLines w:val="0"/>
              <w:pageBreakBefore w:val="0"/>
              <w:widowControl/>
              <w:numPr>
                <w:ilvl w:val="0"/>
                <w:numId w:val="1"/>
              </w:numPr>
              <w:suppressLineNumbers w:val="0"/>
              <w:kinsoku/>
              <w:wordWrap/>
              <w:overflowPunct/>
              <w:topLinePunct w:val="0"/>
              <w:autoSpaceDE/>
              <w:autoSpaceDN/>
              <w:bidi w:val="0"/>
              <w:adjustRightInd/>
              <w:snapToGrid/>
              <w:jc w:val="left"/>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规范</w:t>
            </w:r>
            <w:r>
              <w:rPr>
                <w:rFonts w:hint="eastAsia" w:ascii="宋体" w:hAnsi="宋体" w:eastAsia="宋体" w:cs="宋体"/>
                <w:i w:val="0"/>
                <w:iCs w:val="0"/>
                <w:color w:val="auto"/>
                <w:w w:val="90"/>
                <w:kern w:val="0"/>
                <w:sz w:val="21"/>
                <w:szCs w:val="21"/>
                <w:u w:val="none"/>
                <w:lang w:val="en-US" w:eastAsia="zh-CN" w:bidi="ar"/>
              </w:rPr>
              <w:t>开展麻风病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性病专业</w:t>
            </w:r>
            <w:r>
              <w:rPr>
                <w:rFonts w:hint="eastAsia" w:ascii="宋体" w:hAnsi="宋体" w:cs="宋体"/>
                <w:i w:val="0"/>
                <w:iCs w:val="0"/>
                <w:color w:val="auto"/>
                <w:w w:val="90"/>
                <w:kern w:val="0"/>
                <w:sz w:val="21"/>
                <w:szCs w:val="21"/>
                <w:u w:val="none"/>
                <w:lang w:val="en-US" w:eastAsia="zh-CN" w:bidi="ar"/>
              </w:rPr>
              <w:t>技术</w:t>
            </w:r>
            <w:r>
              <w:rPr>
                <w:rFonts w:hint="eastAsia" w:ascii="宋体" w:hAnsi="宋体" w:eastAsia="宋体" w:cs="宋体"/>
                <w:i w:val="0"/>
                <w:iCs w:val="0"/>
                <w:color w:val="auto"/>
                <w:w w:val="90"/>
                <w:kern w:val="0"/>
                <w:sz w:val="21"/>
                <w:szCs w:val="21"/>
                <w:u w:val="none"/>
                <w:lang w:val="en-US" w:eastAsia="zh-CN" w:bidi="ar"/>
              </w:rPr>
              <w:t>培训</w:t>
            </w:r>
            <w:r>
              <w:rPr>
                <w:rFonts w:hint="eastAsia" w:ascii="宋体" w:hAnsi="宋体" w:cs="宋体"/>
                <w:i w:val="0"/>
                <w:iCs w:val="0"/>
                <w:color w:val="auto"/>
                <w:w w:val="90"/>
                <w:kern w:val="0"/>
                <w:sz w:val="21"/>
                <w:szCs w:val="21"/>
                <w:u w:val="none"/>
                <w:lang w:val="en-US" w:eastAsia="zh-CN" w:bidi="ar"/>
              </w:rPr>
              <w:t>、工作督导及社会宣传</w:t>
            </w:r>
            <w:r>
              <w:rPr>
                <w:rFonts w:hint="eastAsia" w:ascii="宋体" w:hAnsi="宋体" w:eastAsia="宋体" w:cs="宋体"/>
                <w:i w:val="0"/>
                <w:iCs w:val="0"/>
                <w:color w:val="auto"/>
                <w:w w:val="90"/>
                <w:kern w:val="0"/>
                <w:sz w:val="21"/>
                <w:szCs w:val="21"/>
                <w:u w:val="none"/>
                <w:lang w:val="en-US" w:eastAsia="zh-CN" w:bidi="ar"/>
              </w:rPr>
              <w:t>。</w:t>
            </w:r>
          </w:p>
          <w:p>
            <w:pPr>
              <w:keepNext w:val="0"/>
              <w:keepLines w:val="0"/>
              <w:pageBreakBefore w:val="0"/>
              <w:widowControl/>
              <w:numPr>
                <w:ilvl w:val="0"/>
                <w:numId w:val="1"/>
              </w:numPr>
              <w:suppressLineNumbers w:val="0"/>
              <w:kinsoku/>
              <w:wordWrap/>
              <w:overflowPunct/>
              <w:topLinePunct w:val="0"/>
              <w:autoSpaceDE/>
              <w:autoSpaceDN/>
              <w:bidi w:val="0"/>
              <w:adjustRightInd/>
              <w:snapToGrid/>
              <w:jc w:val="left"/>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规范开展性病患者转介支持及规范化医疗服务。</w:t>
            </w:r>
          </w:p>
          <w:p>
            <w:pPr>
              <w:keepNext w:val="0"/>
              <w:keepLines w:val="0"/>
              <w:pageBreakBefore w:val="0"/>
              <w:widowControl/>
              <w:numPr>
                <w:ilvl w:val="0"/>
                <w:numId w:val="1"/>
              </w:numPr>
              <w:suppressLineNumbers w:val="0"/>
              <w:kinsoku/>
              <w:wordWrap/>
              <w:overflowPunct/>
              <w:topLinePunct w:val="0"/>
              <w:autoSpaceDE/>
              <w:autoSpaceDN/>
              <w:bidi w:val="0"/>
              <w:adjustRightInd/>
              <w:snapToGrid/>
              <w:jc w:val="left"/>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加强全市艾滋病自愿咨询检测（VCT）、娱乐场所100%安全套推广使用（100%CUP）及医疗机构主动提供艾滋病、梅毒检测（PITC）工作督导和指导。</w:t>
            </w:r>
          </w:p>
          <w:p>
            <w:pPr>
              <w:keepNext w:val="0"/>
              <w:keepLines w:val="0"/>
              <w:widowControl/>
              <w:suppressLineNumbers w:val="0"/>
              <w:jc w:val="left"/>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6</w:t>
            </w:r>
            <w:r>
              <w:rPr>
                <w:rFonts w:hint="eastAsia" w:ascii="宋体" w:hAnsi="宋体" w:eastAsia="宋体" w:cs="宋体"/>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切实加强</w:t>
            </w:r>
            <w:r>
              <w:rPr>
                <w:rFonts w:hint="eastAsia" w:ascii="宋体" w:hAnsi="宋体" w:eastAsia="宋体" w:cs="宋体"/>
                <w:i w:val="0"/>
                <w:iCs w:val="0"/>
                <w:color w:val="auto"/>
                <w:w w:val="90"/>
                <w:kern w:val="0"/>
                <w:sz w:val="21"/>
                <w:szCs w:val="21"/>
                <w:u w:val="none"/>
                <w:lang w:val="en-US" w:eastAsia="zh-CN" w:bidi="ar"/>
              </w:rPr>
              <w:t>入组艾滋病感染者管理</w:t>
            </w:r>
            <w:r>
              <w:rPr>
                <w:rFonts w:hint="eastAsia" w:ascii="宋体" w:hAnsi="宋体" w:cs="宋体"/>
                <w:i w:val="0"/>
                <w:iCs w:val="0"/>
                <w:color w:val="auto"/>
                <w:w w:val="90"/>
                <w:kern w:val="0"/>
                <w:sz w:val="21"/>
                <w:szCs w:val="21"/>
                <w:u w:val="none"/>
                <w:lang w:val="en-US" w:eastAsia="zh-CN" w:bidi="ar"/>
              </w:rPr>
              <w:t>，规范开展艾滋病抗病毒治疗、综合干预和随访管理工作</w:t>
            </w:r>
            <w:r>
              <w:rPr>
                <w:rFonts w:hint="eastAsia" w:ascii="宋体" w:hAnsi="宋体" w:eastAsia="宋体" w:cs="宋体"/>
                <w:i w:val="0"/>
                <w:iCs w:val="0"/>
                <w:color w:val="auto"/>
                <w:w w:val="9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7、加强公共卫生重点专学科建设，为市民提供优质公共卫生服务。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项目支出情况</w:t>
            </w: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项目名称</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支出项目类别</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项目</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总预算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项目本年度预算</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项目主要支出方向和用途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589"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医疗卫生机构改革和发展</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本年支出项目</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2684.96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2684.96</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单位运转维护</w:t>
            </w:r>
            <w:r>
              <w:rPr>
                <w:rFonts w:hint="eastAsia" w:ascii="宋体" w:hAnsi="宋体" w:cs="宋体"/>
                <w:i w:val="0"/>
                <w:iCs w:val="0"/>
                <w:color w:val="auto"/>
                <w:w w:val="90"/>
                <w:kern w:val="0"/>
                <w:sz w:val="21"/>
                <w:szCs w:val="21"/>
                <w:u w:val="none"/>
                <w:lang w:val="en-US" w:eastAsia="zh-CN" w:bidi="ar"/>
              </w:rPr>
              <w:t>、设备购置、信息化建设等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公共卫生服务</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上年结转项目</w:t>
            </w:r>
          </w:p>
        </w:tc>
        <w:tc>
          <w:tcPr>
            <w:tcW w:w="2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3.30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3.30</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相关医务人员临时性补助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整体绩效</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总目标</w:t>
            </w:r>
          </w:p>
        </w:tc>
        <w:tc>
          <w:tcPr>
            <w:tcW w:w="369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长期目标(截止202</w:t>
            </w:r>
            <w:r>
              <w:rPr>
                <w:rFonts w:hint="eastAsia" w:ascii="宋体" w:hAnsi="宋体" w:cs="宋体"/>
                <w:i w:val="0"/>
                <w:iCs w:val="0"/>
                <w:color w:val="auto"/>
                <w:w w:val="90"/>
                <w:kern w:val="0"/>
                <w:sz w:val="21"/>
                <w:szCs w:val="21"/>
                <w:u w:val="none"/>
                <w:lang w:val="en-US" w:eastAsia="zh-CN" w:bidi="ar"/>
              </w:rPr>
              <w:t>6</w:t>
            </w:r>
            <w:r>
              <w:rPr>
                <w:rFonts w:hint="eastAsia" w:ascii="宋体" w:hAnsi="宋体" w:eastAsia="宋体" w:cs="宋体"/>
                <w:i w:val="0"/>
                <w:iCs w:val="0"/>
                <w:color w:val="auto"/>
                <w:w w:val="90"/>
                <w:kern w:val="0"/>
                <w:sz w:val="21"/>
                <w:szCs w:val="21"/>
                <w:u w:val="none"/>
                <w:lang w:val="en-US" w:eastAsia="zh-CN" w:bidi="ar"/>
              </w:rPr>
              <w:t>年)</w:t>
            </w:r>
          </w:p>
        </w:tc>
        <w:tc>
          <w:tcPr>
            <w:tcW w:w="606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1"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369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目标1：</w:t>
            </w:r>
            <w:r>
              <w:rPr>
                <w:rFonts w:hint="eastAsia" w:ascii="宋体" w:hAnsi="宋体" w:cs="宋体"/>
                <w:i w:val="0"/>
                <w:iCs w:val="0"/>
                <w:color w:val="auto"/>
                <w:w w:val="90"/>
                <w:kern w:val="0"/>
                <w:sz w:val="21"/>
                <w:szCs w:val="21"/>
                <w:u w:val="none"/>
                <w:lang w:val="en-US" w:eastAsia="zh-CN" w:bidi="ar"/>
              </w:rPr>
              <w:t>规范开展</w:t>
            </w:r>
            <w:r>
              <w:rPr>
                <w:rFonts w:hint="eastAsia" w:ascii="宋体" w:hAnsi="宋体" w:eastAsia="宋体" w:cs="宋体"/>
                <w:i w:val="0"/>
                <w:iCs w:val="0"/>
                <w:color w:val="auto"/>
                <w:w w:val="90"/>
                <w:kern w:val="0"/>
                <w:sz w:val="21"/>
                <w:szCs w:val="21"/>
                <w:u w:val="none"/>
                <w:lang w:val="en-US" w:eastAsia="zh-CN" w:bidi="ar"/>
              </w:rPr>
              <w:t>麻风病防治工作，</w:t>
            </w:r>
            <w:r>
              <w:rPr>
                <w:rFonts w:hint="eastAsia" w:ascii="宋体" w:hAnsi="宋体" w:cs="宋体"/>
                <w:i w:val="0"/>
                <w:iCs w:val="0"/>
                <w:color w:val="auto"/>
                <w:w w:val="90"/>
                <w:kern w:val="0"/>
                <w:sz w:val="21"/>
                <w:szCs w:val="21"/>
                <w:u w:val="none"/>
                <w:lang w:val="en-US" w:eastAsia="zh-CN" w:bidi="ar"/>
              </w:rPr>
              <w:t>以</w:t>
            </w:r>
            <w:r>
              <w:rPr>
                <w:rFonts w:hint="eastAsia" w:ascii="宋体" w:hAnsi="宋体" w:eastAsia="宋体" w:cs="宋体"/>
                <w:i w:val="0"/>
                <w:iCs w:val="0"/>
                <w:color w:val="auto"/>
                <w:w w:val="90"/>
                <w:kern w:val="0"/>
                <w:sz w:val="21"/>
                <w:szCs w:val="21"/>
                <w:u w:val="none"/>
                <w:lang w:val="en-US" w:eastAsia="zh-CN" w:bidi="ar"/>
              </w:rPr>
              <w:t>打造国家区域中心</w:t>
            </w:r>
            <w:r>
              <w:rPr>
                <w:rFonts w:hint="eastAsia" w:ascii="宋体" w:hAnsi="宋体" w:cs="宋体"/>
                <w:i w:val="0"/>
                <w:iCs w:val="0"/>
                <w:color w:val="auto"/>
                <w:w w:val="90"/>
                <w:kern w:val="0"/>
                <w:sz w:val="21"/>
                <w:szCs w:val="21"/>
                <w:u w:val="none"/>
                <w:lang w:val="en-US" w:eastAsia="zh-CN" w:bidi="ar"/>
              </w:rPr>
              <w:t>为目标</w:t>
            </w:r>
            <w:r>
              <w:rPr>
                <w:rFonts w:hint="eastAsia" w:ascii="宋体" w:hAnsi="宋体" w:eastAsia="宋体" w:cs="宋体"/>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全面加强武汉麻风防治中心能力建设，推进住院麻风病人生命全周期健康管理，</w:t>
            </w:r>
            <w:r>
              <w:rPr>
                <w:rFonts w:hint="eastAsia" w:ascii="宋体" w:hAnsi="宋体" w:eastAsia="宋体" w:cs="宋体"/>
                <w:i w:val="0"/>
                <w:iCs w:val="0"/>
                <w:color w:val="auto"/>
                <w:w w:val="90"/>
                <w:kern w:val="0"/>
                <w:sz w:val="21"/>
                <w:szCs w:val="21"/>
                <w:u w:val="none"/>
                <w:lang w:val="en-US" w:eastAsia="zh-CN" w:bidi="ar"/>
              </w:rPr>
              <w:t>切实消除麻风危害。</w:t>
            </w:r>
          </w:p>
          <w:p>
            <w:pPr>
              <w:keepNext w:val="0"/>
              <w:keepLines w:val="0"/>
              <w:widowControl/>
              <w:suppressLineNumbers w:val="0"/>
              <w:jc w:val="both"/>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目标2：持续推动我市性病防治工作深入开展，积极落实以加强传染源（感染者和病人）管理为重点的综合防控措施，推动性病防治管融合发展，促进</w:t>
            </w:r>
            <w:r>
              <w:rPr>
                <w:rFonts w:hint="eastAsia" w:ascii="宋体" w:hAnsi="宋体" w:cs="宋体"/>
                <w:i w:val="0"/>
                <w:iCs w:val="0"/>
                <w:color w:val="auto"/>
                <w:w w:val="90"/>
                <w:kern w:val="0"/>
                <w:sz w:val="21"/>
                <w:szCs w:val="21"/>
                <w:u w:val="none"/>
                <w:lang w:val="en-US" w:eastAsia="zh-CN" w:bidi="ar"/>
              </w:rPr>
              <w:t>医防</w:t>
            </w:r>
            <w:r>
              <w:rPr>
                <w:rFonts w:hint="eastAsia" w:ascii="宋体" w:hAnsi="宋体" w:eastAsia="宋体" w:cs="宋体"/>
                <w:i w:val="0"/>
                <w:iCs w:val="0"/>
                <w:color w:val="auto"/>
                <w:w w:val="90"/>
                <w:kern w:val="0"/>
                <w:sz w:val="21"/>
                <w:szCs w:val="21"/>
                <w:u w:val="none"/>
                <w:lang w:val="en-US" w:eastAsia="zh-CN" w:bidi="ar"/>
              </w:rPr>
              <w:t>协同，有效遏制性病疫情蔓延。</w:t>
            </w:r>
          </w:p>
        </w:tc>
        <w:tc>
          <w:tcPr>
            <w:tcW w:w="606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目标1：</w:t>
            </w:r>
            <w:r>
              <w:rPr>
                <w:rFonts w:hint="eastAsia" w:ascii="宋体" w:hAnsi="宋体" w:cs="宋体"/>
                <w:i w:val="0"/>
                <w:iCs w:val="0"/>
                <w:color w:val="auto"/>
                <w:w w:val="90"/>
                <w:kern w:val="0"/>
                <w:sz w:val="21"/>
                <w:szCs w:val="21"/>
                <w:u w:val="none"/>
                <w:lang w:val="en-US" w:eastAsia="zh-CN" w:bidi="ar"/>
              </w:rPr>
              <w:t>保障住院麻风病人生活及医疗服务</w:t>
            </w:r>
          </w:p>
          <w:p>
            <w:pPr>
              <w:keepNext w:val="0"/>
              <w:keepLines w:val="0"/>
              <w:widowControl/>
              <w:suppressLineNumbers w:val="0"/>
              <w:jc w:val="both"/>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目标2：开展</w:t>
            </w:r>
            <w:r>
              <w:rPr>
                <w:rFonts w:hint="eastAsia" w:ascii="宋体" w:hAnsi="宋体" w:cs="宋体"/>
                <w:i w:val="0"/>
                <w:iCs w:val="0"/>
                <w:color w:val="auto"/>
                <w:w w:val="90"/>
                <w:kern w:val="0"/>
                <w:sz w:val="21"/>
                <w:szCs w:val="21"/>
                <w:u w:val="none"/>
                <w:lang w:val="en-US" w:eastAsia="zh-CN" w:bidi="ar"/>
              </w:rPr>
              <w:t>全市</w:t>
            </w:r>
            <w:r>
              <w:rPr>
                <w:rFonts w:hint="eastAsia" w:ascii="宋体" w:hAnsi="宋体" w:eastAsia="宋体" w:cs="宋体"/>
                <w:i w:val="0"/>
                <w:iCs w:val="0"/>
                <w:color w:val="auto"/>
                <w:w w:val="90"/>
                <w:kern w:val="0"/>
                <w:sz w:val="21"/>
                <w:szCs w:val="21"/>
                <w:u w:val="none"/>
                <w:lang w:val="en-US" w:eastAsia="zh-CN" w:bidi="ar"/>
              </w:rPr>
              <w:t>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性病监测</w:t>
            </w:r>
            <w:r>
              <w:rPr>
                <w:rFonts w:hint="eastAsia" w:ascii="宋体" w:hAnsi="宋体" w:cs="宋体"/>
                <w:i w:val="0"/>
                <w:iCs w:val="0"/>
                <w:color w:val="auto"/>
                <w:w w:val="90"/>
                <w:kern w:val="0"/>
                <w:sz w:val="21"/>
                <w:szCs w:val="21"/>
                <w:u w:val="none"/>
                <w:lang w:val="en-US" w:eastAsia="zh-CN" w:bidi="ar"/>
              </w:rPr>
              <w:t>、检测、治疗和疫情报告管理</w:t>
            </w:r>
          </w:p>
          <w:p>
            <w:pPr>
              <w:keepNext w:val="0"/>
              <w:keepLines w:val="0"/>
              <w:widowControl/>
              <w:suppressLineNumbers w:val="0"/>
              <w:jc w:val="both"/>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目标3：开展麻风病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性病专业</w:t>
            </w:r>
            <w:r>
              <w:rPr>
                <w:rFonts w:hint="eastAsia" w:ascii="宋体" w:hAnsi="宋体" w:cs="宋体"/>
                <w:i w:val="0"/>
                <w:iCs w:val="0"/>
                <w:color w:val="auto"/>
                <w:w w:val="90"/>
                <w:kern w:val="0"/>
                <w:sz w:val="21"/>
                <w:szCs w:val="21"/>
                <w:u w:val="none"/>
                <w:lang w:val="en-US" w:eastAsia="zh-CN" w:bidi="ar"/>
              </w:rPr>
              <w:t>技术</w:t>
            </w:r>
            <w:r>
              <w:rPr>
                <w:rFonts w:hint="eastAsia" w:ascii="宋体" w:hAnsi="宋体" w:eastAsia="宋体" w:cs="宋体"/>
                <w:i w:val="0"/>
                <w:iCs w:val="0"/>
                <w:color w:val="auto"/>
                <w:w w:val="90"/>
                <w:kern w:val="0"/>
                <w:sz w:val="21"/>
                <w:szCs w:val="21"/>
                <w:u w:val="none"/>
                <w:lang w:val="en-US" w:eastAsia="zh-CN" w:bidi="ar"/>
              </w:rPr>
              <w:t>培训</w:t>
            </w:r>
            <w:r>
              <w:rPr>
                <w:rFonts w:hint="eastAsia" w:ascii="宋体" w:hAnsi="宋体" w:cs="宋体"/>
                <w:i w:val="0"/>
                <w:iCs w:val="0"/>
                <w:color w:val="auto"/>
                <w:w w:val="90"/>
                <w:kern w:val="0"/>
                <w:sz w:val="21"/>
                <w:szCs w:val="21"/>
                <w:u w:val="none"/>
                <w:lang w:val="en-US" w:eastAsia="zh-CN" w:bidi="ar"/>
              </w:rPr>
              <w:t>、工作督导及社会宣传</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both"/>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目标4：开展性病患者转介支持及规范化医疗服务</w:t>
            </w:r>
          </w:p>
          <w:p>
            <w:pPr>
              <w:keepNext w:val="0"/>
              <w:keepLines w:val="0"/>
              <w:widowControl/>
              <w:suppressLineNumbers w:val="0"/>
              <w:jc w:val="both"/>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目标5：</w:t>
            </w:r>
            <w:r>
              <w:rPr>
                <w:rFonts w:hint="eastAsia" w:ascii="宋体" w:hAnsi="宋体" w:cs="宋体"/>
                <w:i w:val="0"/>
                <w:iCs w:val="0"/>
                <w:color w:val="auto"/>
                <w:w w:val="90"/>
                <w:kern w:val="0"/>
                <w:sz w:val="21"/>
                <w:szCs w:val="21"/>
                <w:u w:val="none"/>
                <w:lang w:val="en-US" w:eastAsia="zh-CN" w:bidi="ar"/>
              </w:rPr>
              <w:t>开展全市VCT、100%CUP及PITC工作督导和指导</w:t>
            </w:r>
          </w:p>
          <w:p>
            <w:pPr>
              <w:keepNext w:val="0"/>
              <w:keepLines w:val="0"/>
              <w:widowControl/>
              <w:suppressLineNumbers w:val="0"/>
              <w:jc w:val="both"/>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目标6：开展入组艾滋病感染者管理</w:t>
            </w:r>
          </w:p>
          <w:p>
            <w:pPr>
              <w:keepNext w:val="0"/>
              <w:keepLines w:val="0"/>
              <w:widowControl/>
              <w:suppressLineNumbers w:val="0"/>
              <w:jc w:val="both"/>
              <w:textAlignment w:val="top"/>
              <w:rPr>
                <w:rFonts w:hint="default"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目标7：加强公共卫生重点专学科建设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6"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长期目标1：</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规范开展</w:t>
            </w:r>
            <w:r>
              <w:rPr>
                <w:rFonts w:hint="eastAsia" w:ascii="宋体" w:hAnsi="宋体" w:eastAsia="宋体" w:cs="宋体"/>
                <w:i w:val="0"/>
                <w:iCs w:val="0"/>
                <w:color w:val="auto"/>
                <w:w w:val="90"/>
                <w:kern w:val="0"/>
                <w:sz w:val="21"/>
                <w:szCs w:val="21"/>
                <w:u w:val="none"/>
                <w:lang w:val="en-US" w:eastAsia="zh-CN" w:bidi="ar"/>
              </w:rPr>
              <w:t>麻风病防治工作，</w:t>
            </w:r>
            <w:r>
              <w:rPr>
                <w:rFonts w:hint="eastAsia" w:ascii="宋体" w:hAnsi="宋体" w:cs="宋体"/>
                <w:i w:val="0"/>
                <w:iCs w:val="0"/>
                <w:color w:val="auto"/>
                <w:w w:val="90"/>
                <w:kern w:val="0"/>
                <w:sz w:val="21"/>
                <w:szCs w:val="21"/>
                <w:u w:val="none"/>
                <w:lang w:val="en-US" w:eastAsia="zh-CN" w:bidi="ar"/>
              </w:rPr>
              <w:t>以</w:t>
            </w:r>
            <w:r>
              <w:rPr>
                <w:rFonts w:hint="eastAsia" w:ascii="宋体" w:hAnsi="宋体" w:eastAsia="宋体" w:cs="宋体"/>
                <w:i w:val="0"/>
                <w:iCs w:val="0"/>
                <w:color w:val="auto"/>
                <w:w w:val="90"/>
                <w:kern w:val="0"/>
                <w:sz w:val="21"/>
                <w:szCs w:val="21"/>
                <w:u w:val="none"/>
                <w:lang w:val="en-US" w:eastAsia="zh-CN" w:bidi="ar"/>
              </w:rPr>
              <w:t>打造国家区域中心</w:t>
            </w:r>
            <w:r>
              <w:rPr>
                <w:rFonts w:hint="eastAsia" w:ascii="宋体" w:hAnsi="宋体" w:cs="宋体"/>
                <w:i w:val="0"/>
                <w:iCs w:val="0"/>
                <w:color w:val="auto"/>
                <w:w w:val="90"/>
                <w:kern w:val="0"/>
                <w:sz w:val="21"/>
                <w:szCs w:val="21"/>
                <w:u w:val="none"/>
                <w:lang w:val="en-US" w:eastAsia="zh-CN" w:bidi="ar"/>
              </w:rPr>
              <w:t>为目标</w:t>
            </w:r>
            <w:r>
              <w:rPr>
                <w:rFonts w:hint="eastAsia" w:ascii="宋体" w:hAnsi="宋体" w:eastAsia="宋体" w:cs="宋体"/>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全面加强武汉麻风中心能力建设，推进住院麻风病人生命全周期健康管理，</w:t>
            </w:r>
            <w:r>
              <w:rPr>
                <w:rFonts w:hint="eastAsia" w:ascii="宋体" w:hAnsi="宋体" w:eastAsia="宋体" w:cs="宋体"/>
                <w:i w:val="0"/>
                <w:iCs w:val="0"/>
                <w:color w:val="auto"/>
                <w:w w:val="90"/>
                <w:kern w:val="0"/>
                <w:sz w:val="21"/>
                <w:szCs w:val="21"/>
                <w:u w:val="none"/>
                <w:lang w:val="en-US" w:eastAsia="zh-CN" w:bidi="ar"/>
              </w:rPr>
              <w:t>切实消除麻风危害。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rPr>
            </w:pPr>
            <w:r>
              <w:rPr>
                <w:rFonts w:hint="eastAsia" w:ascii="宋体" w:hAnsi="宋体" w:eastAsia="宋体" w:cs="宋体"/>
                <w:i w:val="0"/>
                <w:iCs w:val="0"/>
                <w:color w:val="auto"/>
                <w:w w:val="90"/>
                <w:kern w:val="0"/>
                <w:sz w:val="21"/>
                <w:szCs w:val="21"/>
                <w:u w:val="none"/>
                <w:lang w:val="en-US" w:eastAsia="zh-CN" w:bidi="ar"/>
              </w:rPr>
              <w:t>长期绩效指标</w:t>
            </w:r>
            <w:r>
              <w:rPr>
                <w:rFonts w:hint="eastAsia" w:ascii="宋体" w:hAnsi="宋体" w:cs="宋体"/>
                <w:i w:val="0"/>
                <w:iCs w:val="0"/>
                <w:color w:val="auto"/>
                <w:w w:val="90"/>
                <w:kern w:val="0"/>
                <w:sz w:val="21"/>
                <w:szCs w:val="21"/>
                <w:u w:val="none"/>
                <w:lang w:val="en-US" w:eastAsia="zh-CN" w:bidi="ar"/>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一级</w:t>
            </w:r>
          </w:p>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二级指标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三级指标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产出</w:t>
            </w:r>
          </w:p>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武汉市</w:t>
            </w:r>
            <w:r>
              <w:rPr>
                <w:rFonts w:hint="eastAsia" w:ascii="宋体" w:hAnsi="宋体" w:eastAsia="宋体" w:cs="宋体"/>
                <w:i w:val="0"/>
                <w:iCs w:val="0"/>
                <w:color w:val="auto"/>
                <w:w w:val="90"/>
                <w:kern w:val="0"/>
                <w:sz w:val="21"/>
                <w:szCs w:val="21"/>
                <w:u w:val="none"/>
                <w:lang w:val="en-US" w:eastAsia="zh-CN" w:bidi="ar"/>
              </w:rPr>
              <w:t>麻风病患病率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≤0.05/万</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行业标准（国家</w:t>
            </w:r>
            <w:r>
              <w:rPr>
                <w:rFonts w:hint="eastAsia" w:ascii="宋体" w:hAnsi="宋体" w:eastAsia="宋体" w:cs="宋体"/>
                <w:i w:val="0"/>
                <w:iCs w:val="0"/>
                <w:color w:val="auto"/>
                <w:w w:val="90"/>
                <w:kern w:val="0"/>
                <w:sz w:val="21"/>
                <w:szCs w:val="21"/>
                <w:u w:val="none"/>
                <w:lang w:val="en-US" w:eastAsia="zh-CN" w:bidi="ar"/>
              </w:rPr>
              <w:t>基消标准为0.5/万</w:t>
            </w:r>
            <w:r>
              <w:rPr>
                <w:rFonts w:hint="eastAsia" w:ascii="宋体" w:hAnsi="宋体" w:cs="宋体"/>
                <w:i w:val="0"/>
                <w:iCs w:val="0"/>
                <w:color w:val="auto"/>
                <w:w w:val="9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67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新发麻风病人联合化疗覆盖率、规则治疗率</w:t>
            </w:r>
          </w:p>
        </w:tc>
        <w:tc>
          <w:tcPr>
            <w:tcW w:w="3602" w:type="dxa"/>
            <w:gridSpan w:val="4"/>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100%</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≥98%</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行业标准（</w:t>
            </w:r>
            <w:r>
              <w:rPr>
                <w:rFonts w:hint="eastAsia" w:ascii="宋体" w:hAnsi="宋体" w:eastAsia="宋体" w:cs="宋体"/>
                <w:i w:val="0"/>
                <w:iCs w:val="0"/>
                <w:color w:val="auto"/>
                <w:w w:val="90"/>
                <w:kern w:val="0"/>
                <w:sz w:val="21"/>
                <w:szCs w:val="21"/>
                <w:u w:val="none"/>
                <w:lang w:val="en-US" w:eastAsia="zh-CN" w:bidi="ar"/>
              </w:rPr>
              <w:t>省标</w:t>
            </w:r>
            <w:r>
              <w:rPr>
                <w:rFonts w:hint="eastAsia" w:ascii="宋体" w:hAnsi="宋体" w:cs="宋体"/>
                <w:i w:val="0"/>
                <w:iCs w:val="0"/>
                <w:color w:val="auto"/>
                <w:w w:val="90"/>
                <w:kern w:val="0"/>
                <w:sz w:val="21"/>
                <w:szCs w:val="21"/>
                <w:u w:val="none"/>
                <w:lang w:val="en-US" w:eastAsia="zh-CN" w:bidi="ar"/>
              </w:rPr>
              <w:t>和</w:t>
            </w:r>
            <w:r>
              <w:rPr>
                <w:rFonts w:hint="eastAsia" w:ascii="宋体" w:hAnsi="宋体" w:eastAsia="宋体" w:cs="宋体"/>
                <w:i w:val="0"/>
                <w:iCs w:val="0"/>
                <w:color w:val="auto"/>
                <w:w w:val="90"/>
                <w:kern w:val="0"/>
                <w:sz w:val="21"/>
                <w:szCs w:val="21"/>
                <w:u w:val="none"/>
                <w:lang w:val="en-US" w:eastAsia="zh-CN" w:bidi="ar"/>
              </w:rPr>
              <w:t>国标分别为100%</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≥98%</w:t>
            </w:r>
            <w:r>
              <w:rPr>
                <w:rFonts w:hint="eastAsia" w:ascii="宋体" w:hAnsi="宋体" w:cs="宋体"/>
                <w:i w:val="0"/>
                <w:iCs w:val="0"/>
                <w:color w:val="auto"/>
                <w:w w:val="9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住院麻风病人健康管理覆盖率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100%</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计划</w:t>
            </w:r>
            <w:r>
              <w:rPr>
                <w:rFonts w:hint="eastAsia" w:ascii="宋体" w:hAnsi="宋体" w:cs="宋体"/>
                <w:i w:val="0"/>
                <w:iCs w:val="0"/>
                <w:color w:val="auto"/>
                <w:w w:val="90"/>
                <w:kern w:val="0"/>
                <w:sz w:val="21"/>
                <w:szCs w:val="21"/>
                <w:u w:val="none"/>
                <w:lang w:val="en-US" w:eastAsia="zh-CN" w:bidi="ar"/>
              </w:rPr>
              <w:t>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新发麻风病人密切接触者每年随访监测率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≥95%</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行业标准（</w:t>
            </w:r>
            <w:r>
              <w:rPr>
                <w:rFonts w:hint="eastAsia" w:ascii="宋体" w:hAnsi="宋体" w:eastAsia="宋体" w:cs="宋体"/>
                <w:i w:val="0"/>
                <w:iCs w:val="0"/>
                <w:color w:val="auto"/>
                <w:w w:val="90"/>
                <w:kern w:val="0"/>
                <w:sz w:val="21"/>
                <w:szCs w:val="21"/>
                <w:u w:val="none"/>
                <w:lang w:val="en-US" w:eastAsia="zh-CN" w:bidi="ar"/>
              </w:rPr>
              <w:t>省标</w:t>
            </w:r>
            <w:r>
              <w:rPr>
                <w:rFonts w:hint="eastAsia" w:ascii="宋体" w:hAnsi="宋体" w:cs="宋体"/>
                <w:i w:val="0"/>
                <w:iCs w:val="0"/>
                <w:color w:val="auto"/>
                <w:w w:val="90"/>
                <w:kern w:val="0"/>
                <w:sz w:val="21"/>
                <w:szCs w:val="21"/>
                <w:u w:val="none"/>
                <w:lang w:val="en-US" w:eastAsia="zh-CN" w:bidi="ar"/>
              </w:rPr>
              <w:t>和</w:t>
            </w:r>
            <w:r>
              <w:rPr>
                <w:rFonts w:hint="eastAsia" w:ascii="宋体" w:hAnsi="宋体" w:eastAsia="宋体" w:cs="宋体"/>
                <w:i w:val="0"/>
                <w:iCs w:val="0"/>
                <w:color w:val="auto"/>
                <w:w w:val="90"/>
                <w:kern w:val="0"/>
                <w:sz w:val="21"/>
                <w:szCs w:val="21"/>
                <w:u w:val="none"/>
                <w:lang w:val="en-US" w:eastAsia="zh-CN" w:bidi="ar"/>
              </w:rPr>
              <w:t>国标</w:t>
            </w:r>
            <w:r>
              <w:rPr>
                <w:rFonts w:hint="eastAsia" w:ascii="宋体" w:hAnsi="宋体" w:cs="宋体"/>
                <w:i w:val="0"/>
                <w:iCs w:val="0"/>
                <w:color w:val="auto"/>
                <w:w w:val="90"/>
                <w:kern w:val="0"/>
                <w:sz w:val="21"/>
                <w:szCs w:val="21"/>
                <w:u w:val="none"/>
                <w:lang w:val="en-US" w:eastAsia="zh-CN" w:bidi="ar"/>
              </w:rPr>
              <w:t>均为</w:t>
            </w:r>
            <w:r>
              <w:rPr>
                <w:rFonts w:hint="eastAsia" w:ascii="宋体" w:hAnsi="宋体" w:eastAsia="宋体" w:cs="宋体"/>
                <w:i w:val="0"/>
                <w:iCs w:val="0"/>
                <w:color w:val="auto"/>
                <w:w w:val="90"/>
                <w:kern w:val="0"/>
                <w:sz w:val="21"/>
                <w:szCs w:val="21"/>
                <w:u w:val="none"/>
                <w:lang w:val="en-US" w:eastAsia="zh-CN" w:bidi="ar"/>
              </w:rPr>
              <w:t>≥9</w:t>
            </w:r>
            <w:r>
              <w:rPr>
                <w:rFonts w:hint="eastAsia" w:ascii="宋体" w:hAnsi="宋体" w:cs="宋体"/>
                <w:i w:val="0"/>
                <w:iCs w:val="0"/>
                <w:color w:val="auto"/>
                <w:w w:val="90"/>
                <w:kern w:val="0"/>
                <w:sz w:val="21"/>
                <w:szCs w:val="21"/>
                <w:u w:val="none"/>
                <w:lang w:val="en-US" w:eastAsia="zh-CN" w:bidi="ar"/>
              </w:rPr>
              <w:t>5</w:t>
            </w:r>
            <w:r>
              <w:rPr>
                <w:rFonts w:hint="eastAsia" w:ascii="宋体" w:hAnsi="宋体" w:eastAsia="宋体" w:cs="宋体"/>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质量指标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全市住院麻风病人</w:t>
            </w:r>
            <w:r>
              <w:rPr>
                <w:rFonts w:hint="eastAsia" w:ascii="宋体" w:hAnsi="宋体" w:eastAsia="宋体" w:cs="宋体"/>
                <w:i w:val="0"/>
                <w:iCs w:val="0"/>
                <w:color w:val="auto"/>
                <w:w w:val="90"/>
                <w:kern w:val="0"/>
                <w:sz w:val="21"/>
                <w:szCs w:val="21"/>
                <w:u w:val="none"/>
                <w:lang w:val="en-US" w:eastAsia="zh-CN" w:bidi="ar"/>
              </w:rPr>
              <w:t>危急重症及时救治率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100%</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计划</w:t>
            </w:r>
            <w:r>
              <w:rPr>
                <w:rFonts w:hint="eastAsia" w:ascii="宋体" w:hAnsi="宋体" w:cs="宋体"/>
                <w:i w:val="0"/>
                <w:iCs w:val="0"/>
                <w:color w:val="auto"/>
                <w:w w:val="90"/>
                <w:kern w:val="0"/>
                <w:sz w:val="21"/>
                <w:szCs w:val="21"/>
                <w:u w:val="none"/>
                <w:lang w:val="en-US" w:eastAsia="zh-CN" w:bidi="ar"/>
              </w:rPr>
              <w:t>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质量指标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新发和复发麻风病病例及时报告率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w w:val="90"/>
                <w:sz w:val="21"/>
                <w:szCs w:val="21"/>
                <w:u w:val="none"/>
                <w:lang w:val="en-US"/>
              </w:rPr>
            </w:pPr>
            <w:r>
              <w:rPr>
                <w:rFonts w:hint="eastAsia" w:ascii="宋体" w:hAnsi="宋体" w:cs="宋体"/>
                <w:i w:val="0"/>
                <w:iCs w:val="0"/>
                <w:color w:val="auto"/>
                <w:w w:val="90"/>
                <w:kern w:val="0"/>
                <w:sz w:val="21"/>
                <w:szCs w:val="21"/>
                <w:u w:val="none"/>
                <w:lang w:val="en-US" w:eastAsia="zh-CN" w:bidi="ar"/>
              </w:rPr>
              <w:t>100</w:t>
            </w:r>
            <w:r>
              <w:rPr>
                <w:rFonts w:hint="eastAsia" w:ascii="宋体" w:hAnsi="宋体" w:eastAsia="宋体" w:cs="宋体"/>
                <w:i w:val="0"/>
                <w:iCs w:val="0"/>
                <w:color w:val="auto"/>
                <w:w w:val="90"/>
                <w:kern w:val="0"/>
                <w:sz w:val="21"/>
                <w:szCs w:val="21"/>
                <w:u w:val="none"/>
                <w:lang w:val="en-US" w:eastAsia="zh-CN" w:bidi="ar"/>
              </w:rPr>
              <w:t>%</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质量指标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网络直报疫情报告准确率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95%</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计划</w:t>
            </w:r>
            <w:r>
              <w:rPr>
                <w:rFonts w:hint="eastAsia" w:ascii="宋体" w:hAnsi="宋体" w:cs="宋体"/>
                <w:i w:val="0"/>
                <w:iCs w:val="0"/>
                <w:color w:val="auto"/>
                <w:w w:val="90"/>
                <w:kern w:val="0"/>
                <w:sz w:val="21"/>
                <w:szCs w:val="21"/>
                <w:u w:val="none"/>
                <w:lang w:val="en-US" w:eastAsia="zh-CN" w:bidi="ar"/>
              </w:rPr>
              <w:t>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时效指标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麻风院区突发事件应急响应时间</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w w:val="90"/>
                <w:sz w:val="21"/>
                <w:szCs w:val="21"/>
                <w:u w:val="none"/>
                <w:lang w:val="en-US" w:eastAsia="zh-CN"/>
              </w:rPr>
            </w:pPr>
            <w:r>
              <w:rPr>
                <w:rFonts w:hint="default" w:ascii="Arial" w:hAnsi="Arial" w:eastAsia="宋体" w:cs="Arial"/>
                <w:i w:val="0"/>
                <w:iCs w:val="0"/>
                <w:color w:val="auto"/>
                <w:w w:val="90"/>
                <w:sz w:val="21"/>
                <w:szCs w:val="21"/>
                <w:u w:val="none"/>
                <w:lang w:eastAsia="zh-CN"/>
              </w:rPr>
              <w:t>≤</w:t>
            </w:r>
            <w:r>
              <w:rPr>
                <w:rFonts w:hint="eastAsia" w:ascii="宋体" w:hAnsi="宋体" w:cs="宋体"/>
                <w:i w:val="0"/>
                <w:iCs w:val="0"/>
                <w:color w:val="auto"/>
                <w:w w:val="90"/>
                <w:sz w:val="21"/>
                <w:szCs w:val="21"/>
                <w:u w:val="none"/>
                <w:lang w:val="en-US" w:eastAsia="zh-CN"/>
              </w:rPr>
              <w:t>30分钟</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计划</w:t>
            </w:r>
            <w:r>
              <w:rPr>
                <w:rFonts w:hint="eastAsia" w:ascii="宋体" w:hAnsi="宋体" w:cs="宋体"/>
                <w:i w:val="0"/>
                <w:iCs w:val="0"/>
                <w:color w:val="auto"/>
                <w:w w:val="90"/>
                <w:kern w:val="0"/>
                <w:sz w:val="21"/>
                <w:szCs w:val="21"/>
                <w:u w:val="none"/>
                <w:lang w:val="en-US" w:eastAsia="zh-CN" w:bidi="ar"/>
              </w:rPr>
              <w:t>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效益</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Arial"/>
                <w:color w:val="000000"/>
                <w:w w:val="80"/>
                <w:kern w:val="0"/>
                <w:szCs w:val="21"/>
                <w:lang w:val="en-US" w:eastAsia="zh-CN"/>
              </w:rPr>
              <w:t>可持续影响指标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Arial"/>
                <w:color w:val="000000"/>
                <w:w w:val="80"/>
                <w:kern w:val="0"/>
                <w:sz w:val="21"/>
                <w:szCs w:val="21"/>
                <w:lang w:val="en-US" w:eastAsia="zh-CN" w:bidi="ar-SA"/>
              </w:rPr>
              <w:t>武汉麻风中心维稳和社会治安综合治理工作是否达标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达标</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其他依据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满意度</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服务对象</w:t>
            </w:r>
            <w:r>
              <w:rPr>
                <w:rFonts w:hint="eastAsia" w:ascii="宋体" w:hAnsi="宋体" w:eastAsia="宋体" w:cs="宋体"/>
                <w:i w:val="0"/>
                <w:iCs w:val="0"/>
                <w:color w:val="auto"/>
                <w:w w:val="90"/>
                <w:kern w:val="0"/>
                <w:sz w:val="21"/>
                <w:szCs w:val="21"/>
                <w:u w:val="none"/>
                <w:lang w:val="en-US" w:eastAsia="zh-CN" w:bidi="ar"/>
              </w:rPr>
              <w:t>满意度</w:t>
            </w:r>
            <w:r>
              <w:rPr>
                <w:rStyle w:val="14"/>
                <w:color w:val="auto"/>
                <w:w w:val="90"/>
                <w:u w:val="none"/>
                <w:lang w:val="en-US" w:eastAsia="zh-CN" w:bidi="ar"/>
              </w:rPr>
              <w:t>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Arial"/>
                <w:color w:val="000000"/>
                <w:w w:val="80"/>
                <w:kern w:val="0"/>
                <w:szCs w:val="21"/>
                <w:lang w:val="en-US" w:eastAsia="zh-CN"/>
              </w:rPr>
              <w:t>麻风病人对生活和医疗服务满意率</w:t>
            </w:r>
          </w:p>
        </w:tc>
        <w:tc>
          <w:tcPr>
            <w:tcW w:w="360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≥9</w:t>
            </w:r>
            <w:r>
              <w:rPr>
                <w:rFonts w:hint="eastAsia" w:ascii="宋体" w:hAnsi="宋体" w:cs="宋体"/>
                <w:i w:val="0"/>
                <w:iCs w:val="0"/>
                <w:color w:val="auto"/>
                <w:w w:val="90"/>
                <w:kern w:val="0"/>
                <w:sz w:val="21"/>
                <w:szCs w:val="21"/>
                <w:u w:val="none"/>
                <w:lang w:val="en-US" w:eastAsia="zh-CN" w:bidi="ar"/>
              </w:rPr>
              <w:t>0</w:t>
            </w:r>
            <w:r>
              <w:rPr>
                <w:rFonts w:hint="eastAsia" w:ascii="宋体" w:hAnsi="宋体" w:eastAsia="宋体" w:cs="宋体"/>
                <w:i w:val="0"/>
                <w:iCs w:val="0"/>
                <w:color w:val="auto"/>
                <w:w w:val="90"/>
                <w:kern w:val="0"/>
                <w:sz w:val="21"/>
                <w:szCs w:val="21"/>
                <w:u w:val="none"/>
                <w:lang w:val="en-US" w:eastAsia="zh-CN" w:bidi="ar"/>
              </w:rPr>
              <w:t>%</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计划</w:t>
            </w:r>
            <w:r>
              <w:rPr>
                <w:rFonts w:hint="eastAsia" w:ascii="宋体" w:hAnsi="宋体" w:cs="宋体"/>
                <w:i w:val="0"/>
                <w:iCs w:val="0"/>
                <w:color w:val="auto"/>
                <w:w w:val="90"/>
                <w:kern w:val="0"/>
                <w:sz w:val="21"/>
                <w:szCs w:val="21"/>
                <w:u w:val="none"/>
                <w:lang w:val="en-US" w:eastAsia="zh-CN" w:bidi="ar"/>
              </w:rPr>
              <w:t>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长期目标2：</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持续推动我市性病防治工作深入开展，积极落实以加强传染源（感染者和病人）管理为重点的综合防控措施，推动性病防治管融合发展，促进</w:t>
            </w:r>
            <w:r>
              <w:rPr>
                <w:rFonts w:hint="eastAsia" w:ascii="宋体" w:hAnsi="宋体" w:cs="宋体"/>
                <w:i w:val="0"/>
                <w:iCs w:val="0"/>
                <w:color w:val="auto"/>
                <w:w w:val="90"/>
                <w:kern w:val="0"/>
                <w:sz w:val="21"/>
                <w:szCs w:val="21"/>
                <w:u w:val="none"/>
                <w:lang w:val="en-US" w:eastAsia="zh-CN" w:bidi="ar"/>
              </w:rPr>
              <w:t>医防</w:t>
            </w:r>
            <w:r>
              <w:rPr>
                <w:rFonts w:hint="eastAsia" w:ascii="宋体" w:hAnsi="宋体" w:eastAsia="宋体" w:cs="宋体"/>
                <w:i w:val="0"/>
                <w:iCs w:val="0"/>
                <w:color w:val="auto"/>
                <w:w w:val="90"/>
                <w:kern w:val="0"/>
                <w:sz w:val="21"/>
                <w:szCs w:val="21"/>
                <w:u w:val="none"/>
                <w:lang w:val="en-US" w:eastAsia="zh-CN" w:bidi="ar"/>
              </w:rPr>
              <w:t>协同，有效遏制性病疫情蔓延。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rPr>
            </w:pPr>
            <w:r>
              <w:rPr>
                <w:rFonts w:hint="eastAsia" w:ascii="宋体" w:hAnsi="宋体" w:eastAsia="宋体" w:cs="宋体"/>
                <w:i w:val="0"/>
                <w:iCs w:val="0"/>
                <w:color w:val="auto"/>
                <w:w w:val="90"/>
                <w:kern w:val="0"/>
                <w:sz w:val="21"/>
                <w:szCs w:val="21"/>
                <w:u w:val="none"/>
                <w:lang w:val="en-US" w:eastAsia="zh-CN" w:bidi="ar"/>
              </w:rPr>
              <w:t>长期绩效指标</w:t>
            </w:r>
            <w:r>
              <w:rPr>
                <w:rFonts w:hint="eastAsia" w:ascii="宋体" w:hAnsi="宋体" w:cs="宋体"/>
                <w:i w:val="0"/>
                <w:iCs w:val="0"/>
                <w:color w:val="auto"/>
                <w:w w:val="90"/>
                <w:kern w:val="0"/>
                <w:sz w:val="21"/>
                <w:szCs w:val="21"/>
                <w:u w:val="none"/>
                <w:lang w:val="en-US" w:eastAsia="zh-CN" w:bidi="ar"/>
              </w:rPr>
              <w:t>2</w:t>
            </w: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一级指标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二级指标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三级指标</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早期</w:t>
            </w:r>
            <w:r>
              <w:rPr>
                <w:rFonts w:hint="eastAsia" w:ascii="宋体" w:hAnsi="宋体" w:eastAsia="宋体" w:cs="宋体"/>
                <w:i w:val="0"/>
                <w:iCs w:val="0"/>
                <w:color w:val="auto"/>
                <w:w w:val="90"/>
                <w:kern w:val="0"/>
                <w:sz w:val="21"/>
                <w:szCs w:val="21"/>
                <w:u w:val="none"/>
                <w:lang w:val="en-US" w:eastAsia="zh-CN" w:bidi="ar"/>
              </w:rPr>
              <w:t>梅毒报告</w:t>
            </w:r>
            <w:r>
              <w:rPr>
                <w:rFonts w:hint="eastAsia" w:ascii="宋体" w:hAnsi="宋体" w:cs="宋体"/>
                <w:i w:val="0"/>
                <w:iCs w:val="0"/>
                <w:color w:val="auto"/>
                <w:w w:val="90"/>
                <w:kern w:val="0"/>
                <w:sz w:val="21"/>
                <w:szCs w:val="21"/>
                <w:u w:val="none"/>
                <w:lang w:val="en-US" w:eastAsia="zh-CN" w:bidi="ar"/>
              </w:rPr>
              <w:t>病例数较上年增长</w:t>
            </w:r>
            <w:r>
              <w:rPr>
                <w:rFonts w:hint="eastAsia" w:ascii="宋体" w:hAnsi="宋体" w:eastAsia="宋体" w:cs="宋体"/>
                <w:i w:val="0"/>
                <w:iCs w:val="0"/>
                <w:color w:val="auto"/>
                <w:w w:val="90"/>
                <w:kern w:val="0"/>
                <w:sz w:val="21"/>
                <w:szCs w:val="21"/>
                <w:u w:val="none"/>
                <w:lang w:val="en-US" w:eastAsia="zh-CN" w:bidi="ar"/>
              </w:rPr>
              <w:t>率</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≤5%</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全市</w:t>
            </w:r>
            <w:r>
              <w:rPr>
                <w:rFonts w:hint="eastAsia" w:ascii="宋体" w:hAnsi="宋体" w:eastAsia="宋体" w:cs="宋体"/>
                <w:i w:val="0"/>
                <w:iCs w:val="0"/>
                <w:color w:val="auto"/>
                <w:w w:val="90"/>
                <w:kern w:val="0"/>
                <w:sz w:val="21"/>
                <w:szCs w:val="21"/>
                <w:u w:val="none"/>
                <w:lang w:val="en-US" w:eastAsia="zh-CN" w:bidi="ar"/>
              </w:rPr>
              <w:t>先天梅毒年报告发病率</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30/10万活产数以下</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全市二级以上医疗机构</w:t>
            </w:r>
            <w:r>
              <w:rPr>
                <w:rFonts w:hint="eastAsia" w:ascii="宋体" w:hAnsi="宋体" w:eastAsia="宋体" w:cs="宋体"/>
                <w:i w:val="0"/>
                <w:iCs w:val="0"/>
                <w:color w:val="auto"/>
                <w:w w:val="90"/>
                <w:kern w:val="0"/>
                <w:sz w:val="21"/>
                <w:szCs w:val="21"/>
                <w:u w:val="none"/>
                <w:lang w:val="en-US" w:eastAsia="zh-CN" w:bidi="ar"/>
              </w:rPr>
              <w:t>诊疗机构主动</w:t>
            </w:r>
            <w:r>
              <w:rPr>
                <w:rFonts w:hint="eastAsia" w:ascii="宋体" w:hAnsi="宋体" w:cs="宋体"/>
                <w:i w:val="0"/>
                <w:iCs w:val="0"/>
                <w:color w:val="auto"/>
                <w:w w:val="90"/>
                <w:kern w:val="0"/>
                <w:sz w:val="21"/>
                <w:szCs w:val="21"/>
                <w:u w:val="none"/>
                <w:lang w:val="en-US" w:eastAsia="zh-CN" w:bidi="ar"/>
              </w:rPr>
              <w:t>开展</w:t>
            </w:r>
            <w:r>
              <w:rPr>
                <w:rFonts w:hint="eastAsia" w:ascii="宋体" w:hAnsi="宋体" w:eastAsia="宋体" w:cs="宋体"/>
                <w:i w:val="0"/>
                <w:iCs w:val="0"/>
                <w:color w:val="auto"/>
                <w:w w:val="90"/>
                <w:kern w:val="0"/>
                <w:sz w:val="21"/>
                <w:szCs w:val="21"/>
                <w:u w:val="none"/>
                <w:lang w:val="en-US" w:eastAsia="zh-CN" w:bidi="ar"/>
              </w:rPr>
              <w:t>梅毒咨询检测服务的</w:t>
            </w:r>
            <w:r>
              <w:rPr>
                <w:rFonts w:hint="eastAsia" w:ascii="宋体" w:hAnsi="宋体" w:cs="宋体"/>
                <w:i w:val="0"/>
                <w:iCs w:val="0"/>
                <w:color w:val="auto"/>
                <w:w w:val="90"/>
                <w:kern w:val="0"/>
                <w:sz w:val="21"/>
                <w:szCs w:val="21"/>
                <w:u w:val="none"/>
                <w:lang w:val="en-US" w:eastAsia="zh-CN" w:bidi="ar"/>
              </w:rPr>
              <w:t>占比</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≥80%</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2"/>
                <w:sz w:val="21"/>
                <w:szCs w:val="21"/>
                <w:u w:val="none"/>
                <w:lang w:val="en-US" w:eastAsia="zh-CN" w:bidi="ar-SA"/>
              </w:rPr>
              <w:t>数量指标</w:t>
            </w:r>
          </w:p>
        </w:tc>
        <w:tc>
          <w:tcPr>
            <w:tcW w:w="1986" w:type="dxa"/>
            <w:gridSpan w:val="2"/>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2"/>
                <w:sz w:val="21"/>
                <w:szCs w:val="21"/>
                <w:u w:val="none"/>
                <w:lang w:val="en-US" w:eastAsia="zh-CN" w:bidi="ar-SA"/>
              </w:rPr>
              <w:t>全市二级以上医疗机构重点科室开展常规梅毒检测被纳入医院公共卫生质量考核目标的比例</w:t>
            </w:r>
          </w:p>
        </w:tc>
        <w:tc>
          <w:tcPr>
            <w:tcW w:w="1616" w:type="dxa"/>
            <w:gridSpan w:val="2"/>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2"/>
                <w:sz w:val="21"/>
                <w:szCs w:val="21"/>
                <w:u w:val="none"/>
                <w:lang w:val="en-US" w:eastAsia="zh-CN" w:bidi="ar-SA"/>
              </w:rPr>
              <w:t>100%</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质量</w:t>
            </w:r>
            <w:r>
              <w:rPr>
                <w:rStyle w:val="14"/>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性病网络报告</w:t>
            </w:r>
            <w:r>
              <w:rPr>
                <w:rFonts w:hint="eastAsia" w:ascii="宋体" w:hAnsi="宋体" w:eastAsia="宋体" w:cs="宋体"/>
                <w:i w:val="0"/>
                <w:iCs w:val="0"/>
                <w:color w:val="auto"/>
                <w:w w:val="90"/>
                <w:kern w:val="0"/>
                <w:sz w:val="21"/>
                <w:szCs w:val="21"/>
                <w:u w:val="none"/>
                <w:lang w:val="en-US" w:eastAsia="zh-CN" w:bidi="ar"/>
              </w:rPr>
              <w:t>病例</w:t>
            </w:r>
            <w:r>
              <w:rPr>
                <w:rFonts w:hint="eastAsia" w:ascii="宋体" w:hAnsi="宋体" w:cs="宋体"/>
                <w:i w:val="0"/>
                <w:iCs w:val="0"/>
                <w:color w:val="auto"/>
                <w:w w:val="90"/>
                <w:kern w:val="0"/>
                <w:sz w:val="21"/>
                <w:szCs w:val="21"/>
                <w:u w:val="none"/>
                <w:lang w:val="en-US" w:eastAsia="zh-CN" w:bidi="ar"/>
              </w:rPr>
              <w:t>及时审核率</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≥95%</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质量</w:t>
            </w:r>
            <w:r>
              <w:rPr>
                <w:rStyle w:val="14"/>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性病</w:t>
            </w:r>
            <w:r>
              <w:rPr>
                <w:rFonts w:hint="eastAsia" w:ascii="宋体" w:hAnsi="宋体" w:eastAsia="宋体" w:cs="宋体"/>
                <w:i w:val="0"/>
                <w:iCs w:val="0"/>
                <w:color w:val="auto"/>
                <w:w w:val="90"/>
                <w:kern w:val="0"/>
                <w:sz w:val="21"/>
                <w:szCs w:val="21"/>
                <w:u w:val="none"/>
                <w:lang w:val="en-US" w:eastAsia="zh-CN" w:bidi="ar"/>
              </w:rPr>
              <w:t>病例报告准确率</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≥95%</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时效指标</w:t>
            </w:r>
          </w:p>
        </w:tc>
        <w:tc>
          <w:tcPr>
            <w:tcW w:w="1986" w:type="dxa"/>
            <w:gridSpan w:val="2"/>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性病</w:t>
            </w:r>
            <w:r>
              <w:rPr>
                <w:rFonts w:hint="eastAsia" w:ascii="宋体" w:hAnsi="宋体" w:eastAsia="宋体" w:cs="宋体"/>
                <w:i w:val="0"/>
                <w:iCs w:val="0"/>
                <w:color w:val="auto"/>
                <w:w w:val="90"/>
                <w:kern w:val="0"/>
                <w:sz w:val="21"/>
                <w:szCs w:val="21"/>
                <w:u w:val="none"/>
                <w:lang w:val="en-US" w:eastAsia="zh-CN" w:bidi="ar"/>
              </w:rPr>
              <w:t>病例报告及时率</w:t>
            </w:r>
          </w:p>
        </w:tc>
        <w:tc>
          <w:tcPr>
            <w:tcW w:w="1616" w:type="dxa"/>
            <w:gridSpan w:val="2"/>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95</w:t>
            </w:r>
            <w:r>
              <w:rPr>
                <w:rFonts w:hint="eastAsia" w:ascii="宋体" w:hAnsi="宋体" w:eastAsia="宋体" w:cs="宋体"/>
                <w:i w:val="0"/>
                <w:iCs w:val="0"/>
                <w:color w:val="auto"/>
                <w:w w:val="90"/>
                <w:kern w:val="0"/>
                <w:sz w:val="21"/>
                <w:szCs w:val="21"/>
                <w:u w:val="none"/>
                <w:lang w:val="en-US" w:eastAsia="zh-CN" w:bidi="ar"/>
              </w:rPr>
              <w:t>%</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0"/>
                <w:sz w:val="21"/>
                <w:szCs w:val="21"/>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可持续影响</w:t>
            </w:r>
            <w:r>
              <w:rPr>
                <w:rFonts w:hint="eastAsia" w:ascii="宋体" w:hAnsi="宋体" w:eastAsia="宋体" w:cs="宋体"/>
                <w:i w:val="0"/>
                <w:iCs w:val="0"/>
                <w:color w:val="auto"/>
                <w:w w:val="90"/>
                <w:kern w:val="0"/>
                <w:sz w:val="21"/>
                <w:szCs w:val="21"/>
                <w:u w:val="none"/>
                <w:lang w:val="en-US" w:eastAsia="zh-CN" w:bidi="ar"/>
              </w:rPr>
              <w:t>指标</w:t>
            </w: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全市性病疫情上升趋势是否得到持续有效遏制</w:t>
            </w: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是</w:t>
            </w:r>
          </w:p>
        </w:tc>
        <w:tc>
          <w:tcPr>
            <w:tcW w:w="245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1589" w:type="dxa"/>
            <w:vMerge w:val="continue"/>
            <w:tcBorders>
              <w:top w:val="single" w:color="000000" w:sz="4" w:space="0"/>
              <w:left w:val="single" w:color="000000" w:sz="4" w:space="0"/>
              <w:bottom w:val="single" w:color="000000" w:sz="12" w:space="0"/>
              <w:right w:val="single" w:color="000000" w:sz="4" w:space="0"/>
            </w:tcBorders>
            <w:noWrap w:val="0"/>
            <w:vAlign w:val="center"/>
          </w:tcPr>
          <w:p>
            <w:pPr>
              <w:jc w:val="center"/>
              <w:rPr>
                <w:rFonts w:hint="eastAsia" w:ascii="宋体" w:hAnsi="宋体" w:eastAsia="宋体" w:cs="宋体"/>
                <w:b w:val="0"/>
                <w:bCs w:val="0"/>
                <w:i w:val="0"/>
                <w:iCs w:val="0"/>
                <w:color w:val="auto"/>
                <w:w w:val="90"/>
                <w:sz w:val="21"/>
                <w:szCs w:val="21"/>
                <w:u w:val="none"/>
              </w:rPr>
            </w:pPr>
          </w:p>
        </w:tc>
        <w:tc>
          <w:tcPr>
            <w:tcW w:w="2014" w:type="dxa"/>
            <w:gridSpan w:val="2"/>
            <w:tcBorders>
              <w:top w:val="single" w:color="000000" w:sz="4" w:space="0"/>
              <w:left w:val="single" w:color="000000" w:sz="4" w:space="0"/>
              <w:bottom w:val="single" w:color="000000" w:sz="12"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w w:val="90"/>
                <w:sz w:val="21"/>
                <w:szCs w:val="21"/>
                <w:u w:val="none"/>
              </w:rPr>
            </w:pPr>
            <w:r>
              <w:rPr>
                <w:rFonts w:hint="eastAsia" w:ascii="宋体" w:hAnsi="宋体" w:eastAsia="宋体" w:cs="宋体"/>
                <w:b w:val="0"/>
                <w:bCs w:val="0"/>
                <w:i w:val="0"/>
                <w:iCs w:val="0"/>
                <w:color w:val="auto"/>
                <w:w w:val="90"/>
                <w:kern w:val="0"/>
                <w:sz w:val="21"/>
                <w:szCs w:val="21"/>
                <w:u w:val="none"/>
                <w:lang w:val="en-US" w:eastAsia="zh-CN" w:bidi="ar"/>
              </w:rPr>
              <w:t>满意度指标</w:t>
            </w:r>
          </w:p>
        </w:tc>
        <w:tc>
          <w:tcPr>
            <w:tcW w:w="1676"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val="0"/>
                <w:bCs w:val="0"/>
                <w:i w:val="0"/>
                <w:iCs w:val="0"/>
                <w:color w:val="auto"/>
                <w:w w:val="90"/>
                <w:sz w:val="21"/>
                <w:szCs w:val="21"/>
                <w:u w:val="none"/>
              </w:rPr>
            </w:pPr>
            <w:r>
              <w:rPr>
                <w:rFonts w:hint="eastAsia" w:ascii="宋体" w:hAnsi="宋体" w:cs="宋体"/>
                <w:b w:val="0"/>
                <w:bCs w:val="0"/>
                <w:i w:val="0"/>
                <w:iCs w:val="0"/>
                <w:color w:val="auto"/>
                <w:w w:val="90"/>
                <w:kern w:val="0"/>
                <w:sz w:val="21"/>
                <w:szCs w:val="21"/>
                <w:u w:val="none"/>
                <w:lang w:val="en-US" w:eastAsia="zh-CN" w:bidi="ar"/>
              </w:rPr>
              <w:t>服务对象</w:t>
            </w:r>
            <w:r>
              <w:rPr>
                <w:rFonts w:hint="eastAsia" w:ascii="宋体" w:hAnsi="宋体" w:eastAsia="宋体" w:cs="宋体"/>
                <w:b w:val="0"/>
                <w:bCs w:val="0"/>
                <w:i w:val="0"/>
                <w:iCs w:val="0"/>
                <w:color w:val="auto"/>
                <w:w w:val="90"/>
                <w:kern w:val="0"/>
                <w:sz w:val="21"/>
                <w:szCs w:val="21"/>
                <w:u w:val="none"/>
                <w:lang w:val="en-US" w:eastAsia="zh-CN" w:bidi="ar"/>
              </w:rPr>
              <w:t>满意度</w:t>
            </w:r>
            <w:r>
              <w:rPr>
                <w:rStyle w:val="14"/>
                <w:b w:val="0"/>
                <w:bCs w:val="0"/>
                <w:color w:val="auto"/>
                <w:w w:val="90"/>
                <w:u w:val="none"/>
                <w:lang w:val="en-US" w:eastAsia="zh-CN" w:bidi="ar"/>
              </w:rPr>
              <w:t>指标</w:t>
            </w:r>
          </w:p>
        </w:tc>
        <w:tc>
          <w:tcPr>
            <w:tcW w:w="1986" w:type="dxa"/>
            <w:gridSpan w:val="2"/>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患者</w:t>
            </w:r>
            <w:r>
              <w:rPr>
                <w:rFonts w:hint="eastAsia" w:ascii="宋体" w:hAnsi="宋体" w:eastAsia="宋体" w:cs="宋体"/>
                <w:i w:val="0"/>
                <w:iCs w:val="0"/>
                <w:color w:val="auto"/>
                <w:w w:val="90"/>
                <w:kern w:val="0"/>
                <w:sz w:val="21"/>
                <w:szCs w:val="21"/>
                <w:u w:val="none"/>
                <w:lang w:val="en-US" w:eastAsia="zh-CN" w:bidi="ar"/>
              </w:rPr>
              <w:t>对服务的满意度</w:t>
            </w:r>
          </w:p>
        </w:tc>
        <w:tc>
          <w:tcPr>
            <w:tcW w:w="1616" w:type="dxa"/>
            <w:gridSpan w:val="2"/>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≥9</w:t>
            </w:r>
            <w:r>
              <w:rPr>
                <w:rFonts w:hint="eastAsia" w:ascii="宋体" w:hAnsi="宋体" w:cs="宋体"/>
                <w:i w:val="0"/>
                <w:iCs w:val="0"/>
                <w:color w:val="auto"/>
                <w:w w:val="90"/>
                <w:kern w:val="0"/>
                <w:sz w:val="21"/>
                <w:szCs w:val="21"/>
                <w:u w:val="none"/>
                <w:lang w:val="en-US" w:eastAsia="zh-CN" w:bidi="ar"/>
              </w:rPr>
              <w:t>5</w:t>
            </w:r>
            <w:r>
              <w:rPr>
                <w:rFonts w:hint="eastAsia" w:ascii="宋体" w:hAnsi="宋体" w:eastAsia="宋体" w:cs="宋体"/>
                <w:i w:val="0"/>
                <w:iCs w:val="0"/>
                <w:color w:val="auto"/>
                <w:w w:val="90"/>
                <w:kern w:val="0"/>
                <w:sz w:val="21"/>
                <w:szCs w:val="21"/>
                <w:u w:val="none"/>
                <w:lang w:val="en-US" w:eastAsia="zh-CN" w:bidi="ar"/>
              </w:rPr>
              <w:t>%</w:t>
            </w:r>
          </w:p>
        </w:tc>
        <w:tc>
          <w:tcPr>
            <w:tcW w:w="2459" w:type="dxa"/>
            <w:gridSpan w:val="3"/>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auto"/>
                <w:w w:val="90"/>
                <w:sz w:val="21"/>
                <w:szCs w:val="21"/>
                <w:u w:val="none"/>
              </w:rPr>
            </w:pPr>
            <w:r>
              <w:rPr>
                <w:rFonts w:hint="eastAsia" w:ascii="宋体" w:hAnsi="宋体" w:eastAsia="宋体" w:cs="宋体"/>
                <w:b w:val="0"/>
                <w:bCs w:val="0"/>
                <w:i w:val="0"/>
                <w:iCs w:val="0"/>
                <w:color w:val="auto"/>
                <w:w w:val="90"/>
                <w:kern w:val="0"/>
                <w:sz w:val="21"/>
                <w:szCs w:val="21"/>
                <w:u w:val="none"/>
                <w:lang w:val="en-US" w:eastAsia="zh-CN" w:bidi="ar"/>
              </w:rPr>
              <w:t>年度目标1：</w:t>
            </w:r>
          </w:p>
        </w:tc>
        <w:tc>
          <w:tcPr>
            <w:tcW w:w="9751"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b w:val="0"/>
                <w:bCs w:val="0"/>
                <w:i w:val="0"/>
                <w:iCs w:val="0"/>
                <w:color w:val="auto"/>
                <w:w w:val="90"/>
                <w:sz w:val="21"/>
                <w:szCs w:val="21"/>
                <w:u w:val="none"/>
                <w:lang w:eastAsia="zh-CN"/>
              </w:rPr>
            </w:pPr>
            <w:r>
              <w:rPr>
                <w:rFonts w:hint="eastAsia" w:ascii="宋体" w:hAnsi="宋体" w:cs="宋体"/>
                <w:b w:val="0"/>
                <w:bCs w:val="0"/>
                <w:i w:val="0"/>
                <w:iCs w:val="0"/>
                <w:color w:val="auto"/>
                <w:w w:val="90"/>
                <w:kern w:val="0"/>
                <w:sz w:val="21"/>
                <w:szCs w:val="21"/>
                <w:u w:val="none"/>
                <w:lang w:val="en-US" w:eastAsia="zh-CN" w:bidi="ar"/>
              </w:rPr>
              <w:t>保障住院麻风病人生活及医疗服务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589" w:type="dxa"/>
            <w:vMerge w:val="restart"/>
            <w:tcBorders>
              <w:top w:val="single" w:color="000000" w:sz="4" w:space="0"/>
              <w:left w:val="single" w:color="000000" w:sz="4" w:space="0"/>
              <w:right w:val="single" w:color="000000" w:sz="4" w:space="0"/>
            </w:tcBorders>
            <w:noWrap w:val="0"/>
            <w:vAlign w:val="center"/>
          </w:tcPr>
          <w:p>
            <w:pPr>
              <w:jc w:val="center"/>
              <w:rPr>
                <w:rFonts w:hint="eastAsia" w:ascii="宋体" w:hAnsi="宋体" w:eastAsia="宋体" w:cs="宋体"/>
                <w:i w:val="0"/>
                <w:iCs w:val="0"/>
                <w:color w:val="000000"/>
                <w:w w:val="90"/>
                <w:sz w:val="21"/>
                <w:szCs w:val="21"/>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gridSpan w:val="2"/>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一级指标</w:t>
            </w:r>
          </w:p>
        </w:tc>
        <w:tc>
          <w:tcPr>
            <w:tcW w:w="1676"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二级指标</w:t>
            </w:r>
          </w:p>
        </w:tc>
        <w:tc>
          <w:tcPr>
            <w:tcW w:w="1986" w:type="dxa"/>
            <w:gridSpan w:val="2"/>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指标值</w:t>
            </w:r>
          </w:p>
        </w:tc>
        <w:tc>
          <w:tcPr>
            <w:tcW w:w="1309" w:type="dxa"/>
            <w:gridSpan w:val="2"/>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589" w:type="dxa"/>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pPr>
          </w:p>
        </w:tc>
        <w:tc>
          <w:tcPr>
            <w:tcW w:w="2014" w:type="dxa"/>
            <w:gridSpan w:val="2"/>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pPr>
          </w:p>
        </w:tc>
        <w:tc>
          <w:tcPr>
            <w:tcW w:w="1676" w:type="dxa"/>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pPr>
          </w:p>
        </w:tc>
        <w:tc>
          <w:tcPr>
            <w:tcW w:w="1986" w:type="dxa"/>
            <w:gridSpan w:val="2"/>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预期当年实现值</w:t>
            </w:r>
          </w:p>
        </w:tc>
        <w:tc>
          <w:tcPr>
            <w:tcW w:w="1309" w:type="dxa"/>
            <w:gridSpan w:val="2"/>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589" w:type="dxa"/>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c>
          <w:tcPr>
            <w:tcW w:w="2014" w:type="dxa"/>
            <w:gridSpan w:val="2"/>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c>
          <w:tcPr>
            <w:tcW w:w="1676"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c>
          <w:tcPr>
            <w:tcW w:w="1986" w:type="dxa"/>
            <w:gridSpan w:val="2"/>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上年</w:t>
            </w:r>
          </w:p>
        </w:tc>
        <w:tc>
          <w:tcPr>
            <w:tcW w:w="1150"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c>
          <w:tcPr>
            <w:tcW w:w="1309" w:type="dxa"/>
            <w:gridSpan w:val="2"/>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p>
        </w:tc>
      </w:tr>
    </w:tbl>
    <w:p/>
    <w:tbl>
      <w:tblPr>
        <w:tblStyle w:val="9"/>
        <w:tblW w:w="11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9"/>
        <w:gridCol w:w="2014"/>
        <w:gridCol w:w="1676"/>
        <w:gridCol w:w="1986"/>
        <w:gridCol w:w="800"/>
        <w:gridCol w:w="816"/>
        <w:gridCol w:w="1150"/>
        <w:gridCol w:w="13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restart"/>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restart"/>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18"/>
                <w:szCs w:val="18"/>
                <w:u w:val="none"/>
                <w:lang w:val="en-US" w:eastAsia="zh-CN" w:bidi="ar"/>
              </w:rPr>
            </w:pPr>
            <w:r>
              <w:rPr>
                <w:rFonts w:hint="eastAsia" w:ascii="宋体" w:hAnsi="宋体" w:eastAsia="宋体" w:cs="宋体"/>
                <w:i w:val="0"/>
                <w:iCs w:val="0"/>
                <w:color w:val="auto"/>
                <w:w w:val="90"/>
                <w:kern w:val="0"/>
                <w:sz w:val="18"/>
                <w:szCs w:val="18"/>
                <w:u w:val="none"/>
                <w:lang w:val="en-US" w:eastAsia="zh-CN" w:bidi="ar"/>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麻风病人健康管理覆盖率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bidi="ar-SA"/>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18"/>
                <w:szCs w:val="18"/>
                <w:u w:val="none"/>
                <w:lang w:val="en-US" w:eastAsia="zh-CN" w:bidi="ar"/>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危急重症</w:t>
            </w:r>
            <w:r>
              <w:rPr>
                <w:rFonts w:hint="eastAsia" w:ascii="宋体" w:hAnsi="宋体" w:cs="Arial"/>
                <w:color w:val="000000"/>
                <w:w w:val="80"/>
                <w:kern w:val="0"/>
                <w:sz w:val="21"/>
                <w:szCs w:val="21"/>
                <w:lang w:val="en-US" w:eastAsia="zh-CN"/>
              </w:rPr>
              <w:t>及时救治率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18"/>
                <w:szCs w:val="18"/>
                <w:u w:val="none"/>
                <w:lang w:val="en-US" w:eastAsia="zh-CN" w:bidi="ar"/>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后勤应急服务响应时间</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default" w:ascii="Arial" w:hAnsi="Arial" w:eastAsia="宋体" w:cs="Arial"/>
                <w:color w:val="000000"/>
                <w:w w:val="80"/>
                <w:kern w:val="0"/>
                <w:sz w:val="21"/>
                <w:szCs w:val="21"/>
                <w:lang w:val="en-US" w:eastAsia="zh-CN" w:bidi="ar-SA"/>
              </w:rPr>
              <w:t>≤</w:t>
            </w:r>
            <w:r>
              <w:rPr>
                <w:rFonts w:hint="eastAsia" w:ascii="Arial" w:hAnsi="Arial" w:eastAsia="宋体" w:cs="Arial"/>
                <w:color w:val="000000"/>
                <w:w w:val="80"/>
                <w:kern w:val="0"/>
                <w:sz w:val="21"/>
                <w:szCs w:val="21"/>
                <w:lang w:val="en-US" w:eastAsia="zh-CN" w:bidi="ar-SA"/>
              </w:rPr>
              <w:t>24小时</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default" w:ascii="Arial" w:hAnsi="Arial" w:eastAsia="宋体" w:cs="Arial"/>
                <w:color w:val="000000"/>
                <w:w w:val="80"/>
                <w:kern w:val="0"/>
                <w:sz w:val="21"/>
                <w:szCs w:val="21"/>
                <w:lang w:val="en-US" w:eastAsia="zh-CN" w:bidi="ar-SA"/>
              </w:rPr>
              <w:t>≤</w:t>
            </w:r>
            <w:r>
              <w:rPr>
                <w:rFonts w:hint="eastAsia" w:ascii="Arial" w:hAnsi="Arial" w:eastAsia="宋体" w:cs="Arial"/>
                <w:color w:val="000000"/>
                <w:w w:val="80"/>
                <w:kern w:val="0"/>
                <w:sz w:val="21"/>
                <w:szCs w:val="21"/>
                <w:lang w:val="en-US" w:eastAsia="zh-CN" w:bidi="ar-SA"/>
              </w:rPr>
              <w:t>24小时</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default" w:ascii="Arial" w:hAnsi="Arial" w:eastAsia="宋体" w:cs="Arial"/>
                <w:color w:val="000000"/>
                <w:w w:val="80"/>
                <w:kern w:val="0"/>
                <w:sz w:val="21"/>
                <w:szCs w:val="21"/>
                <w:lang w:val="en-US" w:eastAsia="zh-CN" w:bidi="ar-SA"/>
              </w:rPr>
              <w:t>≤</w:t>
            </w:r>
            <w:r>
              <w:rPr>
                <w:rFonts w:hint="eastAsia" w:ascii="Arial" w:hAnsi="Arial" w:eastAsia="宋体" w:cs="Arial"/>
                <w:color w:val="000000"/>
                <w:w w:val="80"/>
                <w:kern w:val="0"/>
                <w:sz w:val="21"/>
                <w:szCs w:val="21"/>
                <w:lang w:val="en-US" w:eastAsia="zh-CN" w:bidi="ar-SA"/>
              </w:rPr>
              <w:t>24小时</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社会效益指标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麻风院区维稳和社会治安综合治理工作是否长期达标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达标</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达标</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达标</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rPr>
              <w:t>休养老人对生活和医疗服务的满意度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95%</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Arial" w:hAnsi="Arial" w:eastAsia="宋体" w:cs="Arial"/>
                <w:color w:val="000000"/>
                <w:w w:val="80"/>
                <w:kern w:val="0"/>
                <w:sz w:val="21"/>
                <w:szCs w:val="21"/>
                <w:lang w:val="en-US" w:eastAsia="zh-CN"/>
              </w:rPr>
              <w:t>98%</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default" w:ascii="Arial" w:hAnsi="Arial" w:cs="Arial"/>
                <w:color w:val="000000"/>
                <w:w w:val="80"/>
                <w:kern w:val="0"/>
                <w:sz w:val="21"/>
                <w:szCs w:val="21"/>
              </w:rPr>
              <w:t>≥</w:t>
            </w:r>
            <w:r>
              <w:rPr>
                <w:rFonts w:hint="eastAsia" w:ascii="宋体" w:hAnsi="宋体" w:cs="Arial"/>
                <w:color w:val="000000"/>
                <w:w w:val="80"/>
                <w:kern w:val="0"/>
                <w:sz w:val="21"/>
                <w:szCs w:val="21"/>
              </w:rPr>
              <w:t>9</w:t>
            </w:r>
            <w:r>
              <w:rPr>
                <w:rFonts w:hint="eastAsia" w:ascii="宋体" w:hAnsi="宋体" w:cs="Arial"/>
                <w:color w:val="000000"/>
                <w:w w:val="80"/>
                <w:kern w:val="0"/>
                <w:sz w:val="21"/>
                <w:szCs w:val="21"/>
                <w:lang w:val="en-US" w:eastAsia="zh-CN"/>
              </w:rPr>
              <w:t>5</w:t>
            </w:r>
            <w:r>
              <w:rPr>
                <w:rFonts w:hint="eastAsia" w:ascii="宋体" w:hAnsi="宋体" w:cs="Arial"/>
                <w:color w:val="000000"/>
                <w:w w:val="80"/>
                <w:kern w:val="0"/>
                <w:sz w:val="21"/>
                <w:szCs w:val="21"/>
              </w:rPr>
              <w:t>%</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auto"/>
                <w:w w:val="90"/>
                <w:kern w:val="0"/>
                <w:sz w:val="21"/>
                <w:szCs w:val="21"/>
                <w:u w:val="none"/>
                <w:lang w:val="en-US" w:eastAsia="zh-CN" w:bidi="ar"/>
              </w:rPr>
              <w:t>年度目标</w:t>
            </w:r>
            <w:r>
              <w:rPr>
                <w:rFonts w:hint="eastAsia" w:ascii="宋体" w:hAnsi="宋体" w:cs="宋体"/>
                <w:i w:val="0"/>
                <w:iCs w:val="0"/>
                <w:color w:val="auto"/>
                <w:w w:val="90"/>
                <w:kern w:val="0"/>
                <w:sz w:val="21"/>
                <w:szCs w:val="21"/>
                <w:u w:val="none"/>
                <w:lang w:val="en-US" w:eastAsia="zh-CN" w:bidi="ar"/>
              </w:rPr>
              <w:t>2</w:t>
            </w:r>
            <w:r>
              <w:rPr>
                <w:rFonts w:hint="eastAsia" w:ascii="宋体" w:hAnsi="宋体" w:eastAsia="宋体" w:cs="宋体"/>
                <w:i w:val="0"/>
                <w:iCs w:val="0"/>
                <w:color w:val="auto"/>
                <w:w w:val="90"/>
                <w:kern w:val="0"/>
                <w:sz w:val="21"/>
                <w:szCs w:val="21"/>
                <w:u w:val="none"/>
                <w:lang w:val="en-US" w:eastAsia="zh-CN" w:bidi="ar"/>
              </w:rPr>
              <w:t>：</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开展</w:t>
            </w:r>
            <w:r>
              <w:rPr>
                <w:rFonts w:hint="eastAsia" w:ascii="宋体" w:hAnsi="宋体" w:cs="宋体"/>
                <w:i w:val="0"/>
                <w:iCs w:val="0"/>
                <w:color w:val="auto"/>
                <w:w w:val="90"/>
                <w:kern w:val="0"/>
                <w:sz w:val="21"/>
                <w:szCs w:val="21"/>
                <w:u w:val="none"/>
                <w:lang w:val="en-US" w:eastAsia="zh-CN" w:bidi="ar"/>
              </w:rPr>
              <w:t>全市</w:t>
            </w:r>
            <w:r>
              <w:rPr>
                <w:rFonts w:hint="eastAsia" w:ascii="宋体" w:hAnsi="宋体" w:eastAsia="宋体" w:cs="宋体"/>
                <w:i w:val="0"/>
                <w:iCs w:val="0"/>
                <w:color w:val="auto"/>
                <w:w w:val="90"/>
                <w:kern w:val="0"/>
                <w:sz w:val="21"/>
                <w:szCs w:val="21"/>
                <w:u w:val="none"/>
                <w:lang w:val="en-US" w:eastAsia="zh-CN" w:bidi="ar"/>
              </w:rPr>
              <w:t>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性病监测</w:t>
            </w:r>
            <w:r>
              <w:rPr>
                <w:rFonts w:hint="eastAsia" w:ascii="宋体" w:hAnsi="宋体" w:cs="宋体"/>
                <w:i w:val="0"/>
                <w:iCs w:val="0"/>
                <w:color w:val="auto"/>
                <w:w w:val="90"/>
                <w:kern w:val="0"/>
                <w:sz w:val="21"/>
                <w:szCs w:val="21"/>
                <w:u w:val="none"/>
                <w:lang w:val="en-US" w:eastAsia="zh-CN" w:bidi="ar"/>
              </w:rPr>
              <w:t>、检测、治疗和疫情报告管理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一级指标</w:t>
            </w:r>
          </w:p>
        </w:tc>
        <w:tc>
          <w:tcPr>
            <w:tcW w:w="16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二级指标</w:t>
            </w:r>
          </w:p>
        </w:tc>
        <w:tc>
          <w:tcPr>
            <w:tcW w:w="19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r>
              <w:rPr>
                <w:rFonts w:hint="eastAsia" w:ascii="宋体" w:hAnsi="宋体" w:eastAsia="宋体" w:cs="宋体"/>
                <w:i w:val="0"/>
                <w:iCs w:val="0"/>
                <w:color w:val="auto"/>
                <w:w w:val="90"/>
                <w:kern w:val="0"/>
                <w:sz w:val="21"/>
                <w:szCs w:val="21"/>
                <w:u w:val="none"/>
                <w:lang w:val="en-US" w:eastAsia="zh-CN" w:bidi="ar"/>
              </w:rPr>
              <w:t>指标值</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r>
              <w:rPr>
                <w:rFonts w:hint="eastAsia" w:ascii="宋体" w:hAnsi="宋体" w:eastAsia="宋体" w:cs="宋体"/>
                <w:i w:val="0"/>
                <w:iCs w:val="0"/>
                <w:color w:val="auto"/>
                <w:w w:val="90"/>
                <w:kern w:val="0"/>
                <w:sz w:val="21"/>
                <w:szCs w:val="21"/>
                <w:u w:val="none"/>
                <w:lang w:val="en-US" w:eastAsia="zh-CN" w:bidi="ar"/>
              </w:rPr>
              <w:t>预期当年实现值</w:t>
            </w:r>
          </w:p>
        </w:tc>
        <w:tc>
          <w:tcPr>
            <w:tcW w:w="1309" w:type="dxa"/>
            <w:vMerge w:val="continue"/>
            <w:tcBorders>
              <w:top w:val="single" w:color="000000" w:sz="4" w:space="0"/>
              <w:left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上年</w:t>
            </w:r>
          </w:p>
        </w:tc>
        <w:tc>
          <w:tcPr>
            <w:tcW w:w="1150"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p>
        </w:tc>
        <w:tc>
          <w:tcPr>
            <w:tcW w:w="1309"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restart"/>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性病、麻风病实验室诊断准确率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确诊性病、麻风病患者规范治疗率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性病、麻风病疫情报告及时率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both"/>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社会效益指标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全市性病、麻风病疫情是否保持平稳状态</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eastAsia="zh-CN"/>
              </w:rPr>
            </w:pPr>
            <w:r>
              <w:rPr>
                <w:rFonts w:hint="eastAsia" w:ascii="Arial" w:hAnsi="Arial" w:cs="Arial"/>
                <w:color w:val="000000"/>
                <w:w w:val="80"/>
                <w:kern w:val="0"/>
                <w:sz w:val="21"/>
                <w:szCs w:val="21"/>
                <w:lang w:eastAsia="zh-CN"/>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both"/>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服务对象对检测、质量服务满意度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95%</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宋体" w:hAnsi="宋体" w:cs="Arial"/>
                <w:color w:val="000000"/>
                <w:w w:val="80"/>
                <w:kern w:val="0"/>
                <w:sz w:val="21"/>
                <w:szCs w:val="21"/>
                <w:lang w:val="en-US" w:eastAsia="zh-CN" w:bidi="ar-SA"/>
              </w:rPr>
              <w:t>95%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eastAsia" w:ascii="宋体" w:hAnsi="宋体" w:cs="Arial"/>
                <w:color w:val="000000"/>
                <w:w w:val="80"/>
                <w:kern w:val="0"/>
                <w:sz w:val="21"/>
                <w:szCs w:val="21"/>
                <w:lang w:val="en-US" w:eastAsia="zh-CN" w:bidi="ar-SA"/>
              </w:rPr>
              <w:t>95%</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auto"/>
                <w:w w:val="90"/>
                <w:kern w:val="0"/>
                <w:sz w:val="21"/>
                <w:szCs w:val="21"/>
                <w:u w:val="none"/>
                <w:lang w:val="en-US" w:eastAsia="zh-CN" w:bidi="ar"/>
              </w:rPr>
              <w:t>年度目标</w:t>
            </w:r>
            <w:r>
              <w:rPr>
                <w:rFonts w:hint="eastAsia" w:ascii="宋体" w:hAnsi="宋体" w:cs="宋体"/>
                <w:i w:val="0"/>
                <w:iCs w:val="0"/>
                <w:color w:val="auto"/>
                <w:w w:val="90"/>
                <w:kern w:val="0"/>
                <w:sz w:val="21"/>
                <w:szCs w:val="21"/>
                <w:u w:val="none"/>
                <w:lang w:val="en-US" w:eastAsia="zh-CN" w:bidi="ar"/>
              </w:rPr>
              <w:t>3</w:t>
            </w:r>
            <w:r>
              <w:rPr>
                <w:rFonts w:hint="eastAsia" w:ascii="宋体" w:hAnsi="宋体" w:eastAsia="宋体" w:cs="宋体"/>
                <w:i w:val="0"/>
                <w:iCs w:val="0"/>
                <w:color w:val="auto"/>
                <w:w w:val="90"/>
                <w:kern w:val="0"/>
                <w:sz w:val="21"/>
                <w:szCs w:val="21"/>
                <w:u w:val="none"/>
                <w:lang w:val="en-US" w:eastAsia="zh-CN" w:bidi="ar"/>
              </w:rPr>
              <w:t>：</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开展麻风病</w:t>
            </w:r>
            <w:r>
              <w:rPr>
                <w:rFonts w:hint="eastAsia" w:ascii="宋体" w:hAnsi="宋体" w:cs="宋体"/>
                <w:i w:val="0"/>
                <w:iCs w:val="0"/>
                <w:color w:val="auto"/>
                <w:w w:val="90"/>
                <w:kern w:val="0"/>
                <w:sz w:val="21"/>
                <w:szCs w:val="21"/>
                <w:u w:val="none"/>
                <w:lang w:val="en-US" w:eastAsia="zh-CN" w:bidi="ar"/>
              </w:rPr>
              <w:t>、</w:t>
            </w:r>
            <w:r>
              <w:rPr>
                <w:rFonts w:hint="eastAsia" w:ascii="宋体" w:hAnsi="宋体" w:eastAsia="宋体" w:cs="宋体"/>
                <w:i w:val="0"/>
                <w:iCs w:val="0"/>
                <w:color w:val="auto"/>
                <w:w w:val="90"/>
                <w:kern w:val="0"/>
                <w:sz w:val="21"/>
                <w:szCs w:val="21"/>
                <w:u w:val="none"/>
                <w:lang w:val="en-US" w:eastAsia="zh-CN" w:bidi="ar"/>
              </w:rPr>
              <w:t>性病专业</w:t>
            </w:r>
            <w:r>
              <w:rPr>
                <w:rFonts w:hint="eastAsia" w:ascii="宋体" w:hAnsi="宋体" w:cs="宋体"/>
                <w:i w:val="0"/>
                <w:iCs w:val="0"/>
                <w:color w:val="auto"/>
                <w:w w:val="90"/>
                <w:kern w:val="0"/>
                <w:sz w:val="21"/>
                <w:szCs w:val="21"/>
                <w:u w:val="none"/>
                <w:lang w:val="en-US" w:eastAsia="zh-CN" w:bidi="ar"/>
              </w:rPr>
              <w:t>技术</w:t>
            </w:r>
            <w:r>
              <w:rPr>
                <w:rFonts w:hint="eastAsia" w:ascii="宋体" w:hAnsi="宋体" w:eastAsia="宋体" w:cs="宋体"/>
                <w:i w:val="0"/>
                <w:iCs w:val="0"/>
                <w:color w:val="auto"/>
                <w:w w:val="90"/>
                <w:kern w:val="0"/>
                <w:sz w:val="21"/>
                <w:szCs w:val="21"/>
                <w:u w:val="none"/>
                <w:lang w:val="en-US" w:eastAsia="zh-CN" w:bidi="ar"/>
              </w:rPr>
              <w:t>培训</w:t>
            </w:r>
            <w:r>
              <w:rPr>
                <w:rFonts w:hint="eastAsia" w:ascii="宋体" w:hAnsi="宋体" w:cs="宋体"/>
                <w:i w:val="0"/>
                <w:iCs w:val="0"/>
                <w:color w:val="auto"/>
                <w:w w:val="90"/>
                <w:kern w:val="0"/>
                <w:sz w:val="21"/>
                <w:szCs w:val="21"/>
                <w:u w:val="none"/>
                <w:lang w:val="en-US" w:eastAsia="zh-CN" w:bidi="ar"/>
              </w:rPr>
              <w:t>、工作督导及社会宣传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9" w:type="dxa"/>
            <w:vMerge w:val="restart"/>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一级指标</w:t>
            </w:r>
          </w:p>
        </w:tc>
        <w:tc>
          <w:tcPr>
            <w:tcW w:w="1676"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二级指标</w:t>
            </w:r>
          </w:p>
        </w:tc>
        <w:tc>
          <w:tcPr>
            <w:tcW w:w="1986"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指标值</w:t>
            </w:r>
          </w:p>
        </w:tc>
        <w:tc>
          <w:tcPr>
            <w:tcW w:w="1309" w:type="dxa"/>
            <w:vMerge w:val="restart"/>
            <w:tcBorders>
              <w:top w:val="single" w:color="000000" w:sz="4" w:space="0"/>
              <w:left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color w:val="000000"/>
                <w:w w:val="80"/>
                <w:kern w:val="0"/>
                <w:sz w:val="18"/>
                <w:szCs w:val="18"/>
              </w:rPr>
            </w:pPr>
            <w:r>
              <w:rPr>
                <w:rFonts w:hint="eastAsia" w:ascii="宋体" w:hAnsi="宋体" w:eastAsia="宋体" w:cs="宋体"/>
                <w:i w:val="0"/>
                <w:iCs w:val="0"/>
                <w:color w:val="000000"/>
                <w:w w:val="90"/>
                <w:kern w:val="0"/>
                <w:sz w:val="21"/>
                <w:szCs w:val="21"/>
                <w:u w:val="none"/>
                <w:lang w:val="en-US" w:eastAsia="zh-CN" w:bidi="ar"/>
              </w:rPr>
              <w:t>预期当年实现值</w:t>
            </w:r>
          </w:p>
        </w:tc>
        <w:tc>
          <w:tcPr>
            <w:tcW w:w="1309"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上年</w:t>
            </w:r>
          </w:p>
        </w:tc>
        <w:tc>
          <w:tcPr>
            <w:tcW w:w="1150"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p>
        </w:tc>
        <w:tc>
          <w:tcPr>
            <w:tcW w:w="1309"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restart"/>
            <w:tcBorders>
              <w:top w:val="single" w:color="000000" w:sz="4" w:space="0"/>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eastAsia="宋体" w:cs="宋体"/>
                <w:i w:val="0"/>
                <w:iCs w:val="0"/>
                <w:color w:val="auto"/>
                <w:w w:val="90"/>
                <w:kern w:val="0"/>
                <w:sz w:val="21"/>
                <w:szCs w:val="21"/>
                <w:u w:val="none"/>
                <w:lang w:val="en-US" w:eastAsia="zh-CN" w:bidi="ar"/>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培训性病麻风病专业技术人员人数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200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eastAsia="宋体" w:cs="宋体"/>
                <w:i w:val="0"/>
                <w:iCs w:val="0"/>
                <w:color w:val="auto"/>
                <w:w w:val="90"/>
                <w:kern w:val="0"/>
                <w:sz w:val="21"/>
                <w:szCs w:val="21"/>
                <w:u w:val="none"/>
                <w:lang w:val="en-US" w:eastAsia="zh-CN" w:bidi="ar"/>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年度开展全市性病麻风病工作督导和评估次数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2次</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2次</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2次</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宋体"/>
                <w:i w:val="0"/>
                <w:iCs w:val="0"/>
                <w:color w:val="auto"/>
                <w:w w:val="90"/>
                <w:kern w:val="0"/>
                <w:sz w:val="21"/>
                <w:szCs w:val="21"/>
                <w:u w:val="none"/>
                <w:lang w:val="en-US" w:eastAsia="zh-CN" w:bidi="ar"/>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年度开展大型性病麻风病防治宣传活动次数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2次</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Arial" w:hAnsi="Arial" w:cs="Arial"/>
                <w:color w:val="000000"/>
                <w:w w:val="80"/>
                <w:kern w:val="0"/>
                <w:sz w:val="21"/>
                <w:szCs w:val="21"/>
                <w:lang w:val="en-US" w:eastAsia="zh-CN"/>
              </w:rPr>
              <w:t>2次</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Arial" w:hAnsi="Arial" w:cs="Arial"/>
                <w:color w:val="000000"/>
                <w:w w:val="80"/>
                <w:kern w:val="0"/>
                <w:sz w:val="21"/>
                <w:szCs w:val="21"/>
                <w:lang w:val="en-US" w:eastAsia="zh-CN"/>
              </w:rPr>
              <w:t>2次</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专业培训合格率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kern w:val="2"/>
                <w:sz w:val="21"/>
                <w:szCs w:val="21"/>
                <w:u w:val="none"/>
                <w:lang w:val="en-US" w:eastAsia="zh-CN" w:bidi="ar-SA"/>
              </w:rPr>
              <w:t>90%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val="en-US" w:eastAsia="zh-CN"/>
              </w:rPr>
              <w:t>92%</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default" w:ascii="Arial" w:hAnsi="Arial" w:eastAsia="宋体" w:cs="Arial"/>
                <w:i w:val="0"/>
                <w:iCs w:val="0"/>
                <w:color w:val="auto"/>
                <w:w w:val="90"/>
                <w:sz w:val="21"/>
                <w:szCs w:val="21"/>
                <w:u w:val="none"/>
              </w:rPr>
              <w:t>≥</w:t>
            </w:r>
            <w:r>
              <w:rPr>
                <w:rFonts w:hint="eastAsia" w:ascii="宋体" w:hAnsi="宋体" w:cs="宋体"/>
                <w:i w:val="0"/>
                <w:iCs w:val="0"/>
                <w:color w:val="auto"/>
                <w:w w:val="90"/>
                <w:sz w:val="21"/>
                <w:szCs w:val="21"/>
                <w:u w:val="none"/>
                <w:lang w:val="en-US" w:eastAsia="zh-CN"/>
              </w:rPr>
              <w:t>90%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督导评估报告是否全面规范</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宋体" w:hAnsi="宋体" w:cs="Arial"/>
                <w:color w:val="000000"/>
                <w:w w:val="80"/>
                <w:kern w:val="0"/>
                <w:sz w:val="21"/>
                <w:szCs w:val="21"/>
                <w:lang w:val="en-US" w:eastAsia="zh-CN" w:bidi="ar-SA"/>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eastAsia" w:ascii="宋体" w:hAnsi="宋体" w:cs="Arial"/>
                <w:color w:val="000000"/>
                <w:w w:val="80"/>
                <w:kern w:val="0"/>
                <w:sz w:val="21"/>
                <w:szCs w:val="21"/>
                <w:lang w:val="en-US" w:eastAsia="zh-CN" w:bidi="ar-SA"/>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培训计划按期完成率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left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可持续影响指标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医疗机构开展性病诊疗服务规范性是否持续提高</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eastAsia="zh-CN"/>
              </w:rPr>
            </w:pPr>
            <w:r>
              <w:rPr>
                <w:rFonts w:hint="eastAsia" w:ascii="Arial" w:hAnsi="Arial" w:cs="Arial"/>
                <w:color w:val="000000"/>
                <w:w w:val="80"/>
                <w:kern w:val="0"/>
                <w:sz w:val="21"/>
                <w:szCs w:val="21"/>
                <w:lang w:eastAsia="zh-CN"/>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jc w:val="center"/>
        </w:trPr>
        <w:tc>
          <w:tcPr>
            <w:tcW w:w="1589"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参训学院对培训满意度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95%</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95%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95%</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auto"/>
                <w:w w:val="90"/>
                <w:kern w:val="0"/>
                <w:sz w:val="21"/>
                <w:szCs w:val="21"/>
                <w:u w:val="none"/>
                <w:lang w:val="en-US" w:eastAsia="zh-CN" w:bidi="ar"/>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auto"/>
                <w:w w:val="90"/>
                <w:kern w:val="0"/>
                <w:sz w:val="21"/>
                <w:szCs w:val="21"/>
                <w:u w:val="none"/>
                <w:lang w:val="en-US" w:eastAsia="zh-CN" w:bidi="ar"/>
              </w:rPr>
              <w:t>年度目标</w:t>
            </w:r>
            <w:r>
              <w:rPr>
                <w:rFonts w:hint="eastAsia" w:ascii="宋体" w:hAnsi="宋体" w:cs="宋体"/>
                <w:i w:val="0"/>
                <w:iCs w:val="0"/>
                <w:color w:val="auto"/>
                <w:w w:val="90"/>
                <w:kern w:val="0"/>
                <w:sz w:val="21"/>
                <w:szCs w:val="21"/>
                <w:u w:val="none"/>
                <w:lang w:val="en-US" w:eastAsia="zh-CN" w:bidi="ar"/>
              </w:rPr>
              <w:t>4</w:t>
            </w:r>
            <w:r>
              <w:rPr>
                <w:rFonts w:hint="eastAsia" w:ascii="宋体" w:hAnsi="宋体" w:eastAsia="宋体" w:cs="宋体"/>
                <w:i w:val="0"/>
                <w:iCs w:val="0"/>
                <w:color w:val="auto"/>
                <w:w w:val="90"/>
                <w:kern w:val="0"/>
                <w:sz w:val="21"/>
                <w:szCs w:val="21"/>
                <w:u w:val="none"/>
                <w:lang w:val="en-US" w:eastAsia="zh-CN" w:bidi="ar"/>
              </w:rPr>
              <w:t>：</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18"/>
                <w:szCs w:val="18"/>
                <w:lang w:val="en-US" w:eastAsia="zh-CN"/>
              </w:rPr>
            </w:pPr>
            <w:r>
              <w:rPr>
                <w:rFonts w:hint="eastAsia" w:ascii="宋体" w:hAnsi="宋体" w:cs="宋体"/>
                <w:i w:val="0"/>
                <w:iCs w:val="0"/>
                <w:color w:val="auto"/>
                <w:w w:val="90"/>
                <w:kern w:val="0"/>
                <w:sz w:val="21"/>
                <w:szCs w:val="21"/>
                <w:u w:val="none"/>
                <w:lang w:val="en-US" w:eastAsia="zh-CN" w:bidi="ar"/>
              </w:rPr>
              <w:t>开展性病患者转介支持及规范化医疗服务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一级指标</w:t>
            </w:r>
          </w:p>
        </w:tc>
        <w:tc>
          <w:tcPr>
            <w:tcW w:w="16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二级指标</w:t>
            </w:r>
          </w:p>
        </w:tc>
        <w:tc>
          <w:tcPr>
            <w:tcW w:w="19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指标值</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bidi="ar-SA"/>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color w:val="000000"/>
                <w:w w:val="80"/>
                <w:kern w:val="0"/>
                <w:sz w:val="18"/>
                <w:szCs w:val="18"/>
              </w:rPr>
            </w:pPr>
            <w:r>
              <w:rPr>
                <w:rFonts w:hint="eastAsia" w:ascii="宋体" w:hAnsi="宋体" w:eastAsia="宋体" w:cs="宋体"/>
                <w:i w:val="0"/>
                <w:iCs w:val="0"/>
                <w:color w:val="000000"/>
                <w:w w:val="90"/>
                <w:kern w:val="0"/>
                <w:sz w:val="21"/>
                <w:szCs w:val="21"/>
                <w:u w:val="none"/>
                <w:lang w:val="en-US" w:eastAsia="zh-CN" w:bidi="ar"/>
              </w:rPr>
              <w:t>预期当年实现值</w:t>
            </w: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上年</w:t>
            </w:r>
          </w:p>
        </w:tc>
        <w:tc>
          <w:tcPr>
            <w:tcW w:w="11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restart"/>
            <w:tcBorders>
              <w:top w:val="single" w:color="000000" w:sz="4" w:space="0"/>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r>
              <w:rPr>
                <w:rFonts w:hint="eastAsia" w:ascii="宋体" w:hAnsi="宋体" w:cs="Arial"/>
                <w:color w:val="000000"/>
                <w:w w:val="80"/>
                <w:kern w:val="0"/>
                <w:szCs w:val="21"/>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对被转介者开展实验室检测、临床诊断的准确率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对转介者提供规范的公共卫生服务的占比</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0"/>
                <w:sz w:val="21"/>
                <w:szCs w:val="21"/>
                <w:u w:val="none"/>
                <w:lang w:val="en-US" w:eastAsia="zh-CN" w:bidi="ar"/>
              </w:rPr>
              <w:t>及时对</w:t>
            </w:r>
            <w:r>
              <w:rPr>
                <w:rFonts w:hint="eastAsia" w:ascii="宋体" w:hAnsi="宋体" w:eastAsia="宋体" w:cs="宋体"/>
                <w:i w:val="0"/>
                <w:iCs w:val="0"/>
                <w:color w:val="000000"/>
                <w:w w:val="90"/>
                <w:kern w:val="0"/>
                <w:sz w:val="21"/>
                <w:szCs w:val="21"/>
                <w:u w:val="none"/>
                <w:lang w:val="en-US" w:eastAsia="zh-CN" w:bidi="ar"/>
              </w:rPr>
              <w:t>转介</w:t>
            </w:r>
            <w:r>
              <w:rPr>
                <w:rFonts w:hint="eastAsia" w:ascii="宋体" w:hAnsi="宋体" w:cs="宋体"/>
                <w:i w:val="0"/>
                <w:iCs w:val="0"/>
                <w:color w:val="000000"/>
                <w:w w:val="90"/>
                <w:kern w:val="0"/>
                <w:sz w:val="21"/>
                <w:szCs w:val="21"/>
                <w:u w:val="none"/>
                <w:lang w:val="en-US" w:eastAsia="zh-CN" w:bidi="ar"/>
              </w:rPr>
              <w:t>者开展行为干预、性伴通知、随访服务的占比</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社会效益指标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转介对象对医疗干预是否有良好的依从性</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eastAsia="zh-CN"/>
              </w:rPr>
            </w:pPr>
            <w:r>
              <w:rPr>
                <w:rFonts w:hint="eastAsia" w:ascii="Arial" w:hAnsi="Arial" w:cs="Arial"/>
                <w:color w:val="000000"/>
                <w:w w:val="80"/>
                <w:kern w:val="0"/>
                <w:sz w:val="21"/>
                <w:szCs w:val="21"/>
                <w:lang w:eastAsia="zh-CN"/>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eastAsia="zh-CN"/>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转介对象对服务的满意度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default" w:ascii="Arial" w:hAnsi="Arial" w:cs="Arial"/>
                <w:color w:val="000000"/>
                <w:w w:val="80"/>
                <w:kern w:val="0"/>
                <w:sz w:val="21"/>
                <w:szCs w:val="21"/>
                <w:lang w:val="en-US" w:eastAsia="zh-CN" w:bidi="ar-SA"/>
              </w:rPr>
              <w:t>≥</w:t>
            </w:r>
            <w:r>
              <w:rPr>
                <w:rFonts w:hint="eastAsia" w:ascii="宋体" w:hAnsi="宋体" w:cs="Arial"/>
                <w:color w:val="000000"/>
                <w:w w:val="80"/>
                <w:kern w:val="0"/>
                <w:sz w:val="21"/>
                <w:szCs w:val="21"/>
                <w:lang w:val="en-US" w:eastAsia="zh-CN" w:bidi="ar-SA"/>
              </w:rPr>
              <w:t>95%</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default" w:ascii="Arial" w:hAnsi="Arial" w:cs="Arial"/>
                <w:color w:val="000000"/>
                <w:w w:val="80"/>
                <w:kern w:val="0"/>
                <w:sz w:val="21"/>
                <w:szCs w:val="21"/>
                <w:lang w:val="en-US" w:eastAsia="zh-CN" w:bidi="ar-SA"/>
              </w:rPr>
              <w:t>≥</w:t>
            </w:r>
            <w:r>
              <w:rPr>
                <w:rFonts w:hint="eastAsia" w:ascii="宋体" w:hAnsi="宋体" w:cs="Arial"/>
                <w:color w:val="000000"/>
                <w:w w:val="80"/>
                <w:kern w:val="0"/>
                <w:sz w:val="21"/>
                <w:szCs w:val="21"/>
                <w:lang w:val="en-US" w:eastAsia="zh-CN" w:bidi="ar-SA"/>
              </w:rPr>
              <w:t>95%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default" w:ascii="Arial" w:hAnsi="Arial" w:cs="Arial"/>
                <w:color w:val="000000"/>
                <w:w w:val="80"/>
                <w:kern w:val="0"/>
                <w:sz w:val="21"/>
                <w:szCs w:val="21"/>
                <w:lang w:val="en-US" w:eastAsia="zh-CN" w:bidi="ar-SA"/>
              </w:rPr>
              <w:t>≥</w:t>
            </w:r>
            <w:r>
              <w:rPr>
                <w:rFonts w:hint="eastAsia" w:ascii="宋体" w:hAnsi="宋体" w:cs="Arial"/>
                <w:color w:val="000000"/>
                <w:w w:val="80"/>
                <w:kern w:val="0"/>
                <w:sz w:val="21"/>
                <w:szCs w:val="21"/>
                <w:lang w:val="en-US" w:eastAsia="zh-CN" w:bidi="ar-SA"/>
              </w:rPr>
              <w:t>95%</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auto"/>
                <w:w w:val="90"/>
                <w:sz w:val="18"/>
                <w:szCs w:val="18"/>
                <w:u w:val="none"/>
                <w:lang w:val="en-US" w:eastAsia="zh-CN"/>
              </w:rPr>
            </w:pPr>
            <w:r>
              <w:rPr>
                <w:rFonts w:hint="eastAsia" w:ascii="宋体" w:hAnsi="宋体" w:eastAsia="宋体" w:cs="宋体"/>
                <w:i w:val="0"/>
                <w:iCs w:val="0"/>
                <w:color w:val="000000"/>
                <w:w w:val="90"/>
                <w:kern w:val="0"/>
                <w:sz w:val="21"/>
                <w:szCs w:val="21"/>
                <w:u w:val="none"/>
                <w:lang w:val="en-US" w:eastAsia="zh-CN" w:bidi="ar"/>
              </w:rPr>
              <w:t>年度目标5：</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top"/>
              <w:rPr>
                <w:rFonts w:hint="eastAsia" w:ascii="宋体" w:hAnsi="宋体" w:eastAsia="宋体" w:cs="Arial"/>
                <w:color w:val="000000"/>
                <w:w w:val="80"/>
                <w:kern w:val="0"/>
                <w:sz w:val="18"/>
                <w:szCs w:val="18"/>
                <w:lang w:val="en-US" w:eastAsia="zh-CN"/>
              </w:rPr>
            </w:pPr>
            <w:r>
              <w:rPr>
                <w:rFonts w:hint="eastAsia" w:ascii="宋体" w:hAnsi="宋体" w:cs="宋体"/>
                <w:i w:val="0"/>
                <w:iCs w:val="0"/>
                <w:color w:val="auto"/>
                <w:w w:val="90"/>
                <w:kern w:val="0"/>
                <w:sz w:val="21"/>
                <w:szCs w:val="21"/>
                <w:u w:val="none"/>
                <w:lang w:val="en-US" w:eastAsia="zh-CN" w:bidi="ar"/>
              </w:rPr>
              <w:t>开展全市VCT、100%CUP及PITC工作督导和指导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一级指标</w:t>
            </w:r>
          </w:p>
        </w:tc>
        <w:tc>
          <w:tcPr>
            <w:tcW w:w="16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二级指标</w:t>
            </w:r>
          </w:p>
        </w:tc>
        <w:tc>
          <w:tcPr>
            <w:tcW w:w="19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指标值</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color w:val="000000"/>
                <w:w w:val="80"/>
                <w:kern w:val="0"/>
                <w:sz w:val="18"/>
                <w:szCs w:val="18"/>
                <w:lang w:val="en-US" w:eastAsia="zh-CN" w:bidi="ar-SA"/>
              </w:rPr>
            </w:pPr>
            <w:r>
              <w:rPr>
                <w:rFonts w:hint="eastAsia" w:ascii="宋体" w:hAnsi="宋体" w:eastAsia="宋体" w:cs="宋体"/>
                <w:i w:val="0"/>
                <w:iCs w:val="0"/>
                <w:color w:val="000000"/>
                <w:w w:val="90"/>
                <w:kern w:val="0"/>
                <w:sz w:val="21"/>
                <w:szCs w:val="21"/>
                <w:u w:val="none"/>
                <w:lang w:val="en-US" w:eastAsia="zh-CN" w:bidi="ar"/>
              </w:rPr>
              <w:t>预期当年实现值</w:t>
            </w: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上年</w:t>
            </w:r>
          </w:p>
        </w:tc>
        <w:tc>
          <w:tcPr>
            <w:tcW w:w="11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r>
              <w:rPr>
                <w:rFonts w:hint="eastAsia" w:ascii="宋体" w:hAnsi="宋体" w:cs="Arial"/>
                <w:color w:val="000000"/>
                <w:w w:val="80"/>
                <w:kern w:val="0"/>
                <w:szCs w:val="21"/>
              </w:rPr>
              <w:t>产出指标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年度开展全市工作督导次数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2次</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2次</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2次</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督导覆盖专业机构数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50家</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50家</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lang w:val="en-US"/>
              </w:rPr>
            </w:pPr>
            <w:r>
              <w:rPr>
                <w:rFonts w:hint="eastAsia" w:ascii="宋体" w:hAnsi="宋体" w:cs="Arial"/>
                <w:color w:val="000000"/>
                <w:w w:val="80"/>
                <w:kern w:val="0"/>
                <w:sz w:val="21"/>
                <w:szCs w:val="21"/>
                <w:lang w:val="en-US" w:eastAsia="zh-CN" w:bidi="ar-SA"/>
              </w:rPr>
              <w:t>50家</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督导评估报告是否全面规范</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宋体" w:hAnsi="宋体" w:cs="Arial"/>
                <w:color w:val="000000"/>
                <w:w w:val="80"/>
                <w:kern w:val="0"/>
                <w:sz w:val="21"/>
                <w:szCs w:val="21"/>
                <w:lang w:val="en-US" w:eastAsia="zh-CN" w:bidi="ar-SA"/>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eastAsia" w:ascii="宋体" w:hAnsi="宋体" w:cs="Arial"/>
                <w:color w:val="000000"/>
                <w:w w:val="80"/>
                <w:kern w:val="0"/>
                <w:sz w:val="21"/>
                <w:szCs w:val="21"/>
                <w:lang w:val="en-US" w:eastAsia="zh-CN" w:bidi="ar-SA"/>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全市</w:t>
            </w:r>
            <w:r>
              <w:rPr>
                <w:rFonts w:hint="eastAsia" w:ascii="宋体" w:hAnsi="宋体" w:cs="宋体"/>
                <w:i w:val="0"/>
                <w:iCs w:val="0"/>
                <w:color w:val="auto"/>
                <w:w w:val="90"/>
                <w:kern w:val="0"/>
                <w:sz w:val="21"/>
                <w:szCs w:val="21"/>
                <w:u w:val="none"/>
                <w:lang w:val="en-US" w:eastAsia="zh-CN" w:bidi="ar"/>
              </w:rPr>
              <w:t>VCT、100%CUP及PITC</w:t>
            </w:r>
            <w:r>
              <w:rPr>
                <w:rFonts w:hint="eastAsia" w:ascii="宋体" w:hAnsi="宋体" w:cs="Arial"/>
                <w:color w:val="000000"/>
                <w:w w:val="80"/>
                <w:kern w:val="0"/>
                <w:sz w:val="21"/>
                <w:szCs w:val="21"/>
                <w:lang w:val="en-US" w:eastAsia="zh-CN"/>
              </w:rPr>
              <w:t>年度</w:t>
            </w:r>
            <w:r>
              <w:rPr>
                <w:rFonts w:hint="eastAsia" w:ascii="宋体" w:hAnsi="宋体" w:cs="宋体"/>
                <w:i w:val="0"/>
                <w:iCs w:val="0"/>
                <w:color w:val="auto"/>
                <w:w w:val="90"/>
                <w:kern w:val="0"/>
                <w:sz w:val="21"/>
                <w:szCs w:val="21"/>
                <w:u w:val="none"/>
                <w:lang w:val="en-US" w:eastAsia="zh-CN" w:bidi="ar"/>
              </w:rPr>
              <w:t>工作任务是否全面完成</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年度督导工作计划是否按期完成</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rPr>
            </w:pPr>
            <w:r>
              <w:rPr>
                <w:rFonts w:hint="eastAsia" w:ascii="宋体" w:hAnsi="宋体" w:cs="Arial"/>
                <w:color w:val="000000"/>
                <w:w w:val="80"/>
                <w:kern w:val="0"/>
                <w:sz w:val="21"/>
                <w:szCs w:val="21"/>
                <w:lang w:val="en-US" w:eastAsia="zh-CN" w:bidi="ar-SA"/>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21"/>
                <w:szCs w:val="21"/>
              </w:rPr>
            </w:pPr>
            <w:r>
              <w:rPr>
                <w:rFonts w:hint="eastAsia" w:ascii="宋体" w:hAnsi="宋体" w:cs="Arial"/>
                <w:color w:val="000000"/>
                <w:w w:val="80"/>
                <w:kern w:val="0"/>
                <w:sz w:val="21"/>
                <w:szCs w:val="21"/>
                <w:lang w:val="en-US" w:eastAsia="zh-CN" w:bidi="ar-SA"/>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r>
              <w:rPr>
                <w:rFonts w:hint="eastAsia" w:ascii="宋体" w:hAnsi="宋体" w:cs="Arial"/>
                <w:color w:val="000000"/>
                <w:w w:val="80"/>
                <w:kern w:val="0"/>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社会效益指标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21"/>
                <w:szCs w:val="21"/>
                <w:lang w:val="en-US" w:eastAsia="zh-CN"/>
              </w:rPr>
            </w:pPr>
            <w:r>
              <w:rPr>
                <w:rFonts w:hint="eastAsia" w:ascii="宋体" w:hAnsi="宋体" w:cs="Arial"/>
                <w:color w:val="000000"/>
                <w:w w:val="80"/>
                <w:kern w:val="0"/>
                <w:sz w:val="21"/>
                <w:szCs w:val="21"/>
                <w:lang w:val="en-US" w:eastAsia="zh-CN"/>
              </w:rPr>
              <w:t>全市性病艾滋病防治工作是否平稳推进</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医疗机构对督导指导工作的满意度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eastAsia" w:ascii="Arial" w:hAnsi="Arial" w:cs="Arial"/>
                <w:color w:val="000000"/>
                <w:w w:val="80"/>
                <w:kern w:val="0"/>
                <w:sz w:val="21"/>
                <w:szCs w:val="21"/>
                <w:lang w:val="en-US" w:eastAsia="zh-CN"/>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eastAsia="宋体" w:cs="Arial"/>
                <w:color w:val="000000"/>
                <w:w w:val="80"/>
                <w:kern w:val="0"/>
                <w:sz w:val="21"/>
                <w:szCs w:val="21"/>
                <w:lang w:val="en-US" w:eastAsia="zh-CN"/>
              </w:rPr>
            </w:pPr>
            <w:r>
              <w:rPr>
                <w:rFonts w:hint="default" w:ascii="Arial" w:hAnsi="Arial" w:cs="Arial"/>
                <w:color w:val="000000"/>
                <w:w w:val="80"/>
                <w:kern w:val="0"/>
                <w:sz w:val="21"/>
                <w:szCs w:val="21"/>
                <w:lang w:val="en-US" w:eastAsia="zh-CN"/>
              </w:rPr>
              <w:t>≥</w:t>
            </w:r>
            <w:r>
              <w:rPr>
                <w:rFonts w:hint="eastAsia" w:ascii="Arial" w:hAnsi="Arial" w:cs="Arial"/>
                <w:color w:val="000000"/>
                <w:w w:val="80"/>
                <w:kern w:val="0"/>
                <w:sz w:val="21"/>
                <w:szCs w:val="21"/>
                <w:lang w:val="en-US" w:eastAsia="zh-CN"/>
              </w:rPr>
              <w:t>90%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bidi="ar-SA"/>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w w:val="90"/>
                <w:kern w:val="0"/>
                <w:sz w:val="21"/>
                <w:szCs w:val="21"/>
                <w:u w:val="none"/>
                <w:lang w:val="en-US" w:eastAsia="zh-CN" w:bidi="ar"/>
              </w:rPr>
            </w:pPr>
            <w:r>
              <w:rPr>
                <w:rFonts w:hint="eastAsia" w:ascii="宋体" w:hAnsi="宋体" w:eastAsia="宋体" w:cs="宋体"/>
                <w:i w:val="0"/>
                <w:iCs w:val="0"/>
                <w:color w:val="000000"/>
                <w:w w:val="90"/>
                <w:kern w:val="0"/>
                <w:sz w:val="21"/>
                <w:szCs w:val="21"/>
                <w:u w:val="none"/>
                <w:lang w:val="en-US" w:eastAsia="zh-CN" w:bidi="ar"/>
              </w:rPr>
              <w:t>年度目标6：</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开展入组艾滋病感染者管理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r>
              <w:rPr>
                <w:rFonts w:hint="eastAsia" w:ascii="宋体" w:hAnsi="宋体" w:eastAsia="宋体" w:cs="宋体"/>
                <w:i w:val="0"/>
                <w:iCs w:val="0"/>
                <w:color w:val="000000"/>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一级指标</w:t>
            </w:r>
          </w:p>
        </w:tc>
        <w:tc>
          <w:tcPr>
            <w:tcW w:w="16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二级指标</w:t>
            </w:r>
          </w:p>
        </w:tc>
        <w:tc>
          <w:tcPr>
            <w:tcW w:w="19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指标值</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color w:val="000000"/>
                <w:w w:val="80"/>
                <w:kern w:val="0"/>
                <w:sz w:val="18"/>
                <w:szCs w:val="18"/>
                <w:lang w:val="en-US" w:eastAsia="zh-CN" w:bidi="ar-SA"/>
              </w:rPr>
            </w:pPr>
            <w:r>
              <w:rPr>
                <w:rFonts w:hint="eastAsia" w:ascii="宋体" w:hAnsi="宋体" w:eastAsia="宋体" w:cs="宋体"/>
                <w:i w:val="0"/>
                <w:iCs w:val="0"/>
                <w:color w:val="000000"/>
                <w:w w:val="90"/>
                <w:kern w:val="0"/>
                <w:sz w:val="21"/>
                <w:szCs w:val="21"/>
                <w:u w:val="none"/>
                <w:lang w:val="en-US" w:eastAsia="zh-CN" w:bidi="ar"/>
              </w:rPr>
              <w:t>预期当年实现值</w:t>
            </w:r>
          </w:p>
          <w:p>
            <w:pPr>
              <w:widowControl/>
              <w:snapToGrid w:val="0"/>
              <w:jc w:val="center"/>
              <w:rPr>
                <w:rFonts w:hint="default" w:ascii="Arial" w:hAnsi="Arial" w:cs="Arial"/>
                <w:color w:val="000000"/>
                <w:w w:val="80"/>
                <w:kern w:val="0"/>
                <w:sz w:val="18"/>
                <w:szCs w:val="18"/>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eastAsia="zh-CN"/>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eastAsia="宋体" w:cs="宋体"/>
                <w:i w:val="0"/>
                <w:iCs w:val="0"/>
                <w:color w:val="000000"/>
                <w:w w:val="90"/>
                <w:kern w:val="0"/>
                <w:sz w:val="21"/>
                <w:szCs w:val="21"/>
                <w:u w:val="none"/>
                <w:lang w:val="en-US" w:eastAsia="zh-CN" w:bidi="ar"/>
              </w:rPr>
              <w:t>上年</w:t>
            </w:r>
          </w:p>
        </w:tc>
        <w:tc>
          <w:tcPr>
            <w:tcW w:w="11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ascii="Arial" w:hAnsi="Arial" w:cs="Arial"/>
                <w:color w:val="000000"/>
                <w:w w:val="80"/>
                <w:kern w:val="0"/>
                <w:sz w:val="18"/>
                <w:szCs w:val="18"/>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sz w:val="21"/>
                <w:szCs w:val="21"/>
                <w:u w:val="none"/>
                <w:lang w:eastAsia="zh-CN"/>
              </w:rPr>
              <w:t>数量指标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对入组HIV感染者开展CD4检测的比例</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入组HIV感染者病毒抑制率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99%</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99%</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99%</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入组HIV感染者遵医嘱服药比例</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98%</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98%</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98%</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时效指标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新入组HIV及时治疗率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Cs w:val="21"/>
                <w:lang w:eastAsia="zh-CN"/>
              </w:rPr>
            </w:pPr>
            <w:r>
              <w:rPr>
                <w:rFonts w:hint="eastAsia" w:ascii="宋体" w:hAnsi="宋体" w:cs="Arial"/>
                <w:color w:val="000000"/>
                <w:w w:val="80"/>
                <w:kern w:val="0"/>
                <w:szCs w:val="21"/>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社会效益指标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入组HIV感染者免疫机能是否长期保持正常状态</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18"/>
                <w:szCs w:val="18"/>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w w:val="90"/>
                <w:kern w:val="2"/>
                <w:sz w:val="21"/>
                <w:szCs w:val="21"/>
                <w:u w:val="none"/>
                <w:lang w:val="en-US" w:eastAsia="zh-CN" w:bidi="ar-SA"/>
              </w:rPr>
            </w:pPr>
            <w:r>
              <w:rPr>
                <w:rFonts w:hint="eastAsia" w:ascii="宋体" w:hAnsi="宋体" w:cs="宋体"/>
                <w:i w:val="0"/>
                <w:iCs w:val="0"/>
                <w:color w:val="000000"/>
                <w:w w:val="90"/>
                <w:kern w:val="2"/>
                <w:sz w:val="21"/>
                <w:szCs w:val="21"/>
                <w:u w:val="none"/>
                <w:lang w:val="en-US" w:eastAsia="zh-CN" w:bidi="ar-SA"/>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eastAsia="zh-CN"/>
              </w:rPr>
              <w:t>服务对象满意度指标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cs="Arial"/>
                <w:color w:val="000000"/>
                <w:w w:val="80"/>
                <w:kern w:val="0"/>
                <w:sz w:val="18"/>
                <w:szCs w:val="18"/>
                <w:lang w:val="en-US" w:eastAsia="zh-CN"/>
              </w:rPr>
            </w:pPr>
            <w:r>
              <w:rPr>
                <w:rFonts w:hint="eastAsia" w:ascii="宋体" w:hAnsi="宋体" w:cs="宋体"/>
                <w:i w:val="0"/>
                <w:iCs w:val="0"/>
                <w:color w:val="auto"/>
                <w:w w:val="90"/>
                <w:kern w:val="0"/>
                <w:sz w:val="21"/>
                <w:szCs w:val="21"/>
                <w:u w:val="none"/>
                <w:lang w:val="en-US" w:eastAsia="zh-CN" w:bidi="ar"/>
              </w:rPr>
              <w:t>入组HIV感染者对服务满意度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eastAsia" w:ascii="宋体" w:hAnsi="宋体" w:eastAsia="宋体" w:cs="Arial"/>
                <w:color w:val="000000"/>
                <w:w w:val="80"/>
                <w:kern w:val="0"/>
                <w:sz w:val="18"/>
                <w:szCs w:val="18"/>
                <w:lang w:val="en-US" w:eastAsia="zh-CN"/>
              </w:rPr>
            </w:pPr>
            <w:r>
              <w:rPr>
                <w:rFonts w:hint="eastAsia" w:ascii="宋体" w:hAnsi="宋体" w:cs="宋体"/>
                <w:i w:val="0"/>
                <w:iCs w:val="0"/>
                <w:color w:val="000000"/>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1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年度目标</w:t>
            </w:r>
            <w:r>
              <w:rPr>
                <w:rFonts w:hint="eastAsia" w:ascii="宋体" w:hAnsi="宋体" w:cs="宋体"/>
                <w:i w:val="0"/>
                <w:iCs w:val="0"/>
                <w:color w:val="auto"/>
                <w:w w:val="90"/>
                <w:kern w:val="0"/>
                <w:sz w:val="21"/>
                <w:szCs w:val="21"/>
                <w:u w:val="none"/>
                <w:lang w:val="en-US" w:eastAsia="zh-CN" w:bidi="ar"/>
              </w:rPr>
              <w:t>7</w:t>
            </w:r>
            <w:r>
              <w:rPr>
                <w:rFonts w:hint="eastAsia" w:ascii="宋体" w:hAnsi="宋体" w:eastAsia="宋体" w:cs="宋体"/>
                <w:i w:val="0"/>
                <w:iCs w:val="0"/>
                <w:color w:val="auto"/>
                <w:w w:val="90"/>
                <w:kern w:val="0"/>
                <w:sz w:val="21"/>
                <w:szCs w:val="21"/>
                <w:u w:val="none"/>
                <w:lang w:val="en-US" w:eastAsia="zh-CN" w:bidi="ar"/>
              </w:rPr>
              <w:t>：</w:t>
            </w:r>
          </w:p>
        </w:tc>
        <w:tc>
          <w:tcPr>
            <w:tcW w:w="975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加强公共卫生</w:t>
            </w:r>
            <w:r>
              <w:rPr>
                <w:rFonts w:hint="eastAsia" w:ascii="宋体" w:hAnsi="宋体" w:eastAsia="宋体" w:cs="宋体"/>
                <w:i w:val="0"/>
                <w:iCs w:val="0"/>
                <w:color w:val="auto"/>
                <w:w w:val="90"/>
                <w:kern w:val="0"/>
                <w:sz w:val="21"/>
                <w:szCs w:val="21"/>
                <w:u w:val="none"/>
                <w:lang w:val="en-US" w:eastAsia="zh-CN" w:bidi="ar"/>
              </w:rPr>
              <w:t>重点</w:t>
            </w:r>
            <w:r>
              <w:rPr>
                <w:rFonts w:hint="eastAsia" w:ascii="宋体" w:hAnsi="宋体" w:cs="宋体"/>
                <w:i w:val="0"/>
                <w:iCs w:val="0"/>
                <w:color w:val="auto"/>
                <w:w w:val="90"/>
                <w:kern w:val="0"/>
                <w:sz w:val="21"/>
                <w:szCs w:val="21"/>
                <w:u w:val="none"/>
                <w:lang w:val="en-US" w:eastAsia="zh-CN" w:bidi="ar"/>
              </w:rPr>
              <w:t>专学科</w:t>
            </w:r>
            <w:r>
              <w:rPr>
                <w:rFonts w:hint="eastAsia" w:ascii="宋体" w:hAnsi="宋体" w:eastAsia="宋体" w:cs="宋体"/>
                <w:i w:val="0"/>
                <w:iCs w:val="0"/>
                <w:color w:val="auto"/>
                <w:w w:val="90"/>
                <w:kern w:val="0"/>
                <w:sz w:val="21"/>
                <w:szCs w:val="21"/>
                <w:u w:val="none"/>
                <w:lang w:val="en-US" w:eastAsia="zh-CN" w:bidi="ar"/>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年度绩效指标</w:t>
            </w: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一级</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6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二级指标</w:t>
            </w:r>
          </w:p>
        </w:tc>
        <w:tc>
          <w:tcPr>
            <w:tcW w:w="19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三级指标</w:t>
            </w:r>
          </w:p>
        </w:tc>
        <w:tc>
          <w:tcPr>
            <w:tcW w:w="27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近两年指标值</w:t>
            </w:r>
          </w:p>
        </w:tc>
        <w:tc>
          <w:tcPr>
            <w:tcW w:w="11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预期当年实现值</w:t>
            </w: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98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前年</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上年</w:t>
            </w:r>
          </w:p>
        </w:tc>
        <w:tc>
          <w:tcPr>
            <w:tcW w:w="11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产出</w:t>
            </w:r>
          </w:p>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实施</w:t>
            </w:r>
            <w:r>
              <w:rPr>
                <w:rFonts w:hint="eastAsia" w:ascii="宋体" w:hAnsi="宋体" w:eastAsia="宋体" w:cs="宋体"/>
                <w:i w:val="0"/>
                <w:iCs w:val="0"/>
                <w:color w:val="auto"/>
                <w:w w:val="90"/>
                <w:kern w:val="0"/>
                <w:sz w:val="21"/>
                <w:szCs w:val="21"/>
                <w:u w:val="none"/>
                <w:lang w:val="en-US" w:eastAsia="zh-CN" w:bidi="ar"/>
              </w:rPr>
              <w:t>科研</w:t>
            </w:r>
            <w:r>
              <w:rPr>
                <w:rFonts w:hint="eastAsia" w:ascii="宋体" w:hAnsi="宋体" w:cs="宋体"/>
                <w:i w:val="0"/>
                <w:iCs w:val="0"/>
                <w:color w:val="auto"/>
                <w:w w:val="90"/>
                <w:kern w:val="0"/>
                <w:sz w:val="21"/>
                <w:szCs w:val="21"/>
                <w:u w:val="none"/>
                <w:lang w:val="en-US" w:eastAsia="zh-CN" w:bidi="ar"/>
              </w:rPr>
              <w:t>项目</w:t>
            </w:r>
            <w:r>
              <w:rPr>
                <w:rFonts w:hint="eastAsia" w:ascii="宋体" w:hAnsi="宋体" w:eastAsia="宋体" w:cs="宋体"/>
                <w:i w:val="0"/>
                <w:iCs w:val="0"/>
                <w:color w:val="auto"/>
                <w:w w:val="90"/>
                <w:kern w:val="0"/>
                <w:sz w:val="21"/>
                <w:szCs w:val="21"/>
                <w:u w:val="none"/>
                <w:lang w:val="en-US" w:eastAsia="zh-CN" w:bidi="ar"/>
              </w:rPr>
              <w:t>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2</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发表</w:t>
            </w:r>
            <w:r>
              <w:rPr>
                <w:rFonts w:hint="eastAsia" w:ascii="宋体" w:hAnsi="宋体" w:cs="宋体"/>
                <w:i w:val="0"/>
                <w:iCs w:val="0"/>
                <w:color w:val="auto"/>
                <w:w w:val="90"/>
                <w:kern w:val="0"/>
                <w:sz w:val="21"/>
                <w:szCs w:val="21"/>
                <w:u w:val="none"/>
                <w:lang w:val="en-US" w:eastAsia="zh-CN" w:bidi="ar"/>
              </w:rPr>
              <w:t>相关</w:t>
            </w:r>
            <w:r>
              <w:rPr>
                <w:rFonts w:hint="eastAsia" w:ascii="宋体" w:hAnsi="宋体" w:eastAsia="宋体" w:cs="宋体"/>
                <w:i w:val="0"/>
                <w:iCs w:val="0"/>
                <w:color w:val="auto"/>
                <w:w w:val="90"/>
                <w:kern w:val="0"/>
                <w:sz w:val="21"/>
                <w:szCs w:val="21"/>
                <w:u w:val="none"/>
                <w:lang w:val="en-US" w:eastAsia="zh-CN" w:bidi="ar"/>
              </w:rPr>
              <w:t>专业论文数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3</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3</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default" w:ascii="Arial" w:hAnsi="Arial" w:cs="Arial"/>
                <w:i w:val="0"/>
                <w:iCs w:val="0"/>
                <w:color w:val="auto"/>
                <w:w w:val="90"/>
                <w:kern w:val="0"/>
                <w:sz w:val="21"/>
                <w:szCs w:val="21"/>
                <w:u w:val="none"/>
                <w:lang w:val="en-US" w:eastAsia="zh-CN" w:bidi="ar"/>
              </w:rPr>
              <w:t>≥</w:t>
            </w:r>
            <w:r>
              <w:rPr>
                <w:rFonts w:hint="eastAsia" w:ascii="宋体" w:hAnsi="宋体" w:cs="宋体"/>
                <w:i w:val="0"/>
                <w:iCs w:val="0"/>
                <w:color w:val="auto"/>
                <w:w w:val="90"/>
                <w:kern w:val="0"/>
                <w:sz w:val="21"/>
                <w:szCs w:val="21"/>
                <w:u w:val="none"/>
                <w:lang w:val="en-US" w:eastAsia="zh-CN" w:bidi="ar"/>
              </w:rPr>
              <w:t>2篇</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长期</w:t>
            </w:r>
            <w:r>
              <w:rPr>
                <w:rFonts w:hint="eastAsia" w:ascii="宋体" w:hAnsi="宋体" w:eastAsia="宋体" w:cs="宋体"/>
                <w:i w:val="0"/>
                <w:iCs w:val="0"/>
                <w:color w:val="auto"/>
                <w:w w:val="90"/>
                <w:kern w:val="0"/>
                <w:sz w:val="21"/>
                <w:szCs w:val="21"/>
                <w:u w:val="none"/>
                <w:lang w:val="en-US" w:eastAsia="zh-CN" w:bidi="ar"/>
              </w:rPr>
              <w:t>进修</w:t>
            </w:r>
            <w:r>
              <w:rPr>
                <w:rFonts w:hint="eastAsia" w:ascii="宋体" w:hAnsi="宋体" w:cs="宋体"/>
                <w:i w:val="0"/>
                <w:iCs w:val="0"/>
                <w:color w:val="auto"/>
                <w:w w:val="90"/>
                <w:kern w:val="0"/>
                <w:sz w:val="21"/>
                <w:szCs w:val="21"/>
                <w:u w:val="none"/>
                <w:lang w:val="en-US" w:eastAsia="zh-CN" w:bidi="ar"/>
              </w:rPr>
              <w:t>人</w:t>
            </w:r>
            <w:r>
              <w:rPr>
                <w:rFonts w:hint="eastAsia" w:ascii="宋体" w:hAnsi="宋体" w:eastAsia="宋体" w:cs="宋体"/>
                <w:i w:val="0"/>
                <w:iCs w:val="0"/>
                <w:color w:val="auto"/>
                <w:w w:val="90"/>
                <w:kern w:val="0"/>
                <w:sz w:val="21"/>
                <w:szCs w:val="21"/>
                <w:u w:val="none"/>
                <w:lang w:val="en-US" w:eastAsia="zh-CN" w:bidi="ar"/>
              </w:rPr>
              <w:t>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2</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举办</w:t>
            </w:r>
            <w:r>
              <w:rPr>
                <w:rFonts w:hint="eastAsia" w:ascii="宋体" w:hAnsi="宋体" w:cs="宋体"/>
                <w:i w:val="0"/>
                <w:iCs w:val="0"/>
                <w:color w:val="auto"/>
                <w:w w:val="90"/>
                <w:kern w:val="0"/>
                <w:sz w:val="21"/>
                <w:szCs w:val="21"/>
                <w:u w:val="none"/>
                <w:lang w:val="en-US" w:eastAsia="zh-CN" w:bidi="ar"/>
              </w:rPr>
              <w:t>省/</w:t>
            </w:r>
            <w:r>
              <w:rPr>
                <w:rFonts w:hint="eastAsia" w:ascii="宋体" w:hAnsi="宋体" w:eastAsia="宋体" w:cs="宋体"/>
                <w:i w:val="0"/>
                <w:iCs w:val="0"/>
                <w:color w:val="auto"/>
                <w:w w:val="90"/>
                <w:kern w:val="0"/>
                <w:sz w:val="21"/>
                <w:szCs w:val="21"/>
                <w:u w:val="none"/>
                <w:lang w:val="en-US" w:eastAsia="zh-CN" w:bidi="ar"/>
              </w:rPr>
              <w:t>市级以上学术活动次数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2</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开展新业务新技术项目数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2</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2</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eastAsia="宋体" w:cs="宋体"/>
                <w:i w:val="0"/>
                <w:iCs w:val="0"/>
                <w:color w:val="auto"/>
                <w:w w:val="90"/>
                <w:kern w:val="0"/>
                <w:sz w:val="21"/>
                <w:szCs w:val="21"/>
                <w:u w:val="none"/>
                <w:lang w:val="en-US" w:eastAsia="zh-CN" w:bidi="ar"/>
              </w:rPr>
              <w:t>数量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指导基层医疗机构数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8</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8</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8</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eastAsia="宋体" w:cs="宋体"/>
                <w:i w:val="0"/>
                <w:iCs w:val="0"/>
                <w:color w:val="auto"/>
                <w:w w:val="90"/>
                <w:kern w:val="0"/>
                <w:sz w:val="21"/>
                <w:szCs w:val="21"/>
                <w:u w:val="none"/>
                <w:lang w:val="en-US" w:eastAsia="zh-CN" w:bidi="ar"/>
              </w:rPr>
              <w:t>质量</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医防融合是否全面落实</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质量指标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临床医师规范开展公共卫生服务占比</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w w:val="90"/>
                <w:sz w:val="21"/>
                <w:szCs w:val="21"/>
                <w:u w:val="none"/>
                <w:lang w:val="en-US" w:eastAsia="zh-CN"/>
              </w:rPr>
            </w:pPr>
            <w:r>
              <w:rPr>
                <w:rFonts w:hint="eastAsia" w:ascii="宋体" w:hAnsi="宋体" w:cs="宋体"/>
                <w:i w:val="0"/>
                <w:iCs w:val="0"/>
                <w:color w:val="auto"/>
                <w:w w:val="90"/>
                <w:sz w:val="21"/>
                <w:szCs w:val="21"/>
                <w:u w:val="none"/>
                <w:lang w:val="en-US" w:eastAsia="zh-CN"/>
              </w:rPr>
              <w:t>100%</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效益指标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kern w:val="0"/>
                <w:sz w:val="21"/>
                <w:szCs w:val="21"/>
                <w:u w:val="none"/>
                <w:lang w:val="en-US" w:eastAsia="zh-CN" w:bidi="ar"/>
              </w:rPr>
            </w:pPr>
            <w:r>
              <w:rPr>
                <w:rFonts w:hint="eastAsia" w:ascii="宋体" w:hAnsi="宋体" w:cs="宋体"/>
                <w:i w:val="0"/>
                <w:iCs w:val="0"/>
                <w:color w:val="auto"/>
                <w:w w:val="90"/>
                <w:kern w:val="0"/>
                <w:sz w:val="21"/>
                <w:szCs w:val="21"/>
                <w:u w:val="none"/>
                <w:lang w:val="en-US" w:eastAsia="zh-CN" w:bidi="ar"/>
              </w:rPr>
              <w:t>可持续影响指标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性病门诊就诊者高危行为干预工作是否持续实施并取得实效</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kern w:val="2"/>
                <w:sz w:val="21"/>
                <w:szCs w:val="21"/>
                <w:u w:val="none"/>
                <w:lang w:val="en-US" w:eastAsia="zh-CN" w:bidi="ar-SA"/>
              </w:rPr>
            </w:pPr>
            <w:r>
              <w:rPr>
                <w:rFonts w:hint="eastAsia" w:ascii="宋体" w:hAnsi="宋体" w:cs="宋体"/>
                <w:i w:val="0"/>
                <w:iCs w:val="0"/>
                <w:color w:val="auto"/>
                <w:w w:val="90"/>
                <w:sz w:val="21"/>
                <w:szCs w:val="21"/>
                <w:u w:val="none"/>
                <w:lang w:eastAsia="zh-CN"/>
              </w:rPr>
              <w:t>是</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cs="宋体"/>
                <w:i w:val="0"/>
                <w:iCs w:val="0"/>
                <w:color w:val="auto"/>
                <w:w w:val="90"/>
                <w:sz w:val="21"/>
                <w:szCs w:val="21"/>
                <w:u w:val="none"/>
                <w:lang w:eastAsia="zh-CN"/>
              </w:rPr>
            </w:pPr>
            <w:r>
              <w:rPr>
                <w:rFonts w:hint="eastAsia" w:ascii="宋体" w:hAnsi="宋体" w:cs="宋体"/>
                <w:i w:val="0"/>
                <w:iCs w:val="0"/>
                <w:color w:val="auto"/>
                <w:w w:val="90"/>
                <w:sz w:val="21"/>
                <w:szCs w:val="21"/>
                <w:u w:val="none"/>
                <w:lang w:eastAsia="zh-CN"/>
              </w:rPr>
              <w:t>计划数据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w w:val="90"/>
                <w:sz w:val="21"/>
                <w:szCs w:val="21"/>
                <w:u w:val="none"/>
              </w:rPr>
            </w:pPr>
          </w:p>
        </w:tc>
        <w:tc>
          <w:tcPr>
            <w:tcW w:w="20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满意度指标</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服务对象</w:t>
            </w:r>
            <w:r>
              <w:rPr>
                <w:rFonts w:hint="eastAsia" w:ascii="宋体" w:hAnsi="宋体" w:eastAsia="宋体" w:cs="宋体"/>
                <w:i w:val="0"/>
                <w:iCs w:val="0"/>
                <w:color w:val="auto"/>
                <w:w w:val="90"/>
                <w:kern w:val="0"/>
                <w:sz w:val="21"/>
                <w:szCs w:val="21"/>
                <w:u w:val="none"/>
                <w:lang w:val="en-US" w:eastAsia="zh-CN" w:bidi="ar"/>
              </w:rPr>
              <w:t>满意度</w:t>
            </w:r>
            <w:r>
              <w:rPr>
                <w:rStyle w:val="14"/>
                <w:color w:val="auto"/>
                <w:w w:val="90"/>
                <w:u w:val="none"/>
                <w:lang w:val="en-US" w:eastAsia="zh-CN" w:bidi="ar"/>
              </w:rPr>
              <w:t>指标</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服务对象</w:t>
            </w:r>
            <w:r>
              <w:rPr>
                <w:rFonts w:hint="eastAsia" w:ascii="宋体" w:hAnsi="宋体" w:eastAsia="宋体" w:cs="宋体"/>
                <w:i w:val="0"/>
                <w:iCs w:val="0"/>
                <w:color w:val="auto"/>
                <w:w w:val="90"/>
                <w:kern w:val="0"/>
                <w:sz w:val="21"/>
                <w:szCs w:val="21"/>
                <w:u w:val="none"/>
                <w:lang w:val="en-US" w:eastAsia="zh-CN" w:bidi="ar"/>
              </w:rPr>
              <w:t>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9</w:t>
            </w:r>
            <w:r>
              <w:rPr>
                <w:rFonts w:hint="eastAsia" w:ascii="宋体" w:hAnsi="宋体" w:cs="宋体"/>
                <w:i w:val="0"/>
                <w:iCs w:val="0"/>
                <w:color w:val="auto"/>
                <w:w w:val="90"/>
                <w:kern w:val="0"/>
                <w:sz w:val="21"/>
                <w:szCs w:val="21"/>
                <w:u w:val="none"/>
                <w:lang w:val="en-US" w:eastAsia="zh-CN" w:bidi="ar"/>
              </w:rPr>
              <w:t>6</w:t>
            </w:r>
            <w:r>
              <w:rPr>
                <w:rFonts w:hint="eastAsia" w:ascii="宋体" w:hAnsi="宋体" w:eastAsia="宋体" w:cs="宋体"/>
                <w:i w:val="0"/>
                <w:iCs w:val="0"/>
                <w:color w:val="auto"/>
                <w:w w:val="90"/>
                <w:kern w:val="0"/>
                <w:sz w:val="21"/>
                <w:szCs w:val="21"/>
                <w:u w:val="none"/>
                <w:lang w:val="en-US" w:eastAsia="zh-CN" w:bidi="ar"/>
              </w:rPr>
              <w:t>%</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kern w:val="0"/>
                <w:sz w:val="21"/>
                <w:szCs w:val="21"/>
                <w:u w:val="none"/>
                <w:lang w:val="en-US" w:eastAsia="zh-CN" w:bidi="ar"/>
              </w:rPr>
              <w:t>96</w:t>
            </w:r>
            <w:r>
              <w:rPr>
                <w:rFonts w:hint="eastAsia" w:ascii="宋体" w:hAnsi="宋体" w:eastAsia="宋体" w:cs="宋体"/>
                <w:i w:val="0"/>
                <w:iCs w:val="0"/>
                <w:color w:val="auto"/>
                <w:w w:val="90"/>
                <w:kern w:val="0"/>
                <w:sz w:val="21"/>
                <w:szCs w:val="21"/>
                <w:u w:val="none"/>
                <w:lang w:val="en-US" w:eastAsia="zh-CN" w:bidi="ar"/>
              </w:rPr>
              <w:t>%</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eastAsia="宋体" w:cs="宋体"/>
                <w:i w:val="0"/>
                <w:iCs w:val="0"/>
                <w:color w:val="auto"/>
                <w:w w:val="90"/>
                <w:kern w:val="0"/>
                <w:sz w:val="21"/>
                <w:szCs w:val="21"/>
                <w:u w:val="none"/>
                <w:lang w:val="en-US" w:eastAsia="zh-CN" w:bidi="ar"/>
              </w:rPr>
              <w:t>≥95%</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w w:val="90"/>
                <w:sz w:val="21"/>
                <w:szCs w:val="21"/>
                <w:u w:val="none"/>
              </w:rPr>
            </w:pPr>
            <w:r>
              <w:rPr>
                <w:rFonts w:hint="eastAsia" w:ascii="宋体" w:hAnsi="宋体" w:cs="宋体"/>
                <w:i w:val="0"/>
                <w:iCs w:val="0"/>
                <w:color w:val="auto"/>
                <w:w w:val="90"/>
                <w:sz w:val="21"/>
                <w:szCs w:val="21"/>
                <w:u w:val="none"/>
                <w:lang w:eastAsia="zh-CN"/>
              </w:rPr>
              <w:t>计划数据</w:t>
            </w:r>
          </w:p>
        </w:tc>
      </w:tr>
    </w:tbl>
    <w:p>
      <w:pPr>
        <w:spacing w:before="35" w:line="572" w:lineRule="exact"/>
        <w:ind w:firstLine="14"/>
      </w:pPr>
    </w:p>
    <w:p>
      <w:pPr>
        <w:spacing w:line="12617" w:lineRule="exact"/>
        <w:sectPr>
          <w:footerReference r:id="rId14" w:type="default"/>
          <w:pgSz w:w="11906" w:h="16839"/>
          <w:pgMar w:top="720" w:right="720" w:bottom="720" w:left="720" w:header="0" w:footer="986" w:gutter="0"/>
          <w:pgBorders>
            <w:top w:val="none" w:sz="0" w:space="0"/>
            <w:left w:val="none" w:sz="0" w:space="0"/>
            <w:bottom w:val="none" w:sz="0" w:space="0"/>
            <w:right w:val="none" w:sz="0" w:space="0"/>
          </w:pgBorders>
          <w:pgNumType w:fmt="decimal"/>
          <w:cols w:space="0" w:num="1"/>
          <w:rtlGutter w:val="0"/>
          <w:docGrid w:linePitch="0" w:charSpace="0"/>
        </w:sectPr>
      </w:pPr>
    </w:p>
    <w:p>
      <w:pPr>
        <w:keepNext w:val="0"/>
        <w:keepLines w:val="0"/>
        <w:widowControl/>
        <w:suppressLineNumbers w:val="0"/>
        <w:jc w:val="left"/>
        <w:textAlignment w:val="bottom"/>
        <w:rPr>
          <w:rFonts w:hint="default" w:ascii="创艺简标宋" w:hAnsi="创艺简标宋" w:eastAsia="创艺简标宋" w:cs="创艺简标宋"/>
          <w:i w:val="0"/>
          <w:iCs w:val="0"/>
          <w:color w:val="auto"/>
          <w:w w:val="90"/>
          <w:kern w:val="0"/>
          <w:sz w:val="20"/>
          <w:szCs w:val="20"/>
          <w:u w:val="none"/>
          <w:lang w:val="en-US" w:eastAsia="zh-CN" w:bidi="ar"/>
        </w:rPr>
      </w:pPr>
      <w:r>
        <w:rPr>
          <w:rFonts w:hint="eastAsia" w:ascii="创艺简标宋" w:hAnsi="创艺简标宋" w:eastAsia="创艺简标宋" w:cs="创艺简标宋"/>
          <w:i w:val="0"/>
          <w:iCs w:val="0"/>
          <w:color w:val="auto"/>
          <w:w w:val="90"/>
          <w:kern w:val="0"/>
          <w:sz w:val="20"/>
          <w:szCs w:val="20"/>
          <w:u w:val="none"/>
          <w:lang w:val="en-US" w:eastAsia="zh-CN" w:bidi="ar"/>
        </w:rPr>
        <w:t>表12-1</w:t>
      </w:r>
    </w:p>
    <w:p>
      <w:pPr>
        <w:adjustRightInd w:val="0"/>
        <w:snapToGrid w:val="0"/>
        <w:spacing w:before="156" w:beforeLines="50" w:after="156" w:afterLines="50" w:line="580" w:lineRule="atLeast"/>
        <w:jc w:val="center"/>
        <w:rPr>
          <w:rFonts w:hint="eastAsia" w:ascii="创艺简标宋" w:eastAsia="创艺简标宋"/>
          <w:sz w:val="36"/>
          <w:szCs w:val="36"/>
        </w:rPr>
      </w:pPr>
      <w:r>
        <w:rPr>
          <w:rFonts w:hint="eastAsia" w:ascii="创艺简标宋" w:eastAsia="创艺简标宋"/>
          <w:sz w:val="36"/>
          <w:szCs w:val="36"/>
        </w:rPr>
        <w:t>部门项目申报表(含绩效目标)</w:t>
      </w:r>
    </w:p>
    <w:p>
      <w:pPr>
        <w:jc w:val="both"/>
        <w:rPr>
          <w:rFonts w:ascii="宋体" w:hAnsi="宋体"/>
        </w:rPr>
      </w:pPr>
      <w:r>
        <w:rPr>
          <w:rFonts w:hint="eastAsia" w:ascii="宋体" w:hAnsi="宋体" w:cs="仿宋_GB2312"/>
          <w:szCs w:val="21"/>
        </w:rPr>
        <w:t>申报日期：</w:t>
      </w:r>
      <w:r>
        <w:rPr>
          <w:rFonts w:hint="eastAsia" w:ascii="宋体" w:hAnsi="宋体" w:eastAsia="宋体" w:cs="仿宋_GB2312"/>
          <w:szCs w:val="21"/>
          <w:lang w:val="en-US" w:eastAsia="zh-CN"/>
        </w:rPr>
        <w:t xml:space="preserve">             </w:t>
      </w:r>
      <w:r>
        <w:rPr>
          <w:rFonts w:hint="eastAsia" w:ascii="宋体" w:hAnsi="宋体"/>
        </w:rPr>
        <w:t xml:space="preserve">                                            </w:t>
      </w:r>
      <w:r>
        <w:rPr>
          <w:rFonts w:hint="eastAsia" w:ascii="宋体" w:hAnsi="宋体" w:eastAsia="宋体"/>
          <w:lang w:val="en-US" w:eastAsia="zh-CN"/>
        </w:rPr>
        <w:t xml:space="preserve">                   </w:t>
      </w:r>
      <w:r>
        <w:rPr>
          <w:rFonts w:hint="eastAsia" w:ascii="宋体" w:hAnsi="宋体"/>
        </w:rPr>
        <w:t xml:space="preserve"> </w:t>
      </w:r>
      <w:r>
        <w:rPr>
          <w:rFonts w:hint="eastAsia" w:ascii="宋体" w:hAnsi="宋体" w:cs="仿宋_GB2312"/>
        </w:rPr>
        <w:t>单位：万元</w:t>
      </w:r>
    </w:p>
    <w:tbl>
      <w:tblPr>
        <w:tblStyle w:val="9"/>
        <w:tblW w:w="103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8"/>
        <w:gridCol w:w="2445"/>
        <w:gridCol w:w="2670"/>
        <w:gridCol w:w="25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项目名称</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医疗卫生机构改革和发展</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项目编码</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42010023713T000000110/42010023713T000000128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项目主管部门</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武汉市卫生和计划生育委员会</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项目执行单位</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武汉市皮肤病防治院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项目负责人</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周志华</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联系电话</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13971622697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单位地址</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武汉市硚口区武胜路64号　</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邮政编码</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430030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项目属性</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　持续性项目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支出项目类别</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　其他运转类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起始年度</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2024</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终止年度</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项目立项依据</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numPr>
                <w:ilvl w:val="0"/>
                <w:numId w:val="2"/>
              </w:numPr>
              <w:snapToGrid w:val="0"/>
              <w:jc w:val="left"/>
              <w:rPr>
                <w:rFonts w:ascii="宋体" w:hAnsi="宋体" w:cs="Arial"/>
                <w:color w:val="000000"/>
                <w:w w:val="80"/>
                <w:kern w:val="0"/>
                <w:szCs w:val="21"/>
              </w:rPr>
            </w:pPr>
            <w:r>
              <w:rPr>
                <w:rFonts w:hint="eastAsia" w:ascii="宋体" w:hAnsi="宋体" w:cs="Arial"/>
                <w:color w:val="000000"/>
                <w:w w:val="80"/>
                <w:kern w:val="0"/>
                <w:szCs w:val="21"/>
              </w:rPr>
              <w:t>项目的政策依据：《全国麻风病防治管理条例》、武汉市六部门《关于印发武汉市</w:t>
            </w:r>
            <w:bookmarkStart w:id="0" w:name="OLE_LINK3"/>
            <w:bookmarkStart w:id="1" w:name="OLE_LINK4"/>
            <w:r>
              <w:rPr>
                <w:rFonts w:hint="eastAsia" w:ascii="宋体" w:hAnsi="宋体" w:cs="Arial"/>
                <w:color w:val="000000"/>
                <w:w w:val="80"/>
                <w:kern w:val="0"/>
                <w:szCs w:val="21"/>
              </w:rPr>
              <w:t>麻风病防治机构体制改革实施方案</w:t>
            </w:r>
            <w:bookmarkEnd w:id="0"/>
            <w:bookmarkEnd w:id="1"/>
            <w:r>
              <w:rPr>
                <w:rFonts w:hint="eastAsia" w:ascii="宋体" w:hAnsi="宋体" w:cs="Arial"/>
                <w:color w:val="000000"/>
                <w:w w:val="80"/>
                <w:kern w:val="0"/>
                <w:szCs w:val="21"/>
              </w:rPr>
              <w:t>的通知》（武卫[2009]290号）、《湖北省区域性麻风中心工作规范（试行）和湖北省麻风病患者入院治疗与休养管理实施意见》(鄂卫规【2011】10号)。市民政局市财政局关于调整城乡低保和特困人员等社会救助对象保障标准的通知（武民政【2023】10号）。</w:t>
            </w:r>
          </w:p>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2.项目与部门职能的相关性：武汉麻风防治中心承担着全市麻风病人集中收治、管理、康复等工作职能。近年来先后被授牌“湖北省麻风病临床服务技术指导中心”、“全国麻风病健康促进示范基地”、“武汉国际麻风康复中心”，是国内一流、影响较大的区域麻风防治中心。项目实施与工作职能高度相关。</w:t>
            </w:r>
          </w:p>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3.项目实施的现实意义：本项目的实施将为公共卫生工作提供重要的物质保障，主要解决我市集中收治的住院麻风病人生活和医疗服务问题，对确保麻风院区正常运转具有重要的现实意义。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项目实施方案</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　结合每个病人实际，以加强关怀为宗旨，由武汉麻风防治中心医护人员和管理人员统筹安排经费支出，确保麻风病人享有良好的生活和医疗服务。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项目总预算</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2684.96　</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项目当年预算</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2684.96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项目前两年预算及当年预算变动情况</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2022年预算批复3657.40万元，2023年预算批复2046.34万元，2024年根据单位实际发展情况及当年主要工作重点编制预算。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668" w:type="dxa"/>
            <w:vMerge w:val="restart"/>
            <w:tcBorders>
              <w:top w:val="nil"/>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项目资金来源</w:t>
            </w: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来源项目</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合计</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2684.96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一般公共预算财政拨款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917.26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 xml:space="preserve">  其中：申请当年预算拨款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917.96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政府性基金预算财政拨款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财政专户管理资金</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单位资金</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1767.00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 xml:space="preserve">  其中：使用上年度财政拨款结转</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hint="eastAsia" w:ascii="宋体" w:hAnsi="宋体" w:cs="Arial"/>
                <w:color w:val="000000"/>
                <w:w w:val="80"/>
                <w:kern w:val="0"/>
                <w:szCs w:val="21"/>
              </w:rPr>
            </w:pPr>
          </w:p>
        </w:tc>
      </w:tr>
    </w:tbl>
    <w:p/>
    <w:p>
      <w:pPr>
        <w:rPr>
          <w:rFonts w:hint="eastAsia"/>
        </w:rPr>
      </w:pPr>
      <w:r>
        <w:br w:type="column"/>
      </w:r>
    </w:p>
    <w:tbl>
      <w:tblPr>
        <w:tblStyle w:val="9"/>
        <w:tblW w:w="103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34"/>
        <w:gridCol w:w="1334"/>
        <w:gridCol w:w="1336"/>
        <w:gridCol w:w="1109"/>
        <w:gridCol w:w="1335"/>
        <w:gridCol w:w="1382"/>
        <w:gridCol w:w="341"/>
        <w:gridCol w:w="947"/>
        <w:gridCol w:w="11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项目支出明细测算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项目活动</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活动内容</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表述</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支出经济</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分类</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测算依据及说明</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麻风休养人员支出</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麻风病人生活及医疗等各项支出</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商品和服务支出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224.60</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根据麻风病人实际需求及往年数据测算</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机构运转维护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餐饮服务</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单位餐饮物资配送服务</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商品和服务支出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151.20</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根据单位实际人数，按人均700元标准计算。</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办公设备购置</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购买电脑、打印机等</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资本性支出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21.10</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根据单位实际需要</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单位其他运转类支出</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编外人员支出、后湖院区物业管理费、购置专用材料、印刷等</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商品和服务支出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1756.56</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根据单位实际情况及需要测算编制</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购置医疗设备及信息化建设</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购置净化空调、高频电灼仪等医疗设备、密码应用建设项目建设</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资本性支出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531.50</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根据单位实际及市场询价情况填报</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项目采购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品名</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数量</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密码应用建设项目</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595脉冲染料激光</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包埋机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高频电灼仪</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多功能急救护理训练模拟人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摊烤片机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脱水机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高频电针治疗仪</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红蓝黄光动力治疗仪</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皮肤镜</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308nm紫外线光疗仪</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二氧化碳激光治疗机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聚焦高能超声设备（刀头、炮头）</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3</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印刷服务</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餐饮服务</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151.20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扫描仪</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5</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碎纸机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5</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黑白打印机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台式机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30</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彩色打印机</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2</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项目绩效总目标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名称</w:t>
            </w:r>
          </w:p>
        </w:tc>
        <w:tc>
          <w:tcPr>
            <w:tcW w:w="7632" w:type="dxa"/>
            <w:gridSpan w:val="7"/>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7632" w:type="dxa"/>
            <w:gridSpan w:val="7"/>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宋体"/>
                <w:color w:val="000000"/>
                <w:w w:val="90"/>
                <w:kern w:val="0"/>
                <w:szCs w:val="21"/>
                <w:lang w:bidi="ar"/>
              </w:rPr>
              <w:t>确保单位业务工作、行政后勤服务等日常工作的正常运转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7632" w:type="dxa"/>
            <w:gridSpan w:val="7"/>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改善麻风病、性病、皮肤病实验室检测、康复治疗硬件及软件条件，提升公共卫生服务能力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长期绩效目标表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目标名称</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一级指标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二级指标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三级指标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指标值确定依据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院区年开展麻风病人全面健康体检次数</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2次</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麻风病人健康管理覆盖率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危急重症及时救治率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时效指标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后勤应急服务响应时间</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ascii="Arial" w:hAnsi="Arial" w:cs="Arial"/>
                <w:color w:val="000000"/>
                <w:w w:val="80"/>
                <w:kern w:val="0"/>
                <w:szCs w:val="21"/>
              </w:rPr>
              <w:t>≤</w:t>
            </w:r>
            <w:r>
              <w:rPr>
                <w:rFonts w:hint="eastAsia" w:ascii="Arial" w:hAnsi="Arial" w:cs="Arial"/>
                <w:color w:val="000000"/>
                <w:w w:val="80"/>
                <w:kern w:val="0"/>
                <w:szCs w:val="21"/>
              </w:rPr>
              <w:t>24小时</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效益指标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社会效益指标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麻风院区维稳和社会治安综合治理工作是否长期达标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达标</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受益对象满意度指标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职工对餐饮等后勤服务满意度</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≥90%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受益对象满意度指标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休养老人对生活和医疗服务的满意度</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ascii="Arial" w:hAnsi="Arial" w:cs="Arial"/>
                <w:color w:val="000000"/>
                <w:w w:val="80"/>
                <w:kern w:val="0"/>
                <w:szCs w:val="21"/>
              </w:rPr>
              <w:t>≥</w:t>
            </w:r>
            <w:r>
              <w:rPr>
                <w:rFonts w:hint="eastAsia" w:ascii="宋体" w:hAnsi="宋体" w:cs="Arial"/>
                <w:color w:val="000000"/>
                <w:w w:val="80"/>
                <w:kern w:val="0"/>
                <w:szCs w:val="21"/>
              </w:rPr>
              <w:t>95%</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服务人次数年均增长率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Arial" w:hAnsi="Arial" w:cs="Arial"/>
                <w:color w:val="000000"/>
                <w:w w:val="80"/>
                <w:kern w:val="0"/>
                <w:szCs w:val="21"/>
              </w:rPr>
            </w:pPr>
            <w:r>
              <w:rPr>
                <w:rFonts w:hint="eastAsia" w:ascii="华文仿宋" w:hAnsi="华文仿宋" w:eastAsia="华文仿宋" w:cs="华文仿宋"/>
                <w:kern w:val="0"/>
                <w:szCs w:val="21"/>
              </w:rPr>
              <w:t>≥5%</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软件购置数量</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1套</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医疗设备故障率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华文仿宋" w:hAnsi="华文仿宋" w:eastAsia="华文仿宋" w:cs="华文仿宋"/>
                <w:kern w:val="0"/>
                <w:szCs w:val="21"/>
              </w:rPr>
            </w:pPr>
            <w:r>
              <w:rPr>
                <w:rFonts w:hint="eastAsia" w:ascii="华文仿宋" w:hAnsi="华文仿宋" w:eastAsia="华文仿宋" w:cs="华文仿宋"/>
                <w:kern w:val="0"/>
                <w:szCs w:val="21"/>
              </w:rPr>
              <w:t>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设备质量合格率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华文仿宋" w:hAnsi="华文仿宋" w:eastAsia="华文仿宋" w:cs="华文仿宋"/>
                <w:kern w:val="0"/>
                <w:szCs w:val="21"/>
              </w:rPr>
            </w:pPr>
            <w:r>
              <w:rPr>
                <w:rFonts w:hint="eastAsia" w:ascii="华文仿宋" w:hAnsi="华文仿宋" w:eastAsia="华文仿宋" w:cs="华文仿宋"/>
                <w:kern w:val="0"/>
                <w:szCs w:val="21"/>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时效指标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设备维护及时率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华文仿宋" w:hAnsi="华文仿宋" w:eastAsia="华文仿宋" w:cs="华文仿宋"/>
                <w:kern w:val="0"/>
                <w:szCs w:val="21"/>
              </w:rPr>
            </w:pPr>
            <w:r>
              <w:rPr>
                <w:rFonts w:hint="eastAsia" w:ascii="华文仿宋" w:hAnsi="华文仿宋" w:eastAsia="华文仿宋" w:cs="华文仿宋"/>
                <w:kern w:val="0"/>
                <w:szCs w:val="21"/>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效益指标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社会效益指标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医疗设备利用率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华文仿宋" w:hAnsi="华文仿宋" w:eastAsia="华文仿宋" w:cs="华文仿宋"/>
                <w:kern w:val="0"/>
                <w:szCs w:val="21"/>
              </w:rPr>
            </w:pPr>
            <w:r>
              <w:rPr>
                <w:rFonts w:hint="eastAsia" w:ascii="华文仿宋" w:hAnsi="华文仿宋" w:eastAsia="华文仿宋" w:cs="华文仿宋"/>
                <w:kern w:val="0"/>
                <w:szCs w:val="21"/>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服务对象满意度指标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使用人员满意度</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ascii="华文仿宋" w:hAnsi="华文仿宋" w:eastAsia="华文仿宋" w:cs="华文仿宋"/>
                <w:kern w:val="0"/>
                <w:szCs w:val="21"/>
              </w:rPr>
            </w:pPr>
            <w:r>
              <w:rPr>
                <w:rFonts w:hint="eastAsia" w:ascii="华文仿宋" w:hAnsi="华文仿宋" w:eastAsia="华文仿宋" w:cs="华文仿宋"/>
                <w:kern w:val="0"/>
                <w:szCs w:val="21"/>
              </w:rPr>
              <w:t>≥90%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pacing w:line="240" w:lineRule="exact"/>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年度绩效目标表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目标名称</w:t>
            </w:r>
          </w:p>
        </w:tc>
        <w:tc>
          <w:tcPr>
            <w:tcW w:w="1334"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一级指标</w:t>
            </w:r>
          </w:p>
        </w:tc>
        <w:tc>
          <w:tcPr>
            <w:tcW w:w="1336"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二级指标</w:t>
            </w:r>
          </w:p>
        </w:tc>
        <w:tc>
          <w:tcPr>
            <w:tcW w:w="1109"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三级</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w:t>
            </w:r>
          </w:p>
        </w:tc>
        <w:tc>
          <w:tcPr>
            <w:tcW w:w="4005" w:type="dxa"/>
            <w:gridSpan w:val="4"/>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w:t>
            </w:r>
          </w:p>
        </w:tc>
        <w:tc>
          <w:tcPr>
            <w:tcW w:w="1182" w:type="dxa"/>
            <w:vMerge w:val="restart"/>
            <w:tcBorders>
              <w:top w:val="single" w:color="000000" w:sz="4" w:space="0"/>
              <w:left w:val="single" w:color="auto"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指标值确定</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3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前年</w:t>
            </w:r>
          </w:p>
        </w:tc>
        <w:tc>
          <w:tcPr>
            <w:tcW w:w="138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上年</w:t>
            </w:r>
          </w:p>
        </w:tc>
        <w:tc>
          <w:tcPr>
            <w:tcW w:w="1288" w:type="dxa"/>
            <w:gridSpan w:val="2"/>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预计当年</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实现</w:t>
            </w:r>
          </w:p>
        </w:tc>
        <w:tc>
          <w:tcPr>
            <w:tcW w:w="1182"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bookmarkStart w:id="2" w:name="_GoBack"/>
            <w:bookmarkEnd w:id="2"/>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1109"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年开展麻风病人全面健康体检次数</w:t>
            </w:r>
          </w:p>
        </w:tc>
        <w:tc>
          <w:tcPr>
            <w:tcW w:w="1335"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2次</w:t>
            </w:r>
          </w:p>
        </w:tc>
        <w:tc>
          <w:tcPr>
            <w:tcW w:w="1382"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2次</w:t>
            </w:r>
          </w:p>
        </w:tc>
        <w:tc>
          <w:tcPr>
            <w:tcW w:w="1288" w:type="dxa"/>
            <w:gridSpan w:val="2"/>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2次</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麻风病人健康管理覆盖率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100%</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100%</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危急重症及时救治率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时效指标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后勤应急服务响应时间</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ascii="宋体" w:hAnsi="宋体" w:cs="Arial"/>
                <w:color w:val="000000"/>
                <w:w w:val="80"/>
                <w:kern w:val="0"/>
                <w:szCs w:val="21"/>
              </w:rPr>
              <w:t>≤</w:t>
            </w:r>
            <w:r>
              <w:rPr>
                <w:rFonts w:hint="eastAsia" w:ascii="宋体" w:hAnsi="宋体" w:cs="Arial"/>
                <w:color w:val="000000"/>
                <w:w w:val="80"/>
                <w:kern w:val="0"/>
                <w:szCs w:val="21"/>
              </w:rPr>
              <w:t>24小时</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ascii="宋体" w:hAnsi="宋体" w:cs="Arial"/>
                <w:color w:val="000000"/>
                <w:w w:val="80"/>
                <w:kern w:val="0"/>
                <w:szCs w:val="21"/>
              </w:rPr>
              <w:t>≤</w:t>
            </w:r>
            <w:r>
              <w:rPr>
                <w:rFonts w:hint="eastAsia" w:ascii="宋体" w:hAnsi="宋体" w:cs="Arial"/>
                <w:color w:val="000000"/>
                <w:w w:val="80"/>
                <w:kern w:val="0"/>
                <w:szCs w:val="21"/>
              </w:rPr>
              <w:t>24小时</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ascii="Arial" w:hAnsi="Arial" w:cs="Arial"/>
                <w:color w:val="000000"/>
                <w:w w:val="80"/>
                <w:kern w:val="0"/>
                <w:szCs w:val="21"/>
              </w:rPr>
              <w:t>≤</w:t>
            </w:r>
            <w:r>
              <w:rPr>
                <w:rFonts w:hint="eastAsia" w:ascii="Arial" w:hAnsi="Arial" w:cs="Arial"/>
                <w:color w:val="000000"/>
                <w:w w:val="80"/>
                <w:kern w:val="0"/>
                <w:szCs w:val="21"/>
              </w:rPr>
              <w:t>24小时</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效益指标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社会效益指标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麻风院区维稳和社会治安综合治理工作是否长期达标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达标</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达标</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宋体" w:hAnsi="宋体" w:cs="Arial"/>
                <w:color w:val="000000"/>
                <w:w w:val="80"/>
                <w:kern w:val="0"/>
                <w:szCs w:val="21"/>
              </w:rPr>
              <w:t>达标</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受益对象满意度指标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休养老人对生活和医疗服务的满意度</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95%</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98%</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ascii="Arial" w:hAnsi="Arial" w:cs="Arial"/>
                <w:color w:val="000000"/>
                <w:w w:val="80"/>
                <w:kern w:val="0"/>
                <w:szCs w:val="21"/>
              </w:rPr>
              <w:t>≥</w:t>
            </w:r>
            <w:r>
              <w:rPr>
                <w:rFonts w:hint="eastAsia" w:ascii="宋体" w:hAnsi="宋体" w:cs="Arial"/>
                <w:color w:val="000000"/>
                <w:w w:val="80"/>
                <w:kern w:val="0"/>
                <w:szCs w:val="21"/>
              </w:rPr>
              <w:t>95%</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机构运转维护</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受益对象满意度指标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职工对餐饮等后勤服务满意度</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≥90%</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≥90%</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宋体" w:hAnsi="宋体" w:cs="Arial"/>
                <w:color w:val="000000"/>
                <w:w w:val="80"/>
                <w:kern w:val="0"/>
                <w:szCs w:val="21"/>
              </w:rPr>
              <w:t>≥90%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设备采购计划完成率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数量指标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购置医疗设备数量</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12台/套</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医疗设备故障率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质量指标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设备质量合格率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时效指标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设备购置及时率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noWrap w:val="0"/>
            <w:vAlign w:val="top"/>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效益指标</w:t>
            </w:r>
          </w:p>
        </w:tc>
        <w:tc>
          <w:tcPr>
            <w:tcW w:w="1336"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社会效益指标</w:t>
            </w:r>
          </w:p>
        </w:tc>
        <w:tc>
          <w:tcPr>
            <w:tcW w:w="1109"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医疗设备利用率</w:t>
            </w:r>
          </w:p>
        </w:tc>
        <w:tc>
          <w:tcPr>
            <w:tcW w:w="1335"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noWrap w:val="0"/>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≥80%</w:t>
            </w:r>
          </w:p>
        </w:tc>
        <w:tc>
          <w:tcPr>
            <w:tcW w:w="1182" w:type="dxa"/>
            <w:noWrap w:val="0"/>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noWrap w:val="0"/>
            <w:vAlign w:val="top"/>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机构发展</w:t>
            </w:r>
          </w:p>
        </w:tc>
        <w:tc>
          <w:tcPr>
            <w:tcW w:w="1334"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满意度指标</w:t>
            </w:r>
          </w:p>
        </w:tc>
        <w:tc>
          <w:tcPr>
            <w:tcW w:w="1336"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服务对象满意度指标</w:t>
            </w:r>
          </w:p>
        </w:tc>
        <w:tc>
          <w:tcPr>
            <w:tcW w:w="1109"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使用人员满意度</w:t>
            </w:r>
          </w:p>
        </w:tc>
        <w:tc>
          <w:tcPr>
            <w:tcW w:w="1335"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382" w:type="dxa"/>
            <w:noWrap w:val="0"/>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w:t>
            </w:r>
          </w:p>
        </w:tc>
        <w:tc>
          <w:tcPr>
            <w:tcW w:w="1288" w:type="dxa"/>
            <w:gridSpan w:val="2"/>
            <w:noWrap w:val="0"/>
            <w:vAlign w:val="center"/>
          </w:tcPr>
          <w:p>
            <w:pPr>
              <w:widowControl/>
              <w:snapToGrid w:val="0"/>
              <w:jc w:val="center"/>
              <w:rPr>
                <w:rFonts w:ascii="Arial" w:hAnsi="Arial" w:cs="Arial"/>
                <w:color w:val="000000"/>
                <w:w w:val="80"/>
                <w:kern w:val="0"/>
                <w:szCs w:val="21"/>
              </w:rPr>
            </w:pPr>
            <w:r>
              <w:rPr>
                <w:rFonts w:hint="eastAsia" w:ascii="Arial" w:hAnsi="Arial" w:cs="Arial"/>
                <w:color w:val="000000"/>
                <w:w w:val="80"/>
                <w:kern w:val="0"/>
                <w:szCs w:val="21"/>
              </w:rPr>
              <w:t>≥90%</w:t>
            </w:r>
          </w:p>
        </w:tc>
        <w:tc>
          <w:tcPr>
            <w:tcW w:w="1182" w:type="dxa"/>
            <w:noWrap w:val="0"/>
            <w:vAlign w:val="center"/>
          </w:tcPr>
          <w:p>
            <w:pPr>
              <w:widowControl/>
              <w:snapToGrid w:val="0"/>
              <w:jc w:val="center"/>
              <w:rPr>
                <w:rFonts w:hint="eastAsia" w:ascii="Arial" w:hAnsi="Arial" w:cs="Arial"/>
                <w:color w:val="000000"/>
                <w:w w:val="80"/>
                <w:kern w:val="0"/>
                <w:szCs w:val="21"/>
              </w:rPr>
            </w:pPr>
            <w:r>
              <w:rPr>
                <w:rFonts w:hint="eastAsia" w:ascii="Arial" w:hAnsi="Arial" w:cs="Arial"/>
                <w:color w:val="000000"/>
                <w:w w:val="80"/>
                <w:kern w:val="0"/>
                <w:szCs w:val="21"/>
              </w:rPr>
              <w:t>计划数据</w:t>
            </w:r>
          </w:p>
        </w:tc>
      </w:tr>
    </w:tbl>
    <w:p>
      <w:pPr>
        <w:pStyle w:val="6"/>
        <w:snapToGrid w:val="0"/>
        <w:spacing w:line="600" w:lineRule="atLeast"/>
        <w:rPr>
          <w:rFonts w:hint="eastAsia" w:ascii="创艺简标宋" w:eastAsia="创艺简标宋"/>
          <w:sz w:val="44"/>
          <w:szCs w:val="44"/>
        </w:rPr>
      </w:pPr>
    </w:p>
    <w:p>
      <w:pPr>
        <w:spacing w:before="44" w:line="540" w:lineRule="exact"/>
        <w:sectPr>
          <w:footerReference r:id="rId15" w:type="default"/>
          <w:pgSz w:w="11906" w:h="16839"/>
          <w:pgMar w:top="720" w:right="720" w:bottom="720" w:left="720" w:header="0" w:footer="989" w:gutter="0"/>
          <w:pgBorders>
            <w:top w:val="none" w:sz="0" w:space="0"/>
            <w:left w:val="none" w:sz="0" w:space="0"/>
            <w:bottom w:val="none" w:sz="0" w:space="0"/>
            <w:right w:val="none" w:sz="0" w:space="0"/>
          </w:pgBorders>
          <w:pgNumType w:fmt="decimal"/>
          <w:cols w:space="720" w:num="1"/>
        </w:sectPr>
      </w:pPr>
    </w:p>
    <w:p>
      <w:pPr>
        <w:keepNext w:val="0"/>
        <w:keepLines w:val="0"/>
        <w:widowControl/>
        <w:suppressLineNumbers w:val="0"/>
        <w:jc w:val="left"/>
        <w:textAlignment w:val="bottom"/>
        <w:rPr>
          <w:rFonts w:hint="default" w:ascii="创艺简标宋" w:hAnsi="创艺简标宋" w:eastAsia="创艺简标宋" w:cs="创艺简标宋"/>
          <w:i w:val="0"/>
          <w:iCs w:val="0"/>
          <w:color w:val="auto"/>
          <w:w w:val="90"/>
          <w:kern w:val="0"/>
          <w:sz w:val="20"/>
          <w:szCs w:val="20"/>
          <w:u w:val="none"/>
          <w:lang w:val="en-US" w:eastAsia="zh-CN" w:bidi="ar"/>
        </w:rPr>
      </w:pPr>
      <w:r>
        <w:rPr>
          <w:rFonts w:hint="eastAsia" w:ascii="创艺简标宋" w:hAnsi="创艺简标宋" w:eastAsia="创艺简标宋" w:cs="创艺简标宋"/>
          <w:i w:val="0"/>
          <w:iCs w:val="0"/>
          <w:color w:val="auto"/>
          <w:w w:val="90"/>
          <w:kern w:val="0"/>
          <w:sz w:val="20"/>
          <w:szCs w:val="20"/>
          <w:u w:val="none"/>
          <w:lang w:val="en-US" w:eastAsia="zh-CN" w:bidi="ar"/>
        </w:rPr>
        <w:t>表12-2</w:t>
      </w:r>
    </w:p>
    <w:p>
      <w:pPr>
        <w:adjustRightInd w:val="0"/>
        <w:snapToGrid w:val="0"/>
        <w:spacing w:before="156" w:beforeLines="50" w:after="156" w:afterLines="50" w:line="580" w:lineRule="atLeast"/>
        <w:jc w:val="center"/>
        <w:rPr>
          <w:rFonts w:hint="eastAsia" w:ascii="创艺简标宋" w:eastAsia="创艺简标宋"/>
          <w:sz w:val="36"/>
          <w:szCs w:val="36"/>
        </w:rPr>
      </w:pPr>
      <w:r>
        <w:rPr>
          <w:rFonts w:hint="eastAsia" w:ascii="创艺简标宋" w:eastAsia="创艺简标宋"/>
          <w:sz w:val="36"/>
          <w:szCs w:val="36"/>
        </w:rPr>
        <w:t>部门项目申报表(含绩效目标)</w:t>
      </w:r>
    </w:p>
    <w:p>
      <w:pPr>
        <w:rPr>
          <w:rFonts w:ascii="宋体" w:hAnsi="宋体"/>
        </w:rPr>
      </w:pPr>
      <w:r>
        <w:rPr>
          <w:rFonts w:hint="eastAsia" w:ascii="宋体" w:hAnsi="宋体" w:cs="仿宋_GB2312"/>
          <w:szCs w:val="21"/>
        </w:rPr>
        <w:t>申报日期</w:t>
      </w:r>
      <w:r>
        <w:rPr>
          <w:rFonts w:hint="eastAsia" w:ascii="宋体" w:hAnsi="宋体" w:cs="仿宋_GB2312"/>
          <w:szCs w:val="21"/>
          <w:lang w:eastAsia="zh-CN"/>
        </w:rPr>
        <w:t>：</w:t>
      </w:r>
      <w:r>
        <w:rPr>
          <w:rFonts w:hint="eastAsia" w:ascii="宋体" w:hAnsi="宋体" w:cs="仿宋_GB2312"/>
          <w:szCs w:val="21"/>
          <w:lang w:val="en-US" w:eastAsia="zh-CN"/>
        </w:rPr>
        <w:t xml:space="preserve">              </w:t>
      </w:r>
      <w:r>
        <w:rPr>
          <w:rFonts w:hint="eastAsia" w:ascii="宋体" w:hAnsi="宋体"/>
        </w:rPr>
        <w:t xml:space="preserve">                                             </w:t>
      </w:r>
      <w:r>
        <w:rPr>
          <w:rFonts w:hint="eastAsia" w:ascii="宋体" w:hAnsi="宋体" w:eastAsia="宋体"/>
          <w:lang w:val="en-US" w:eastAsia="zh-CN"/>
        </w:rPr>
        <w:t xml:space="preserve">                </w:t>
      </w:r>
      <w:r>
        <w:rPr>
          <w:rFonts w:hint="eastAsia" w:ascii="宋体" w:hAnsi="宋体" w:cs="仿宋_GB2312"/>
        </w:rPr>
        <w:t>单位：万元</w:t>
      </w:r>
    </w:p>
    <w:tbl>
      <w:tblPr>
        <w:tblStyle w:val="9"/>
        <w:tblW w:w="103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8"/>
        <w:gridCol w:w="2445"/>
        <w:gridCol w:w="2670"/>
        <w:gridCol w:w="25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项目名称</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lang w:eastAsia="zh-CN"/>
              </w:rPr>
              <w:t>公共卫生服务</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项目编码</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42010023713T000000243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项目主管部门</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武汉市卫生和计划生育委员会</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项目执行单位</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武汉市皮肤病防治院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项目负责人</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eastAsia="zh-CN"/>
              </w:rPr>
              <w:t>周志华</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联系电话</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cs="Arial"/>
                <w:color w:val="000000"/>
                <w:w w:val="80"/>
                <w:kern w:val="0"/>
                <w:szCs w:val="21"/>
                <w:lang w:val="en-US"/>
              </w:rPr>
            </w:pPr>
            <w:r>
              <w:rPr>
                <w:rFonts w:hint="eastAsia" w:ascii="宋体" w:hAnsi="宋体" w:cs="Arial"/>
                <w:color w:val="000000"/>
                <w:w w:val="80"/>
                <w:kern w:val="0"/>
                <w:szCs w:val="21"/>
                <w:lang w:val="en-US" w:eastAsia="zh-CN"/>
              </w:rPr>
              <w:t>13971622697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单位地址</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武汉市硚口区武胜路64号　</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邮政编码</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430030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项目属性</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rPr>
              <w:t>　</w:t>
            </w:r>
            <w:r>
              <w:rPr>
                <w:rFonts w:hint="eastAsia" w:ascii="宋体" w:hAnsi="宋体" w:cs="Arial"/>
                <w:color w:val="000000"/>
                <w:w w:val="80"/>
                <w:kern w:val="0"/>
                <w:szCs w:val="21"/>
                <w:lang w:eastAsia="zh-CN"/>
              </w:rPr>
              <w:t>持续性项目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支出项目类别</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　</w:t>
            </w:r>
            <w:r>
              <w:rPr>
                <w:rFonts w:hint="eastAsia" w:ascii="宋体" w:hAnsi="宋体" w:cs="Arial"/>
                <w:color w:val="000000"/>
                <w:w w:val="80"/>
                <w:kern w:val="0"/>
                <w:szCs w:val="21"/>
                <w:lang w:eastAsia="zh-CN"/>
              </w:rPr>
              <w:t>其他运转类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起始年度</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cs="Arial"/>
                <w:color w:val="000000"/>
                <w:w w:val="80"/>
                <w:kern w:val="0"/>
                <w:szCs w:val="21"/>
                <w:lang w:val="en-US"/>
              </w:rPr>
            </w:pPr>
            <w:r>
              <w:rPr>
                <w:rFonts w:hint="eastAsia" w:ascii="宋体" w:hAnsi="宋体" w:cs="Arial"/>
                <w:color w:val="000000"/>
                <w:w w:val="80"/>
                <w:kern w:val="0"/>
                <w:szCs w:val="21"/>
                <w:lang w:val="en-US" w:eastAsia="zh-CN"/>
              </w:rPr>
              <w:t>2024</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终止年度</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项目立项依据</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numPr>
                <w:ilvl w:val="0"/>
                <w:numId w:val="0"/>
              </w:numPr>
              <w:snapToGrid w:val="0"/>
              <w:jc w:val="left"/>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1.</w:t>
            </w:r>
            <w:r>
              <w:rPr>
                <w:rFonts w:hint="eastAsia" w:ascii="宋体" w:hAnsi="宋体" w:cs="Arial"/>
                <w:color w:val="000000"/>
                <w:w w:val="80"/>
                <w:kern w:val="0"/>
                <w:szCs w:val="21"/>
              </w:rPr>
              <w:t>项目的政策依据：</w:t>
            </w:r>
            <w:r>
              <w:rPr>
                <w:rFonts w:hint="eastAsia" w:ascii="宋体" w:hAnsi="宋体" w:cs="Arial"/>
                <w:color w:val="000000"/>
                <w:w w:val="80"/>
                <w:kern w:val="0"/>
                <w:szCs w:val="21"/>
                <w:lang w:eastAsia="zh-CN"/>
              </w:rPr>
              <w:t>中央、省、市医务人员补助文件。</w:t>
            </w:r>
          </w:p>
          <w:p>
            <w:pPr>
              <w:widowControl/>
              <w:snapToGrid w:val="0"/>
              <w:jc w:val="left"/>
              <w:rPr>
                <w:rFonts w:hint="eastAsia" w:ascii="宋体" w:hAnsi="宋体" w:cs="Arial"/>
                <w:color w:val="000000"/>
                <w:w w:val="80"/>
                <w:kern w:val="0"/>
                <w:szCs w:val="21"/>
              </w:rPr>
            </w:pPr>
            <w:r>
              <w:rPr>
                <w:rFonts w:hint="eastAsia" w:ascii="宋体" w:hAnsi="宋体" w:cs="Arial"/>
                <w:color w:val="000000"/>
                <w:w w:val="80"/>
                <w:kern w:val="0"/>
                <w:szCs w:val="21"/>
              </w:rPr>
              <w:t>2.项目与部门职能的相关性：</w:t>
            </w:r>
            <w:r>
              <w:rPr>
                <w:rFonts w:hint="eastAsia" w:ascii="宋体" w:hAnsi="宋体" w:cs="Arial"/>
                <w:color w:val="000000"/>
                <w:w w:val="80"/>
                <w:kern w:val="0"/>
                <w:szCs w:val="21"/>
                <w:lang w:eastAsia="zh-CN"/>
              </w:rPr>
              <w:t>单位医务人员在疫情期间奋战在战斗一线，为挽回人民群众的生命财产作出了巨大的努力。项目实施与工作</w:t>
            </w:r>
            <w:r>
              <w:rPr>
                <w:rFonts w:hint="eastAsia" w:ascii="宋体" w:hAnsi="宋体" w:cs="Arial"/>
                <w:color w:val="000000"/>
                <w:w w:val="80"/>
                <w:kern w:val="0"/>
                <w:szCs w:val="21"/>
              </w:rPr>
              <w:t>职能</w:t>
            </w:r>
            <w:r>
              <w:rPr>
                <w:rFonts w:hint="eastAsia" w:ascii="宋体" w:hAnsi="宋体" w:cs="Arial"/>
                <w:color w:val="000000"/>
                <w:w w:val="80"/>
                <w:kern w:val="0"/>
                <w:szCs w:val="21"/>
                <w:lang w:eastAsia="zh-CN"/>
              </w:rPr>
              <w:t>高度相关</w:t>
            </w:r>
            <w:r>
              <w:rPr>
                <w:rFonts w:hint="eastAsia" w:ascii="宋体" w:hAnsi="宋体" w:cs="Arial"/>
                <w:color w:val="000000"/>
                <w:w w:val="80"/>
                <w:kern w:val="0"/>
                <w:szCs w:val="21"/>
              </w:rPr>
              <w:t>。</w:t>
            </w:r>
          </w:p>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rPr>
              <w:t>3.项目实施的现实意义：本项目的实施将为公共卫生工作提供重要保障，</w:t>
            </w:r>
            <w:r>
              <w:rPr>
                <w:rFonts w:hint="eastAsia" w:ascii="宋体" w:hAnsi="宋体" w:cs="Arial"/>
                <w:color w:val="000000"/>
                <w:w w:val="80"/>
                <w:kern w:val="0"/>
                <w:szCs w:val="21"/>
                <w:lang w:eastAsia="zh-CN"/>
              </w:rPr>
              <w:t>主要用于发放医务人员工作补助，保障医务人员正常权益</w:t>
            </w:r>
            <w:r>
              <w:rPr>
                <w:rFonts w:hint="eastAsia" w:ascii="宋体" w:hAnsi="宋体" w:cs="Arial"/>
                <w:color w:val="000000"/>
                <w:w w:val="80"/>
                <w:kern w:val="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项目实施方案</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　</w:t>
            </w:r>
            <w:r>
              <w:rPr>
                <w:rFonts w:hint="eastAsia" w:ascii="宋体" w:hAnsi="宋体" w:cs="Arial"/>
                <w:color w:val="000000"/>
                <w:w w:val="80"/>
                <w:kern w:val="0"/>
                <w:szCs w:val="21"/>
                <w:lang w:eastAsia="zh-CN"/>
              </w:rPr>
              <w:t>根据上级发布的相关政策标准发放补助。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项目总预算</w:t>
            </w:r>
          </w:p>
        </w:tc>
        <w:tc>
          <w:tcPr>
            <w:tcW w:w="244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lang w:val="en-US" w:eastAsia="zh-CN"/>
              </w:rPr>
              <w:t>3.30</w:t>
            </w:r>
            <w:r>
              <w:rPr>
                <w:rFonts w:hint="eastAsia" w:ascii="宋体" w:hAnsi="宋体" w:cs="Arial"/>
                <w:color w:val="000000"/>
                <w:w w:val="80"/>
                <w:kern w:val="0"/>
                <w:szCs w:val="21"/>
              </w:rPr>
              <w:t>　</w:t>
            </w:r>
          </w:p>
        </w:tc>
        <w:tc>
          <w:tcPr>
            <w:tcW w:w="2670"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项目当年预算</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lang w:val="en-US" w:eastAsia="zh-CN"/>
              </w:rPr>
              <w:t>3.30</w:t>
            </w:r>
            <w:r>
              <w:rPr>
                <w:rFonts w:hint="eastAsia" w:ascii="宋体" w:hAnsi="宋体" w:cs="Arial"/>
                <w:color w:val="000000"/>
                <w:w w:val="80"/>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2668"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项目前两年预算及当年预算变动情况</w:t>
            </w:r>
          </w:p>
        </w:tc>
        <w:tc>
          <w:tcPr>
            <w:tcW w:w="7632"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2022年无此类资金，2023年51.70万元，2024</w:t>
            </w:r>
            <w:r>
              <w:rPr>
                <w:rFonts w:hint="eastAsia" w:ascii="宋体" w:hAnsi="宋体" w:cs="Arial"/>
                <w:color w:val="000000"/>
                <w:w w:val="80"/>
                <w:kern w:val="0"/>
                <w:szCs w:val="21"/>
              </w:rPr>
              <w:t>年</w:t>
            </w:r>
            <w:r>
              <w:rPr>
                <w:rFonts w:hint="eastAsia" w:ascii="宋体" w:hAnsi="宋体" w:cs="Arial"/>
                <w:color w:val="000000"/>
                <w:w w:val="80"/>
                <w:kern w:val="0"/>
                <w:szCs w:val="21"/>
                <w:lang w:eastAsia="zh-CN"/>
              </w:rPr>
              <w:t>根据上级规定编制预算</w:t>
            </w:r>
            <w:r>
              <w:rPr>
                <w:rFonts w:hint="eastAsia" w:ascii="宋体" w:hAnsi="宋体" w:cs="Arial"/>
                <w:color w:val="000000"/>
                <w:w w:val="80"/>
                <w:kern w:val="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668" w:type="dxa"/>
            <w:vMerge w:val="restart"/>
            <w:tcBorders>
              <w:top w:val="nil"/>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项目资金来源</w:t>
            </w: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来源项目</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合计</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hint="default" w:ascii="宋体" w:hAnsi="宋体" w:cs="Arial"/>
                <w:color w:val="000000"/>
                <w:w w:val="80"/>
                <w:kern w:val="0"/>
                <w:szCs w:val="21"/>
                <w:lang w:val="en-US"/>
              </w:rPr>
            </w:pPr>
            <w:r>
              <w:rPr>
                <w:rFonts w:hint="eastAsia" w:ascii="宋体" w:hAnsi="宋体" w:cs="Arial"/>
                <w:color w:val="000000"/>
                <w:w w:val="80"/>
                <w:kern w:val="0"/>
                <w:szCs w:val="21"/>
                <w:lang w:val="en-US" w:eastAsia="zh-CN"/>
              </w:rPr>
              <w:t>3.30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一般公共预算财政拨款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3.30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 xml:space="preserve">  其中：申请当年预算拨款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政府性基金预算财政拨款</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财政专户管理资金</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单位资金</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668" w:type="dxa"/>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c>
          <w:tcPr>
            <w:tcW w:w="511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ascii="宋体" w:hAnsi="宋体" w:cs="Arial"/>
                <w:color w:val="000000"/>
                <w:w w:val="80"/>
                <w:kern w:val="0"/>
                <w:szCs w:val="21"/>
              </w:rPr>
            </w:pPr>
            <w:r>
              <w:rPr>
                <w:rFonts w:hint="eastAsia" w:ascii="宋体" w:hAnsi="宋体" w:cs="Arial"/>
                <w:color w:val="000000"/>
                <w:w w:val="80"/>
                <w:kern w:val="0"/>
                <w:szCs w:val="21"/>
              </w:rPr>
              <w:t xml:space="preserve">  其中：使用上年度财政拨款结转</w:t>
            </w:r>
          </w:p>
        </w:tc>
        <w:tc>
          <w:tcPr>
            <w:tcW w:w="2517"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right"/>
              <w:rPr>
                <w:rFonts w:ascii="宋体" w:hAnsi="宋体" w:cs="Arial"/>
                <w:color w:val="000000"/>
                <w:w w:val="80"/>
                <w:kern w:val="0"/>
                <w:szCs w:val="21"/>
              </w:rPr>
            </w:pPr>
            <w:r>
              <w:rPr>
                <w:rFonts w:hint="eastAsia" w:ascii="宋体" w:hAnsi="宋体" w:cs="Arial"/>
                <w:color w:val="000000"/>
                <w:w w:val="80"/>
                <w:kern w:val="0"/>
                <w:szCs w:val="21"/>
                <w:lang w:val="en-US" w:eastAsia="zh-CN"/>
              </w:rPr>
              <w:t>3.30</w:t>
            </w:r>
            <w:r>
              <w:rPr>
                <w:rFonts w:hint="eastAsia" w:ascii="宋体" w:hAnsi="宋体" w:cs="Arial"/>
                <w:color w:val="000000"/>
                <w:w w:val="80"/>
                <w:kern w:val="0"/>
                <w:szCs w:val="21"/>
              </w:rPr>
              <w:t>　</w:t>
            </w:r>
          </w:p>
        </w:tc>
      </w:tr>
    </w:tbl>
    <w:p/>
    <w:p>
      <w:pPr>
        <w:rPr>
          <w:rFonts w:hint="eastAsia"/>
        </w:rPr>
      </w:pPr>
      <w:r>
        <w:br w:type="column"/>
      </w:r>
    </w:p>
    <w:tbl>
      <w:tblPr>
        <w:tblStyle w:val="9"/>
        <w:tblW w:w="103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34"/>
        <w:gridCol w:w="1334"/>
        <w:gridCol w:w="1336"/>
        <w:gridCol w:w="1109"/>
        <w:gridCol w:w="1335"/>
        <w:gridCol w:w="1382"/>
        <w:gridCol w:w="341"/>
        <w:gridCol w:w="947"/>
        <w:gridCol w:w="11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项目支出明细测算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项目活动</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活动内容</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表述</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支出经济</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分类</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测算依据及说明</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医务人员临时性工作补助</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相关人员临时性工作补助</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eastAsia="zh-CN"/>
              </w:rPr>
              <w:t>商品和服务支出</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Cs w:val="21"/>
                <w:lang w:val="en-US" w:eastAsia="zh-CN"/>
              </w:rPr>
              <w:t>3.30</w:t>
            </w:r>
          </w:p>
        </w:tc>
        <w:tc>
          <w:tcPr>
            <w:tcW w:w="2717"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根据上级结转金额申报</w:t>
            </w:r>
          </w:p>
        </w:tc>
        <w:tc>
          <w:tcPr>
            <w:tcW w:w="2470" w:type="dxa"/>
            <w:gridSpan w:val="3"/>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医务人员临时性工作补助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项目采购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品名</w:t>
            </w: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数量</w:t>
            </w: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eastAsia="宋体" w:cs="Arial"/>
                <w:color w:val="000000"/>
                <w:w w:val="80"/>
                <w:kern w:val="0"/>
                <w:szCs w:val="21"/>
                <w:lang w:val="en-US" w:eastAsia="zh-CN"/>
              </w:rPr>
            </w:pPr>
          </w:p>
        </w:tc>
        <w:tc>
          <w:tcPr>
            <w:tcW w:w="2445"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eastAsia" w:ascii="宋体" w:hAnsi="宋体" w:eastAsia="宋体" w:cs="Arial"/>
                <w:color w:val="000000"/>
                <w:w w:val="80"/>
                <w:kern w:val="0"/>
                <w:szCs w:val="21"/>
                <w:lang w:val="en-US" w:eastAsia="zh-CN"/>
              </w:rPr>
            </w:pPr>
          </w:p>
        </w:tc>
        <w:tc>
          <w:tcPr>
            <w:tcW w:w="5187" w:type="dxa"/>
            <w:gridSpan w:val="5"/>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bottom"/>
          </w:tcPr>
          <w:p>
            <w:pPr>
              <w:widowControl/>
              <w:snapToGrid w:val="0"/>
              <w:jc w:val="center"/>
              <w:rPr>
                <w:rFonts w:hint="default" w:ascii="宋体" w:hAnsi="宋体" w:eastAsia="宋体" w:cs="Arial"/>
                <w:color w:val="000000"/>
                <w:w w:val="80"/>
                <w:kern w:val="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项目绩效总目标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名称</w:t>
            </w:r>
          </w:p>
        </w:tc>
        <w:tc>
          <w:tcPr>
            <w:tcW w:w="7632" w:type="dxa"/>
            <w:gridSpan w:val="7"/>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2668" w:type="dxa"/>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7632" w:type="dxa"/>
            <w:gridSpan w:val="7"/>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eastAsia="zh-CN"/>
              </w:rPr>
            </w:pPr>
            <w:r>
              <w:rPr>
                <w:rFonts w:hint="eastAsia" w:ascii="宋体" w:hAnsi="宋体" w:cs="宋体"/>
                <w:i w:val="0"/>
                <w:iCs w:val="0"/>
                <w:color w:val="000000"/>
                <w:w w:val="90"/>
                <w:kern w:val="0"/>
                <w:sz w:val="21"/>
                <w:szCs w:val="21"/>
                <w:u w:val="none"/>
                <w:lang w:val="en-US" w:eastAsia="zh-CN" w:bidi="ar"/>
              </w:rPr>
              <w:t>依照政策按时足额发放相关医务人员补助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长期绩效目标表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目标名称</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一级指标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二级指标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三级指标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指标值确定依据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334" w:type="dxa"/>
            <w:tcBorders>
              <w:top w:val="single" w:color="000000" w:sz="4" w:space="0"/>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both"/>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top w:val="single" w:color="000000" w:sz="4" w:space="0"/>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lang w:eastAsia="zh-CN"/>
              </w:rPr>
              <w:t>数量指标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eastAsia="zh-CN"/>
              </w:rPr>
            </w:pPr>
            <w:r>
              <w:rPr>
                <w:rFonts w:hint="eastAsia" w:ascii="宋体" w:hAnsi="宋体" w:eastAsia="宋体" w:cs="Arial"/>
                <w:color w:val="000000"/>
                <w:w w:val="80"/>
                <w:kern w:val="0"/>
                <w:szCs w:val="21"/>
                <w:lang w:eastAsia="zh-CN"/>
              </w:rPr>
              <w:t>发放人数</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cs="Arial"/>
                <w:color w:val="000000"/>
                <w:w w:val="80"/>
                <w:kern w:val="0"/>
                <w:sz w:val="21"/>
                <w:szCs w:val="21"/>
                <w:lang w:val="en-US" w:eastAsia="zh-CN" w:bidi="ar-SA"/>
              </w:rPr>
              <w:t>≤177人</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Cs w:val="21"/>
                <w:lang w:eastAsia="zh-CN"/>
              </w:rPr>
              <w:t>数量指标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 w:val="21"/>
                <w:szCs w:val="21"/>
                <w:lang w:val="en-US" w:eastAsia="zh-CN" w:bidi="ar-SA"/>
              </w:rPr>
              <w:t>发放次数</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≥1次</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质量指标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lang w:eastAsia="zh-CN"/>
              </w:rPr>
            </w:pPr>
            <w:r>
              <w:rPr>
                <w:rFonts w:hint="eastAsia" w:ascii="宋体" w:hAnsi="宋体" w:cs="Arial"/>
                <w:color w:val="000000"/>
                <w:w w:val="80"/>
                <w:kern w:val="0"/>
                <w:szCs w:val="21"/>
                <w:lang w:eastAsia="zh-CN"/>
              </w:rPr>
              <w:t>上级任务完成率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Cs w:val="21"/>
                <w:lang w:eastAsia="zh-CN"/>
              </w:rPr>
            </w:pPr>
            <w:r>
              <w:rPr>
                <w:rFonts w:hint="eastAsia" w:ascii="宋体" w:hAnsi="宋体" w:cs="Arial"/>
                <w:color w:val="000000"/>
                <w:w w:val="80"/>
                <w:kern w:val="0"/>
                <w:szCs w:val="21"/>
                <w:lang w:eastAsia="zh-CN"/>
              </w:rPr>
              <w:t>时效指标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cs="Arial"/>
                <w:color w:val="000000"/>
                <w:w w:val="80"/>
                <w:kern w:val="0"/>
                <w:szCs w:val="21"/>
                <w:lang w:eastAsia="zh-CN"/>
              </w:rPr>
            </w:pPr>
            <w:r>
              <w:rPr>
                <w:rFonts w:hint="eastAsia" w:ascii="宋体" w:hAnsi="宋体" w:cs="Arial"/>
                <w:color w:val="000000"/>
                <w:w w:val="80"/>
                <w:kern w:val="0"/>
                <w:szCs w:val="21"/>
                <w:lang w:eastAsia="zh-CN"/>
              </w:rPr>
              <w:t>发放及时率</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100%</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334" w:type="dxa"/>
            <w:tcBorders>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cs="Arial"/>
                <w:color w:val="000000"/>
                <w:w w:val="80"/>
                <w:kern w:val="0"/>
                <w:szCs w:val="21"/>
                <w:lang w:eastAsia="zh-CN"/>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eastAsia="zh-CN"/>
              </w:rPr>
              <w:t>服务对象满意度指标</w:t>
            </w:r>
          </w:p>
        </w:tc>
        <w:tc>
          <w:tcPr>
            <w:tcW w:w="2444"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受益人员满意度</w:t>
            </w:r>
          </w:p>
        </w:tc>
        <w:tc>
          <w:tcPr>
            <w:tcW w:w="1723"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cs="Arial"/>
                <w:color w:val="000000"/>
                <w:w w:val="80"/>
                <w:kern w:val="0"/>
                <w:sz w:val="21"/>
                <w:szCs w:val="21"/>
                <w:lang w:val="en-US" w:eastAsia="zh-CN" w:bidi="ar-SA"/>
              </w:rPr>
              <w:t>≥</w:t>
            </w:r>
            <w:r>
              <w:rPr>
                <w:rFonts w:hint="eastAsia" w:ascii="宋体" w:hAnsi="宋体" w:eastAsia="宋体" w:cs="Arial"/>
                <w:color w:val="000000"/>
                <w:w w:val="80"/>
                <w:kern w:val="0"/>
                <w:szCs w:val="21"/>
                <w:lang w:val="en-US" w:eastAsia="zh-CN"/>
              </w:rPr>
              <w:t>95%</w:t>
            </w:r>
          </w:p>
        </w:tc>
        <w:tc>
          <w:tcPr>
            <w:tcW w:w="2129"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jc w:val="center"/>
        </w:trPr>
        <w:tc>
          <w:tcPr>
            <w:tcW w:w="10300" w:type="dxa"/>
            <w:gridSpan w:val="9"/>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ascii="宋体" w:hAnsi="宋体" w:cs="Arial"/>
                <w:bCs/>
                <w:color w:val="000000"/>
                <w:w w:val="80"/>
                <w:kern w:val="0"/>
                <w:szCs w:val="21"/>
              </w:rPr>
            </w:pPr>
            <w:r>
              <w:rPr>
                <w:rFonts w:hint="eastAsia" w:ascii="宋体" w:hAnsi="宋体" w:cs="Arial"/>
                <w:bCs/>
                <w:color w:val="000000"/>
                <w:w w:val="80"/>
                <w:kern w:val="0"/>
                <w:szCs w:val="21"/>
              </w:rPr>
              <w:t>年度绩效目标表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目标名称</w:t>
            </w:r>
          </w:p>
        </w:tc>
        <w:tc>
          <w:tcPr>
            <w:tcW w:w="1334"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一级指标</w:t>
            </w:r>
          </w:p>
        </w:tc>
        <w:tc>
          <w:tcPr>
            <w:tcW w:w="1336"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二级指标</w:t>
            </w:r>
          </w:p>
        </w:tc>
        <w:tc>
          <w:tcPr>
            <w:tcW w:w="1109" w:type="dxa"/>
            <w:vMerge w:val="restar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三级</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w:t>
            </w:r>
          </w:p>
        </w:tc>
        <w:tc>
          <w:tcPr>
            <w:tcW w:w="4005" w:type="dxa"/>
            <w:gridSpan w:val="4"/>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指标值</w:t>
            </w:r>
          </w:p>
        </w:tc>
        <w:tc>
          <w:tcPr>
            <w:tcW w:w="1182" w:type="dxa"/>
            <w:vMerge w:val="restart"/>
            <w:tcBorders>
              <w:top w:val="single" w:color="000000" w:sz="4" w:space="0"/>
              <w:left w:val="single" w:color="auto" w:sz="4" w:space="0"/>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指标值确定</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3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Arial"/>
                <w:color w:val="000000"/>
                <w:w w:val="80"/>
                <w:kern w:val="0"/>
                <w:szCs w:val="21"/>
              </w:rPr>
            </w:pPr>
          </w:p>
        </w:tc>
        <w:tc>
          <w:tcPr>
            <w:tcW w:w="133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前年</w:t>
            </w:r>
          </w:p>
        </w:tc>
        <w:tc>
          <w:tcPr>
            <w:tcW w:w="138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上年</w:t>
            </w:r>
          </w:p>
        </w:tc>
        <w:tc>
          <w:tcPr>
            <w:tcW w:w="1288" w:type="dxa"/>
            <w:gridSpan w:val="2"/>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rPr>
              <w:t>预计当年</w:t>
            </w:r>
          </w:p>
          <w:p>
            <w:pPr>
              <w:widowControl/>
              <w:snapToGrid w:val="0"/>
              <w:jc w:val="center"/>
              <w:rPr>
                <w:rFonts w:ascii="宋体" w:hAnsi="宋体" w:cs="Arial"/>
                <w:color w:val="000000"/>
                <w:w w:val="80"/>
                <w:kern w:val="0"/>
                <w:szCs w:val="21"/>
              </w:rPr>
            </w:pPr>
            <w:r>
              <w:rPr>
                <w:rFonts w:hint="eastAsia" w:ascii="宋体" w:hAnsi="宋体" w:cs="Arial"/>
                <w:color w:val="000000"/>
                <w:w w:val="80"/>
                <w:kern w:val="0"/>
                <w:szCs w:val="21"/>
              </w:rPr>
              <w:t>实现</w:t>
            </w:r>
          </w:p>
        </w:tc>
        <w:tc>
          <w:tcPr>
            <w:tcW w:w="1182"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jc w:val="left"/>
              <w:rPr>
                <w:rFonts w:ascii="宋体" w:hAnsi="宋体" w:cs="Arial"/>
                <w:color w:val="000000"/>
                <w:w w:val="8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top w:val="single" w:color="auto" w:sz="4" w:space="0"/>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both"/>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top w:val="single" w:color="auto" w:sz="4" w:space="0"/>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rPr>
              <w:t>产出指标</w:t>
            </w:r>
          </w:p>
        </w:tc>
        <w:tc>
          <w:tcPr>
            <w:tcW w:w="1336"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eastAsia="zh-CN"/>
              </w:rPr>
              <w:t>数量指标</w:t>
            </w:r>
          </w:p>
        </w:tc>
        <w:tc>
          <w:tcPr>
            <w:tcW w:w="1109"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eastAsia="zh-CN"/>
              </w:rPr>
              <w:t>发放人数</w:t>
            </w:r>
          </w:p>
        </w:tc>
        <w:tc>
          <w:tcPr>
            <w:tcW w:w="1335"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both"/>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382"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288" w:type="dxa"/>
            <w:gridSpan w:val="2"/>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≤177人</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eastAsia="zh-CN"/>
              </w:rPr>
            </w:pPr>
            <w:r>
              <w:rPr>
                <w:rFonts w:hint="eastAsia" w:ascii="宋体" w:hAnsi="宋体" w:cs="Arial"/>
                <w:color w:val="000000"/>
                <w:w w:val="80"/>
                <w:kern w:val="0"/>
                <w:szCs w:val="21"/>
                <w:lang w:eastAsia="zh-CN"/>
              </w:rPr>
              <w:t>数量指标</w:t>
            </w:r>
          </w:p>
        </w:tc>
        <w:tc>
          <w:tcPr>
            <w:tcW w:w="1109"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eastAsia="zh-CN"/>
              </w:rPr>
            </w:pPr>
            <w:r>
              <w:rPr>
                <w:rFonts w:hint="eastAsia" w:ascii="宋体" w:hAnsi="宋体" w:eastAsia="宋体" w:cs="Arial"/>
                <w:color w:val="000000"/>
                <w:w w:val="80"/>
                <w:kern w:val="0"/>
                <w:sz w:val="21"/>
                <w:szCs w:val="21"/>
                <w:lang w:val="en-US" w:eastAsia="zh-CN" w:bidi="ar-SA"/>
              </w:rPr>
              <w:t>发放次数</w:t>
            </w:r>
          </w:p>
        </w:tc>
        <w:tc>
          <w:tcPr>
            <w:tcW w:w="1335"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382" w:type="dxa"/>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288" w:type="dxa"/>
            <w:gridSpan w:val="2"/>
            <w:tcBorders>
              <w:top w:val="single" w:color="auto"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cs="Arial"/>
                <w:color w:val="000000"/>
                <w:w w:val="80"/>
                <w:kern w:val="0"/>
                <w:szCs w:val="21"/>
                <w:lang w:val="en-US" w:eastAsia="zh-CN"/>
              </w:rPr>
            </w:pPr>
            <w:r>
              <w:rPr>
                <w:rFonts w:hint="eastAsia" w:ascii="宋体" w:hAnsi="宋体" w:cs="Arial"/>
                <w:color w:val="000000"/>
                <w:w w:val="80"/>
                <w:kern w:val="0"/>
                <w:sz w:val="21"/>
                <w:szCs w:val="21"/>
                <w:lang w:val="en-US" w:eastAsia="zh-CN" w:bidi="ar-SA"/>
              </w:rPr>
              <w:t>≥1次</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val="en-US" w:eastAsia="zh-CN"/>
              </w:rPr>
              <w:t>质量指标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cs="Arial"/>
                <w:color w:val="000000"/>
                <w:w w:val="80"/>
                <w:kern w:val="0"/>
                <w:szCs w:val="21"/>
                <w:lang w:eastAsia="zh-CN"/>
              </w:rPr>
              <w:t>上级任务完成率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rPr>
            </w:pPr>
            <w:r>
              <w:rPr>
                <w:rFonts w:hint="eastAsia" w:ascii="宋体" w:hAnsi="宋体" w:cs="Arial"/>
                <w:color w:val="000000"/>
                <w:w w:val="80"/>
                <w:kern w:val="0"/>
                <w:szCs w:val="21"/>
              </w:rPr>
              <w:t>产出指标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eastAsia="zh-CN"/>
              </w:rPr>
              <w:t>时效指标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eastAsia="zh-CN"/>
              </w:rPr>
              <w:t>发放及时率</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Cs w:val="21"/>
                <w:lang w:val="en-US" w:eastAsia="zh-CN"/>
              </w:rPr>
              <w:t>100%</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计划数据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334" w:type="dxa"/>
            <w:tcBorders>
              <w:left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医务人员临时性工作补助</w:t>
            </w:r>
          </w:p>
        </w:tc>
        <w:tc>
          <w:tcPr>
            <w:tcW w:w="1334" w:type="dxa"/>
            <w:tcBorders>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cs="Arial"/>
                <w:color w:val="000000"/>
                <w:w w:val="80"/>
                <w:kern w:val="0"/>
                <w:szCs w:val="21"/>
                <w:lang w:eastAsia="zh-CN"/>
              </w:rPr>
              <w:t>满意度指标</w:t>
            </w:r>
          </w:p>
        </w:tc>
        <w:tc>
          <w:tcPr>
            <w:tcW w:w="1336"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eastAsia="zh-CN"/>
              </w:rPr>
              <w:t>服务对象满意度指标</w:t>
            </w:r>
          </w:p>
        </w:tc>
        <w:tc>
          <w:tcPr>
            <w:tcW w:w="1109"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受益人员满意度</w:t>
            </w:r>
          </w:p>
        </w:tc>
        <w:tc>
          <w:tcPr>
            <w:tcW w:w="1335"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left"/>
              <w:rPr>
                <w:rFonts w:hint="default"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3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Cs w:val="21"/>
                <w:lang w:val="en-US" w:eastAsia="zh-CN"/>
              </w:rPr>
            </w:pPr>
            <w:r>
              <w:rPr>
                <w:rFonts w:hint="eastAsia" w:ascii="宋体" w:hAnsi="宋体" w:eastAsia="宋体" w:cs="Arial"/>
                <w:color w:val="000000"/>
                <w:w w:val="80"/>
                <w:kern w:val="0"/>
                <w:szCs w:val="21"/>
                <w:lang w:val="en-US" w:eastAsia="zh-CN"/>
              </w:rPr>
              <w:t>-</w:t>
            </w:r>
          </w:p>
        </w:tc>
        <w:tc>
          <w:tcPr>
            <w:tcW w:w="1288" w:type="dxa"/>
            <w:gridSpan w:val="2"/>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cs="Arial"/>
                <w:color w:val="000000"/>
                <w:w w:val="80"/>
                <w:kern w:val="0"/>
                <w:sz w:val="21"/>
                <w:szCs w:val="21"/>
                <w:lang w:val="en-US" w:eastAsia="zh-CN" w:bidi="ar-SA"/>
              </w:rPr>
            </w:pPr>
            <w:r>
              <w:rPr>
                <w:rFonts w:hint="eastAsia" w:ascii="宋体" w:hAnsi="宋体" w:cs="Arial"/>
                <w:color w:val="000000"/>
                <w:w w:val="80"/>
                <w:kern w:val="0"/>
                <w:sz w:val="21"/>
                <w:szCs w:val="21"/>
                <w:lang w:val="en-US" w:eastAsia="zh-CN" w:bidi="ar-SA"/>
              </w:rPr>
              <w:t>≥</w:t>
            </w:r>
            <w:r>
              <w:rPr>
                <w:rFonts w:hint="eastAsia" w:ascii="宋体" w:hAnsi="宋体" w:eastAsia="宋体" w:cs="Arial"/>
                <w:color w:val="000000"/>
                <w:w w:val="80"/>
                <w:kern w:val="0"/>
                <w:szCs w:val="21"/>
                <w:lang w:val="en-US" w:eastAsia="zh-CN"/>
              </w:rPr>
              <w:t>95%</w:t>
            </w:r>
          </w:p>
        </w:tc>
        <w:tc>
          <w:tcPr>
            <w:tcW w:w="1182" w:type="dxa"/>
            <w:tcBorders>
              <w:top w:val="single" w:color="000000" w:sz="4" w:space="0"/>
              <w:left w:val="nil"/>
              <w:bottom w:val="single" w:color="000000" w:sz="4" w:space="0"/>
              <w:right w:val="single" w:color="000000" w:sz="4" w:space="0"/>
            </w:tcBorders>
            <w:noWrap w:val="0"/>
            <w:tcMar>
              <w:top w:w="0" w:type="dxa"/>
              <w:left w:w="57" w:type="dxa"/>
              <w:bottom w:w="0" w:type="dxa"/>
              <w:right w:w="57" w:type="dxa"/>
            </w:tcMar>
            <w:vAlign w:val="center"/>
          </w:tcPr>
          <w:p>
            <w:pPr>
              <w:widowControl/>
              <w:snapToGrid w:val="0"/>
              <w:jc w:val="center"/>
              <w:rPr>
                <w:rFonts w:hint="eastAsia" w:ascii="宋体" w:hAnsi="宋体" w:eastAsia="宋体" w:cs="Arial"/>
                <w:color w:val="000000"/>
                <w:w w:val="80"/>
                <w:kern w:val="0"/>
                <w:sz w:val="21"/>
                <w:szCs w:val="21"/>
                <w:lang w:val="en-US" w:eastAsia="zh-CN" w:bidi="ar-SA"/>
              </w:rPr>
            </w:pPr>
            <w:r>
              <w:rPr>
                <w:rFonts w:hint="eastAsia" w:ascii="宋体" w:hAnsi="宋体" w:eastAsia="宋体" w:cs="Arial"/>
                <w:color w:val="000000"/>
                <w:w w:val="80"/>
                <w:kern w:val="0"/>
                <w:szCs w:val="21"/>
                <w:lang w:val="en-US" w:eastAsia="zh-CN"/>
              </w:rPr>
              <w:t>计划数据</w:t>
            </w:r>
          </w:p>
        </w:tc>
      </w:tr>
    </w:tbl>
    <w:p>
      <w:pPr>
        <w:pStyle w:val="6"/>
        <w:snapToGrid w:val="0"/>
        <w:spacing w:line="600" w:lineRule="atLeast"/>
        <w:rPr>
          <w:rFonts w:hint="eastAsia" w:ascii="创艺简标宋" w:eastAsia="创艺简标宋"/>
          <w:sz w:val="44"/>
          <w:szCs w:val="44"/>
        </w:rPr>
      </w:pPr>
    </w:p>
    <w:p>
      <w:pPr>
        <w:spacing w:before="44" w:line="540" w:lineRule="exact"/>
        <w:sectPr>
          <w:footerReference r:id="rId16" w:type="default"/>
          <w:pgSz w:w="11906" w:h="16839"/>
          <w:pgMar w:top="720" w:right="720" w:bottom="720" w:left="720" w:header="0" w:footer="989"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6" w:firstLineChars="200"/>
        <w:textAlignment w:val="baseline"/>
        <w:rPr>
          <w:rFonts w:ascii="黑体" w:hAnsi="黑体" w:eastAsia="黑体" w:cs="黑体"/>
          <w:sz w:val="30"/>
          <w:szCs w:val="30"/>
        </w:rPr>
      </w:pPr>
      <w:r>
        <w:rPr>
          <w:rFonts w:ascii="黑体" w:hAnsi="黑体" w:eastAsia="黑体" w:cs="黑体"/>
          <w:spacing w:val="-1"/>
          <w:sz w:val="30"/>
          <w:szCs w:val="30"/>
        </w:rPr>
        <w:t xml:space="preserve">第三部分 </w:t>
      </w:r>
      <w:r>
        <w:rPr>
          <w:rFonts w:hint="eastAsia" w:ascii="黑体" w:hAnsi="黑体" w:eastAsia="黑体" w:cs="黑体"/>
          <w:spacing w:val="-1"/>
          <w:sz w:val="30"/>
          <w:szCs w:val="30"/>
          <w:lang w:eastAsia="zh-CN"/>
        </w:rPr>
        <w:t>武汉市皮肤病防治院</w:t>
      </w:r>
      <w:r>
        <w:rPr>
          <w:rFonts w:ascii="黑体" w:hAnsi="黑体" w:eastAsia="黑体" w:cs="黑体"/>
          <w:spacing w:val="-1"/>
          <w:sz w:val="30"/>
          <w:szCs w:val="30"/>
        </w:rPr>
        <w:t>2024年部门预</w:t>
      </w:r>
      <w:r>
        <w:rPr>
          <w:rFonts w:ascii="黑体" w:hAnsi="黑体" w:eastAsia="黑体" w:cs="黑体"/>
          <w:spacing w:val="-2"/>
          <w:sz w:val="30"/>
          <w:szCs w:val="30"/>
        </w:rPr>
        <w:t>算情况说明</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right="0"/>
        <w:textAlignment w:val="baseline"/>
      </w:pP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ascii="黑体" w:hAnsi="黑体" w:eastAsia="黑体" w:cs="黑体"/>
          <w:sz w:val="30"/>
          <w:szCs w:val="30"/>
        </w:rPr>
      </w:pPr>
      <w:r>
        <w:rPr>
          <w:rFonts w:ascii="黑体" w:hAnsi="黑体" w:eastAsia="黑体" w:cs="黑体"/>
          <w:spacing w:val="-2"/>
          <w:sz w:val="30"/>
          <w:szCs w:val="30"/>
        </w:rPr>
        <w:t>一、收支预算总体安排情况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按照综合预算的原则，武汉市皮肤病防治院所有收入和支出均纳入部门预算管理。收入包括：一般公共预算财政拨款收入、事业收入、上年结余结转。支出包括：社会保障和就业支出、卫生健康支出、住房保障支出。2024年收支总预算8732.10万元，比2023年预算增加</w:t>
      </w:r>
      <w:r>
        <w:rPr>
          <w:rFonts w:hint="eastAsia" w:ascii="仿宋" w:hAnsi="仿宋" w:eastAsia="仿宋" w:cs="仿宋"/>
          <w:bCs/>
          <w:kern w:val="44"/>
          <w:sz w:val="32"/>
          <w:szCs w:val="32"/>
        </w:rPr>
        <w:t>1204.53</w:t>
      </w:r>
      <w:r>
        <w:rPr>
          <w:rFonts w:hint="eastAsia" w:ascii="仿宋" w:hAnsi="仿宋" w:eastAsia="仿宋" w:cs="仿宋"/>
          <w:bCs/>
          <w:kern w:val="44"/>
          <w:sz w:val="32"/>
          <w:szCs w:val="32"/>
          <w:lang w:eastAsia="zh-CN"/>
        </w:rPr>
        <w:t>万元，增长</w:t>
      </w:r>
      <w:r>
        <w:rPr>
          <w:rFonts w:hint="eastAsia" w:ascii="仿宋" w:hAnsi="仿宋" w:eastAsia="仿宋" w:cs="仿宋"/>
          <w:bCs/>
          <w:kern w:val="44"/>
          <w:sz w:val="32"/>
          <w:szCs w:val="32"/>
          <w:lang w:val="en-US" w:eastAsia="zh-CN"/>
        </w:rPr>
        <w:t>13.79</w:t>
      </w:r>
      <w:r>
        <w:rPr>
          <w:rFonts w:hint="eastAsia" w:ascii="仿宋" w:hAnsi="仿宋" w:eastAsia="仿宋" w:cs="仿宋"/>
          <w:bCs/>
          <w:kern w:val="44"/>
          <w:sz w:val="32"/>
          <w:szCs w:val="32"/>
          <w:lang w:eastAsia="zh-CN"/>
        </w:rPr>
        <w:t>%，主要是单位新院区业务逐步走上正轨，预计单位发展将逐步踏上快车道。</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ascii="黑体" w:hAnsi="黑体" w:eastAsia="黑体" w:cs="黑体"/>
          <w:sz w:val="30"/>
          <w:szCs w:val="30"/>
        </w:rPr>
      </w:pPr>
      <w:r>
        <w:rPr>
          <w:rFonts w:ascii="黑体" w:hAnsi="黑体" w:eastAsia="黑体" w:cs="黑体"/>
          <w:spacing w:val="-2"/>
          <w:sz w:val="30"/>
          <w:szCs w:val="30"/>
        </w:rPr>
        <w:t>二、收入预算安排情况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2024年收入预算8732.10万元，其中：一般公共预算财政拨款收入438</w:t>
      </w:r>
      <w:r>
        <w:rPr>
          <w:rFonts w:hint="eastAsia" w:ascii="仿宋" w:hAnsi="仿宋" w:eastAsia="仿宋" w:cs="仿宋"/>
          <w:bCs/>
          <w:kern w:val="44"/>
          <w:sz w:val="32"/>
          <w:szCs w:val="32"/>
          <w:lang w:val="en-US" w:eastAsia="zh-CN"/>
        </w:rPr>
        <w:t>0.36</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50.16</w:t>
      </w:r>
      <w:r>
        <w:rPr>
          <w:rFonts w:hint="eastAsia" w:ascii="仿宋" w:hAnsi="仿宋" w:eastAsia="仿宋" w:cs="仿宋"/>
          <w:bCs/>
          <w:kern w:val="44"/>
          <w:sz w:val="32"/>
          <w:szCs w:val="32"/>
          <w:lang w:eastAsia="zh-CN"/>
        </w:rPr>
        <w:t>%；事业收入4348.44万元，占</w:t>
      </w:r>
      <w:r>
        <w:rPr>
          <w:rFonts w:hint="eastAsia" w:ascii="仿宋" w:hAnsi="仿宋" w:eastAsia="仿宋" w:cs="仿宋"/>
          <w:bCs/>
          <w:kern w:val="44"/>
          <w:sz w:val="32"/>
          <w:szCs w:val="32"/>
          <w:lang w:val="en-US" w:eastAsia="zh-CN"/>
        </w:rPr>
        <w:t>49.80</w:t>
      </w:r>
      <w:r>
        <w:rPr>
          <w:rFonts w:hint="eastAsia" w:ascii="仿宋" w:hAnsi="仿宋" w:eastAsia="仿宋" w:cs="仿宋"/>
          <w:bCs/>
          <w:kern w:val="44"/>
          <w:sz w:val="32"/>
          <w:szCs w:val="32"/>
          <w:lang w:eastAsia="zh-CN"/>
        </w:rPr>
        <w:t>%；上年结转结余</w:t>
      </w:r>
      <w:r>
        <w:rPr>
          <w:rFonts w:hint="eastAsia" w:ascii="仿宋" w:hAnsi="仿宋" w:eastAsia="仿宋" w:cs="仿宋"/>
          <w:bCs/>
          <w:kern w:val="44"/>
          <w:sz w:val="32"/>
          <w:szCs w:val="32"/>
          <w:lang w:val="en-US" w:eastAsia="zh-CN"/>
        </w:rPr>
        <w:t>3.30</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0.04</w:t>
      </w:r>
      <w:r>
        <w:rPr>
          <w:rFonts w:hint="eastAsia" w:ascii="仿宋" w:hAnsi="仿宋" w:eastAsia="仿宋" w:cs="仿宋"/>
          <w:bCs/>
          <w:kern w:val="44"/>
          <w:sz w:val="32"/>
          <w:szCs w:val="32"/>
          <w:lang w:eastAsia="zh-CN"/>
        </w:rPr>
        <w:t>%。</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ascii="黑体" w:hAnsi="黑体" w:eastAsia="黑体" w:cs="黑体"/>
          <w:sz w:val="30"/>
          <w:szCs w:val="30"/>
        </w:rPr>
      </w:pPr>
      <w:r>
        <w:rPr>
          <w:rFonts w:ascii="黑体" w:hAnsi="黑体" w:eastAsia="黑体" w:cs="黑体"/>
          <w:spacing w:val="-2"/>
          <w:sz w:val="30"/>
          <w:szCs w:val="30"/>
        </w:rPr>
        <w:t>三、支出预算安排情况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2024年支出预算8732.10万元，其中：基本支出</w:t>
      </w:r>
      <w:r>
        <w:rPr>
          <w:rFonts w:hint="eastAsia" w:ascii="仿宋" w:hAnsi="仿宋" w:eastAsia="仿宋" w:cs="仿宋"/>
          <w:bCs/>
          <w:kern w:val="44"/>
          <w:sz w:val="32"/>
          <w:szCs w:val="32"/>
          <w:lang w:val="en-US" w:eastAsia="zh-CN"/>
        </w:rPr>
        <w:t>6043.84</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69.21</w:t>
      </w:r>
      <w:r>
        <w:rPr>
          <w:rFonts w:hint="eastAsia" w:ascii="仿宋" w:hAnsi="仿宋" w:eastAsia="仿宋" w:cs="仿宋"/>
          <w:bCs/>
          <w:kern w:val="44"/>
          <w:sz w:val="32"/>
          <w:szCs w:val="32"/>
          <w:lang w:eastAsia="zh-CN"/>
        </w:rPr>
        <w:t>%；项目支出</w:t>
      </w:r>
      <w:r>
        <w:rPr>
          <w:rFonts w:hint="eastAsia" w:ascii="仿宋" w:hAnsi="仿宋" w:eastAsia="仿宋" w:cs="仿宋"/>
          <w:bCs/>
          <w:kern w:val="44"/>
          <w:sz w:val="32"/>
          <w:szCs w:val="32"/>
          <w:lang w:val="en-US" w:eastAsia="zh-CN"/>
        </w:rPr>
        <w:t>2688.26</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30.79</w:t>
      </w:r>
      <w:r>
        <w:rPr>
          <w:rFonts w:hint="eastAsia" w:ascii="仿宋" w:hAnsi="仿宋" w:eastAsia="仿宋" w:cs="仿宋"/>
          <w:bCs/>
          <w:kern w:val="44"/>
          <w:sz w:val="32"/>
          <w:szCs w:val="32"/>
          <w:lang w:eastAsia="zh-CN"/>
        </w:rPr>
        <w:t>%。</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ascii="黑体" w:hAnsi="黑体" w:eastAsia="黑体" w:cs="黑体"/>
          <w:spacing w:val="-2"/>
          <w:sz w:val="30"/>
          <w:szCs w:val="30"/>
        </w:rPr>
      </w:pPr>
      <w:r>
        <w:rPr>
          <w:rFonts w:ascii="黑体" w:hAnsi="黑体" w:eastAsia="黑体" w:cs="黑体"/>
          <w:spacing w:val="-2"/>
          <w:sz w:val="30"/>
          <w:szCs w:val="30"/>
        </w:rPr>
        <w:t>四、财政拨款收支预算总体情况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2024年财政拨款收支总预算</w:t>
      </w:r>
      <w:r>
        <w:rPr>
          <w:rFonts w:hint="eastAsia" w:ascii="仿宋" w:hAnsi="仿宋" w:eastAsia="仿宋" w:cs="仿宋"/>
          <w:bCs/>
          <w:kern w:val="44"/>
          <w:sz w:val="32"/>
          <w:szCs w:val="32"/>
          <w:lang w:val="en-US" w:eastAsia="zh-CN"/>
        </w:rPr>
        <w:t>4383.66</w:t>
      </w:r>
      <w:r>
        <w:rPr>
          <w:rFonts w:hint="eastAsia" w:ascii="仿宋" w:hAnsi="仿宋" w:eastAsia="仿宋" w:cs="仿宋"/>
          <w:bCs/>
          <w:kern w:val="44"/>
          <w:sz w:val="32"/>
          <w:szCs w:val="32"/>
          <w:lang w:eastAsia="zh-CN"/>
        </w:rPr>
        <w:t>万元。收入包括：一般公共预算财政拨款本年收入</w:t>
      </w:r>
      <w:r>
        <w:rPr>
          <w:rFonts w:hint="eastAsia" w:ascii="仿宋" w:hAnsi="仿宋" w:eastAsia="仿宋" w:cs="仿宋"/>
          <w:bCs/>
          <w:kern w:val="44"/>
          <w:sz w:val="32"/>
          <w:szCs w:val="32"/>
          <w:lang w:val="en-US" w:eastAsia="zh-CN"/>
        </w:rPr>
        <w:t>4380.36</w:t>
      </w:r>
      <w:r>
        <w:rPr>
          <w:rFonts w:hint="eastAsia" w:ascii="仿宋" w:hAnsi="仿宋" w:eastAsia="仿宋" w:cs="仿宋"/>
          <w:bCs/>
          <w:kern w:val="44"/>
          <w:sz w:val="32"/>
          <w:szCs w:val="32"/>
          <w:lang w:eastAsia="zh-CN"/>
        </w:rPr>
        <w:t>万元、上年结转</w:t>
      </w:r>
      <w:r>
        <w:rPr>
          <w:rFonts w:hint="eastAsia" w:ascii="仿宋" w:hAnsi="仿宋" w:eastAsia="仿宋" w:cs="仿宋"/>
          <w:bCs/>
          <w:kern w:val="44"/>
          <w:sz w:val="32"/>
          <w:szCs w:val="32"/>
          <w:lang w:val="en-US" w:eastAsia="zh-CN"/>
        </w:rPr>
        <w:t>3.30</w:t>
      </w:r>
      <w:r>
        <w:rPr>
          <w:rFonts w:hint="eastAsia" w:ascii="仿宋" w:hAnsi="仿宋" w:eastAsia="仿宋" w:cs="仿宋"/>
          <w:bCs/>
          <w:kern w:val="44"/>
          <w:sz w:val="32"/>
          <w:szCs w:val="32"/>
          <w:lang w:eastAsia="zh-CN"/>
        </w:rPr>
        <w:t>万元。支出包括：社会保障和就业支出</w:t>
      </w:r>
      <w:r>
        <w:rPr>
          <w:rFonts w:hint="eastAsia" w:ascii="仿宋" w:hAnsi="仿宋" w:eastAsia="仿宋" w:cs="仿宋"/>
          <w:bCs/>
          <w:kern w:val="44"/>
          <w:sz w:val="32"/>
          <w:szCs w:val="32"/>
          <w:lang w:val="en-US" w:eastAsia="zh-CN"/>
        </w:rPr>
        <w:t>319.81</w:t>
      </w:r>
      <w:r>
        <w:rPr>
          <w:rFonts w:hint="eastAsia" w:ascii="仿宋" w:hAnsi="仿宋" w:eastAsia="仿宋" w:cs="仿宋"/>
          <w:bCs/>
          <w:kern w:val="44"/>
          <w:sz w:val="32"/>
          <w:szCs w:val="32"/>
          <w:lang w:eastAsia="zh-CN"/>
        </w:rPr>
        <w:t>万元、卫生健康支出</w:t>
      </w:r>
      <w:r>
        <w:rPr>
          <w:rFonts w:hint="eastAsia" w:ascii="仿宋" w:hAnsi="仿宋" w:eastAsia="仿宋" w:cs="仿宋"/>
          <w:bCs/>
          <w:kern w:val="44"/>
          <w:sz w:val="32"/>
          <w:szCs w:val="32"/>
          <w:lang w:val="en-US" w:eastAsia="zh-CN"/>
        </w:rPr>
        <w:t>3738.67</w:t>
      </w:r>
      <w:r>
        <w:rPr>
          <w:rFonts w:hint="eastAsia" w:ascii="仿宋" w:hAnsi="仿宋" w:eastAsia="仿宋" w:cs="仿宋"/>
          <w:bCs/>
          <w:kern w:val="44"/>
          <w:sz w:val="32"/>
          <w:szCs w:val="32"/>
          <w:lang w:eastAsia="zh-CN"/>
        </w:rPr>
        <w:t>万元、住房保障支出</w:t>
      </w:r>
      <w:r>
        <w:rPr>
          <w:rFonts w:hint="eastAsia" w:ascii="仿宋" w:hAnsi="仿宋" w:eastAsia="仿宋" w:cs="仿宋"/>
          <w:bCs/>
          <w:kern w:val="44"/>
          <w:sz w:val="32"/>
          <w:szCs w:val="32"/>
          <w:lang w:val="en-US" w:eastAsia="zh-CN"/>
        </w:rPr>
        <w:t>325.18</w:t>
      </w:r>
      <w:r>
        <w:rPr>
          <w:rFonts w:hint="eastAsia" w:ascii="仿宋" w:hAnsi="仿宋" w:eastAsia="仿宋" w:cs="仿宋"/>
          <w:bCs/>
          <w:kern w:val="44"/>
          <w:sz w:val="32"/>
          <w:szCs w:val="32"/>
          <w:lang w:eastAsia="zh-CN"/>
        </w:rPr>
        <w:t>万元。</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五、一般公共预算支出安排情况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eastAsia="zh-CN"/>
        </w:rPr>
      </w:pPr>
      <w:r>
        <w:rPr>
          <w:rFonts w:hint="eastAsia" w:ascii="楷体" w:hAnsi="楷体" w:eastAsia="楷体" w:cs="楷体"/>
          <w:bCs/>
          <w:kern w:val="44"/>
          <w:sz w:val="32"/>
          <w:szCs w:val="32"/>
          <w:lang w:eastAsia="zh-CN"/>
        </w:rPr>
        <w:t>(一)一般公共预算拨款规模变化情况。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2024年一般公共预算拨款</w:t>
      </w:r>
      <w:r>
        <w:rPr>
          <w:rFonts w:hint="eastAsia" w:ascii="仿宋" w:hAnsi="仿宋" w:eastAsia="仿宋" w:cs="仿宋"/>
          <w:bCs/>
          <w:kern w:val="44"/>
          <w:sz w:val="32"/>
          <w:szCs w:val="32"/>
          <w:lang w:val="en-US" w:eastAsia="zh-CN"/>
        </w:rPr>
        <w:t>4383.66</w:t>
      </w:r>
      <w:r>
        <w:rPr>
          <w:rFonts w:hint="eastAsia" w:ascii="仿宋" w:hAnsi="仿宋" w:eastAsia="仿宋" w:cs="仿宋"/>
          <w:bCs/>
          <w:kern w:val="44"/>
          <w:sz w:val="32"/>
          <w:szCs w:val="32"/>
          <w:lang w:eastAsia="zh-CN"/>
        </w:rPr>
        <w:t>万元。其中：(1)本年预算</w:t>
      </w:r>
      <w:r>
        <w:rPr>
          <w:rFonts w:hint="eastAsia" w:ascii="仿宋" w:hAnsi="仿宋" w:eastAsia="仿宋" w:cs="仿宋"/>
          <w:bCs/>
          <w:kern w:val="44"/>
          <w:sz w:val="32"/>
          <w:szCs w:val="32"/>
          <w:lang w:val="en-US" w:eastAsia="zh-CN"/>
        </w:rPr>
        <w:t>4380.36</w:t>
      </w:r>
      <w:r>
        <w:rPr>
          <w:rFonts w:hint="eastAsia" w:ascii="仿宋" w:hAnsi="仿宋" w:eastAsia="仿宋" w:cs="仿宋"/>
          <w:bCs/>
          <w:kern w:val="44"/>
          <w:sz w:val="32"/>
          <w:szCs w:val="32"/>
          <w:lang w:eastAsia="zh-CN"/>
        </w:rPr>
        <w:t>万元，比2023年预算增加</w:t>
      </w:r>
      <w:r>
        <w:rPr>
          <w:rFonts w:hint="eastAsia" w:ascii="仿宋" w:hAnsi="仿宋" w:eastAsia="仿宋" w:cs="仿宋"/>
          <w:bCs/>
          <w:kern w:val="44"/>
          <w:sz w:val="32"/>
          <w:szCs w:val="32"/>
          <w:lang w:val="en-US" w:eastAsia="zh-CN"/>
        </w:rPr>
        <w:t>2.16</w:t>
      </w:r>
      <w:r>
        <w:rPr>
          <w:rFonts w:hint="eastAsia" w:ascii="仿宋" w:hAnsi="仿宋" w:eastAsia="仿宋" w:cs="仿宋"/>
          <w:bCs/>
          <w:kern w:val="44"/>
          <w:sz w:val="32"/>
          <w:szCs w:val="32"/>
          <w:lang w:eastAsia="zh-CN"/>
        </w:rPr>
        <w:t>万元，增长</w:t>
      </w:r>
      <w:r>
        <w:rPr>
          <w:rFonts w:hint="eastAsia" w:ascii="仿宋" w:hAnsi="仿宋" w:eastAsia="仿宋" w:cs="仿宋"/>
          <w:bCs/>
          <w:kern w:val="44"/>
          <w:sz w:val="32"/>
          <w:szCs w:val="32"/>
          <w:lang w:val="en-US" w:eastAsia="zh-CN"/>
        </w:rPr>
        <w:t>0.05</w:t>
      </w:r>
      <w:r>
        <w:rPr>
          <w:rFonts w:hint="eastAsia" w:ascii="仿宋" w:hAnsi="仿宋" w:eastAsia="仿宋" w:cs="仿宋"/>
          <w:bCs/>
          <w:kern w:val="44"/>
          <w:sz w:val="32"/>
          <w:szCs w:val="32"/>
          <w:lang w:eastAsia="zh-CN"/>
        </w:rPr>
        <w:t>%，主要是由于基本公共卫生服务等民生项目投入增加；</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(2)上年</w:t>
      </w:r>
      <w:r>
        <w:rPr>
          <w:rFonts w:hint="eastAsia" w:ascii="仿宋" w:hAnsi="仿宋" w:eastAsia="仿宋" w:cs="仿宋"/>
          <w:bCs/>
          <w:kern w:val="44"/>
          <w:sz w:val="32"/>
          <w:szCs w:val="32"/>
          <w:lang w:val="en-US" w:eastAsia="zh-CN"/>
        </w:rPr>
        <w:t>结</w:t>
      </w:r>
      <w:r>
        <w:rPr>
          <w:rFonts w:hint="eastAsia" w:ascii="仿宋" w:hAnsi="仿宋" w:eastAsia="仿宋" w:cs="仿宋"/>
          <w:bCs/>
          <w:kern w:val="44"/>
          <w:sz w:val="32"/>
          <w:szCs w:val="32"/>
          <w:lang w:eastAsia="zh-CN"/>
        </w:rPr>
        <w:t>转</w:t>
      </w:r>
      <w:r>
        <w:rPr>
          <w:rFonts w:hint="eastAsia" w:ascii="仿宋" w:hAnsi="仿宋" w:eastAsia="仿宋" w:cs="仿宋"/>
          <w:bCs/>
          <w:kern w:val="44"/>
          <w:sz w:val="32"/>
          <w:szCs w:val="32"/>
          <w:lang w:val="en-US" w:eastAsia="zh-CN"/>
        </w:rPr>
        <w:t>3.30</w:t>
      </w:r>
      <w:r>
        <w:rPr>
          <w:rFonts w:hint="eastAsia" w:ascii="仿宋" w:hAnsi="仿宋" w:eastAsia="仿宋" w:cs="仿宋"/>
          <w:bCs/>
          <w:kern w:val="44"/>
          <w:sz w:val="32"/>
          <w:szCs w:val="32"/>
          <w:lang w:eastAsia="zh-CN"/>
        </w:rPr>
        <w:t>万元。</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eastAsia="zh-CN"/>
        </w:rPr>
      </w:pPr>
      <w:r>
        <w:rPr>
          <w:rFonts w:hint="eastAsia" w:ascii="楷体" w:hAnsi="楷体" w:eastAsia="楷体" w:cs="楷体"/>
          <w:bCs/>
          <w:kern w:val="44"/>
          <w:sz w:val="32"/>
          <w:szCs w:val="32"/>
          <w:lang w:eastAsia="zh-CN"/>
        </w:rPr>
        <w:t>（</w:t>
      </w:r>
      <w:r>
        <w:rPr>
          <w:rFonts w:hint="eastAsia" w:ascii="楷体" w:hAnsi="楷体" w:eastAsia="楷体" w:cs="楷体"/>
          <w:bCs/>
          <w:kern w:val="44"/>
          <w:sz w:val="32"/>
          <w:szCs w:val="32"/>
          <w:lang w:val="en-US" w:eastAsia="zh-CN"/>
        </w:rPr>
        <w:t>二</w:t>
      </w:r>
      <w:r>
        <w:rPr>
          <w:rFonts w:hint="eastAsia" w:ascii="楷体" w:hAnsi="楷体" w:eastAsia="楷体" w:cs="楷体"/>
          <w:bCs/>
          <w:kern w:val="44"/>
          <w:sz w:val="32"/>
          <w:szCs w:val="32"/>
          <w:lang w:eastAsia="zh-CN"/>
        </w:rPr>
        <w:t>）一般公共预算拨款结构情况。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eastAsia="zh-CN"/>
        </w:rPr>
        <w:t>基本支出</w:t>
      </w:r>
      <w:r>
        <w:rPr>
          <w:rFonts w:hint="eastAsia" w:ascii="仿宋" w:hAnsi="仿宋" w:eastAsia="仿宋" w:cs="仿宋"/>
          <w:bCs/>
          <w:kern w:val="44"/>
          <w:sz w:val="32"/>
          <w:szCs w:val="32"/>
          <w:lang w:val="en-US" w:eastAsia="zh-CN"/>
        </w:rPr>
        <w:t>3462.40</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78.98</w:t>
      </w:r>
      <w:r>
        <w:rPr>
          <w:rFonts w:hint="eastAsia" w:ascii="仿宋" w:hAnsi="仿宋" w:eastAsia="仿宋" w:cs="仿宋"/>
          <w:bCs/>
          <w:kern w:val="44"/>
          <w:sz w:val="32"/>
          <w:szCs w:val="32"/>
          <w:lang w:eastAsia="zh-CN"/>
        </w:rPr>
        <w:t>%，其中：人员经费</w:t>
      </w:r>
      <w:r>
        <w:rPr>
          <w:rFonts w:hint="eastAsia" w:ascii="仿宋" w:hAnsi="仿宋" w:eastAsia="仿宋" w:cs="仿宋"/>
          <w:bCs/>
          <w:kern w:val="44"/>
          <w:sz w:val="32"/>
          <w:szCs w:val="32"/>
          <w:lang w:val="en-US" w:eastAsia="zh-CN"/>
        </w:rPr>
        <w:t>2988.14</w:t>
      </w:r>
      <w:r>
        <w:rPr>
          <w:rFonts w:hint="eastAsia" w:ascii="仿宋" w:hAnsi="仿宋" w:eastAsia="仿宋" w:cs="仿宋"/>
          <w:bCs/>
          <w:kern w:val="44"/>
          <w:sz w:val="32"/>
          <w:szCs w:val="32"/>
          <w:lang w:eastAsia="zh-CN"/>
        </w:rPr>
        <w:t>万元、公用经费</w:t>
      </w:r>
      <w:r>
        <w:rPr>
          <w:rFonts w:hint="eastAsia" w:ascii="仿宋" w:hAnsi="仿宋" w:eastAsia="仿宋" w:cs="仿宋"/>
          <w:bCs/>
          <w:kern w:val="44"/>
          <w:sz w:val="32"/>
          <w:szCs w:val="32"/>
          <w:lang w:val="en-US" w:eastAsia="zh-CN"/>
        </w:rPr>
        <w:t>474.26</w:t>
      </w:r>
      <w:r>
        <w:rPr>
          <w:rFonts w:hint="eastAsia" w:ascii="仿宋" w:hAnsi="仿宋" w:eastAsia="仿宋" w:cs="仿宋"/>
          <w:bCs/>
          <w:kern w:val="44"/>
          <w:sz w:val="32"/>
          <w:szCs w:val="32"/>
          <w:lang w:eastAsia="zh-CN"/>
        </w:rPr>
        <w:t>万元；项目支出</w:t>
      </w:r>
      <w:r>
        <w:rPr>
          <w:rFonts w:hint="eastAsia" w:ascii="仿宋" w:hAnsi="仿宋" w:eastAsia="仿宋" w:cs="仿宋"/>
          <w:bCs/>
          <w:kern w:val="44"/>
          <w:sz w:val="32"/>
          <w:szCs w:val="32"/>
          <w:lang w:val="en-US" w:eastAsia="zh-CN"/>
        </w:rPr>
        <w:t>921.26</w:t>
      </w:r>
      <w:r>
        <w:rPr>
          <w:rFonts w:hint="eastAsia" w:ascii="仿宋" w:hAnsi="仿宋" w:eastAsia="仿宋" w:cs="仿宋"/>
          <w:bCs/>
          <w:kern w:val="44"/>
          <w:sz w:val="32"/>
          <w:szCs w:val="32"/>
          <w:lang w:eastAsia="zh-CN"/>
        </w:rPr>
        <w:t>万元，占</w:t>
      </w:r>
      <w:r>
        <w:rPr>
          <w:rFonts w:hint="eastAsia" w:ascii="仿宋" w:hAnsi="仿宋" w:eastAsia="仿宋" w:cs="仿宋"/>
          <w:bCs/>
          <w:kern w:val="44"/>
          <w:sz w:val="32"/>
          <w:szCs w:val="32"/>
          <w:lang w:val="en-US" w:eastAsia="zh-CN"/>
        </w:rPr>
        <w:t>21.02</w:t>
      </w:r>
      <w:r>
        <w:rPr>
          <w:rFonts w:hint="eastAsia" w:ascii="仿宋" w:hAnsi="仿宋" w:eastAsia="仿宋" w:cs="仿宋"/>
          <w:bCs/>
          <w:kern w:val="44"/>
          <w:sz w:val="32"/>
          <w:szCs w:val="32"/>
          <w:lang w:eastAsia="zh-CN"/>
        </w:rPr>
        <w:t>%。</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eastAsia="zh-CN"/>
        </w:rPr>
      </w:pPr>
      <w:r>
        <w:rPr>
          <w:rFonts w:hint="eastAsia" w:ascii="楷体" w:hAnsi="楷体" w:eastAsia="楷体" w:cs="楷体"/>
          <w:bCs/>
          <w:kern w:val="44"/>
          <w:sz w:val="32"/>
          <w:szCs w:val="32"/>
          <w:lang w:eastAsia="zh-CN"/>
        </w:rPr>
        <w:t>（</w:t>
      </w:r>
      <w:r>
        <w:rPr>
          <w:rFonts w:hint="eastAsia" w:ascii="楷体" w:hAnsi="楷体" w:eastAsia="楷体" w:cs="楷体"/>
          <w:bCs/>
          <w:kern w:val="44"/>
          <w:sz w:val="32"/>
          <w:szCs w:val="32"/>
          <w:lang w:val="en-US" w:eastAsia="zh-CN"/>
        </w:rPr>
        <w:t>三</w:t>
      </w:r>
      <w:r>
        <w:rPr>
          <w:rFonts w:hint="eastAsia" w:ascii="楷体" w:hAnsi="楷体" w:eastAsia="楷体" w:cs="楷体"/>
          <w:bCs/>
          <w:kern w:val="44"/>
          <w:sz w:val="32"/>
          <w:szCs w:val="32"/>
          <w:lang w:eastAsia="zh-CN"/>
        </w:rPr>
        <w:t>）一般公共预算拨款具体使用情况。</w:t>
      </w:r>
    </w:p>
    <w:p>
      <w:pPr>
        <w:keepNext w:val="0"/>
        <w:keepLines w:val="0"/>
        <w:pageBreakBefore w:val="0"/>
        <w:widowControl w:val="0"/>
        <w:numPr>
          <w:ilvl w:val="0"/>
          <w:numId w:val="3"/>
        </w:numPr>
        <w:kinsoku w:val="0"/>
        <w:wordWrap/>
        <w:overflowPunct w:val="0"/>
        <w:topLinePunct w:val="0"/>
        <w:autoSpaceDE w:val="0"/>
        <w:autoSpaceDN w:val="0"/>
        <w:bidi w:val="0"/>
        <w:adjustRightInd w:val="0"/>
        <w:snapToGrid w:val="0"/>
        <w:spacing w:line="560" w:lineRule="exact"/>
        <w:ind w:left="34" w:leftChars="0" w:right="0" w:firstLine="596" w:firstLineChars="0"/>
        <w:jc w:val="both"/>
        <w:textAlignment w:val="baseline"/>
        <w:rPr>
          <w:rFonts w:hint="default" w:ascii="仿宋" w:hAnsi="仿宋" w:eastAsia="仿宋" w:cs="仿宋"/>
          <w:bCs/>
          <w:snapToGrid w:val="0"/>
          <w:color w:val="000000"/>
          <w:kern w:val="44"/>
          <w:sz w:val="32"/>
          <w:szCs w:val="32"/>
          <w:lang w:val="en-US" w:eastAsia="zh-CN" w:bidi="ar-SA"/>
        </w:rPr>
      </w:pPr>
      <w:r>
        <w:rPr>
          <w:rFonts w:hint="eastAsia" w:ascii="仿宋" w:hAnsi="仿宋" w:eastAsia="仿宋" w:cs="仿宋"/>
          <w:bCs/>
          <w:kern w:val="44"/>
          <w:sz w:val="32"/>
          <w:szCs w:val="32"/>
          <w:lang w:eastAsia="zh-CN"/>
        </w:rPr>
        <w:t>社会保障和就业支出（类）行政事业单位养老支出（款）。事业单位离退休（项）</w:t>
      </w:r>
      <w:r>
        <w:rPr>
          <w:rFonts w:hint="eastAsia" w:ascii="仿宋" w:hAnsi="仿宋" w:eastAsia="仿宋" w:cs="仿宋"/>
          <w:bCs/>
          <w:kern w:val="44"/>
          <w:sz w:val="32"/>
          <w:szCs w:val="32"/>
          <w:lang w:val="en-US" w:eastAsia="zh-CN"/>
        </w:rPr>
        <w:t>19.07</w:t>
      </w:r>
      <w:r>
        <w:rPr>
          <w:rFonts w:hint="eastAsia" w:ascii="仿宋" w:hAnsi="仿宋" w:eastAsia="仿宋" w:cs="仿宋"/>
          <w:bCs/>
          <w:kern w:val="44"/>
          <w:sz w:val="32"/>
          <w:szCs w:val="32"/>
          <w:lang w:eastAsia="zh-CN"/>
        </w:rPr>
        <w:t>万元，比202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年预算增加</w:t>
      </w:r>
      <w:r>
        <w:rPr>
          <w:rFonts w:hint="eastAsia" w:ascii="仿宋" w:hAnsi="仿宋" w:eastAsia="仿宋" w:cs="仿宋"/>
          <w:bCs/>
          <w:kern w:val="44"/>
          <w:sz w:val="32"/>
          <w:szCs w:val="32"/>
          <w:lang w:val="en-US" w:eastAsia="zh-CN"/>
        </w:rPr>
        <w:t>6.40</w:t>
      </w:r>
      <w:r>
        <w:rPr>
          <w:rFonts w:hint="eastAsia" w:ascii="仿宋" w:hAnsi="仿宋" w:eastAsia="仿宋" w:cs="仿宋"/>
          <w:bCs/>
          <w:kern w:val="44"/>
          <w:sz w:val="32"/>
          <w:szCs w:val="32"/>
          <w:lang w:eastAsia="zh-CN"/>
        </w:rPr>
        <w:t>万元，上升</w:t>
      </w:r>
      <w:r>
        <w:rPr>
          <w:rFonts w:hint="eastAsia" w:ascii="仿宋" w:hAnsi="仿宋" w:eastAsia="仿宋" w:cs="仿宋"/>
          <w:bCs/>
          <w:kern w:val="44"/>
          <w:sz w:val="32"/>
          <w:szCs w:val="32"/>
          <w:lang w:val="en-US" w:eastAsia="zh-CN"/>
        </w:rPr>
        <w:t>50.51%，</w:t>
      </w:r>
      <w:r>
        <w:rPr>
          <w:rFonts w:hint="eastAsia" w:ascii="仿宋" w:hAnsi="仿宋" w:eastAsia="仿宋" w:cs="仿宋"/>
          <w:bCs/>
          <w:kern w:val="44"/>
          <w:sz w:val="32"/>
          <w:szCs w:val="32"/>
          <w:lang w:eastAsia="zh-CN"/>
        </w:rPr>
        <w:t>主要是</w:t>
      </w:r>
      <w:r>
        <w:rPr>
          <w:rFonts w:hint="eastAsia" w:ascii="仿宋" w:hAnsi="仿宋" w:eastAsia="仿宋" w:cs="仿宋"/>
          <w:bCs/>
          <w:kern w:val="44"/>
          <w:sz w:val="32"/>
          <w:szCs w:val="32"/>
          <w:lang w:val="en-US" w:eastAsia="zh-CN"/>
        </w:rPr>
        <w:t>项目归集口径</w:t>
      </w:r>
      <w:r>
        <w:rPr>
          <w:rFonts w:hint="eastAsia" w:ascii="仿宋" w:hAnsi="仿宋" w:eastAsia="仿宋" w:cs="仿宋"/>
          <w:bCs/>
          <w:kern w:val="44"/>
          <w:sz w:val="32"/>
          <w:szCs w:val="32"/>
          <w:lang w:eastAsia="zh-CN"/>
        </w:rPr>
        <w:t>调整。机关事业单位基本养老保险缴费支出（项）</w:t>
      </w:r>
      <w:r>
        <w:rPr>
          <w:rFonts w:hint="eastAsia" w:ascii="仿宋" w:hAnsi="仿宋" w:eastAsia="仿宋" w:cs="仿宋"/>
          <w:bCs/>
          <w:kern w:val="44"/>
          <w:sz w:val="32"/>
          <w:szCs w:val="32"/>
          <w:lang w:val="en-US" w:eastAsia="zh-CN"/>
        </w:rPr>
        <w:t>226.45</w:t>
      </w:r>
      <w:r>
        <w:rPr>
          <w:rFonts w:hint="eastAsia" w:ascii="仿宋" w:hAnsi="仿宋" w:eastAsia="仿宋" w:cs="仿宋"/>
          <w:bCs/>
          <w:kern w:val="44"/>
          <w:sz w:val="32"/>
          <w:szCs w:val="32"/>
          <w:lang w:eastAsia="zh-CN"/>
        </w:rPr>
        <w:t>万元，比202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w:t>
      </w:r>
      <w:r>
        <w:rPr>
          <w:rFonts w:hint="eastAsia" w:ascii="仿宋" w:hAnsi="仿宋" w:eastAsia="仿宋" w:cs="仿宋"/>
          <w:bCs/>
          <w:kern w:val="44"/>
          <w:sz w:val="32"/>
          <w:szCs w:val="32"/>
          <w:lang w:val="en-US" w:eastAsia="zh-CN"/>
        </w:rPr>
        <w:t>减少64.83</w:t>
      </w:r>
      <w:r>
        <w:rPr>
          <w:rFonts w:hint="eastAsia" w:ascii="仿宋" w:hAnsi="仿宋" w:eastAsia="仿宋" w:cs="仿宋"/>
          <w:bCs/>
          <w:kern w:val="44"/>
          <w:sz w:val="32"/>
          <w:szCs w:val="32"/>
          <w:lang w:eastAsia="zh-CN"/>
        </w:rPr>
        <w:t>万元，</w:t>
      </w:r>
      <w:r>
        <w:rPr>
          <w:rFonts w:hint="eastAsia" w:ascii="仿宋" w:hAnsi="仿宋" w:eastAsia="仿宋" w:cs="仿宋"/>
          <w:bCs/>
          <w:kern w:val="44"/>
          <w:sz w:val="32"/>
          <w:szCs w:val="32"/>
          <w:lang w:val="en-US" w:eastAsia="zh-CN"/>
        </w:rPr>
        <w:t>下降73.1%</w:t>
      </w:r>
      <w:r>
        <w:rPr>
          <w:rFonts w:hint="eastAsia" w:ascii="仿宋" w:hAnsi="仿宋" w:eastAsia="仿宋" w:cs="仿宋"/>
          <w:bCs/>
          <w:kern w:val="44"/>
          <w:sz w:val="32"/>
          <w:szCs w:val="32"/>
          <w:lang w:eastAsia="zh-CN"/>
        </w:rPr>
        <w:t>，主要是</w:t>
      </w:r>
      <w:r>
        <w:rPr>
          <w:rFonts w:hint="eastAsia" w:ascii="仿宋" w:hAnsi="仿宋" w:eastAsia="仿宋" w:cs="仿宋"/>
          <w:bCs/>
          <w:kern w:val="44"/>
          <w:sz w:val="32"/>
          <w:szCs w:val="32"/>
          <w:lang w:val="en-US" w:eastAsia="zh-CN"/>
        </w:rPr>
        <w:t>2024年不含补缴因素</w:t>
      </w:r>
      <w:r>
        <w:rPr>
          <w:rFonts w:hint="eastAsia" w:ascii="仿宋" w:hAnsi="仿宋" w:eastAsia="仿宋" w:cs="仿宋"/>
          <w:bCs/>
          <w:kern w:val="44"/>
          <w:sz w:val="32"/>
          <w:szCs w:val="32"/>
          <w:lang w:eastAsia="zh-CN"/>
        </w:rPr>
        <w:t>。</w:t>
      </w:r>
      <w:r>
        <w:rPr>
          <w:rFonts w:hint="eastAsia" w:ascii="仿宋" w:hAnsi="仿宋" w:eastAsia="仿宋" w:cs="仿宋"/>
          <w:bCs/>
          <w:kern w:val="44"/>
          <w:sz w:val="32"/>
          <w:szCs w:val="32"/>
          <w:lang w:val="en-US" w:eastAsia="zh-CN"/>
        </w:rPr>
        <w:t>机关事业单位职业年金缴费支出（项）54.21万元，</w:t>
      </w:r>
      <w:r>
        <w:rPr>
          <w:rFonts w:hint="eastAsia" w:ascii="仿宋" w:hAnsi="仿宋" w:eastAsia="仿宋" w:cs="仿宋"/>
          <w:bCs/>
          <w:kern w:val="44"/>
          <w:sz w:val="32"/>
          <w:szCs w:val="32"/>
          <w:lang w:eastAsia="zh-CN"/>
        </w:rPr>
        <w:t>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年预算增加</w:t>
      </w:r>
      <w:r>
        <w:rPr>
          <w:rFonts w:hint="eastAsia" w:ascii="仿宋" w:hAnsi="仿宋" w:eastAsia="仿宋" w:cs="仿宋"/>
          <w:bCs/>
          <w:kern w:val="44"/>
          <w:sz w:val="32"/>
          <w:szCs w:val="32"/>
          <w:lang w:val="en-US" w:eastAsia="zh-CN"/>
        </w:rPr>
        <w:t>54.21</w:t>
      </w:r>
      <w:r>
        <w:rPr>
          <w:rFonts w:hint="eastAsia" w:ascii="仿宋" w:hAnsi="仿宋" w:eastAsia="仿宋" w:cs="仿宋"/>
          <w:bCs/>
          <w:kern w:val="44"/>
          <w:sz w:val="32"/>
          <w:szCs w:val="32"/>
          <w:lang w:eastAsia="zh-CN"/>
        </w:rPr>
        <w:t>万元，</w:t>
      </w:r>
      <w:r>
        <w:rPr>
          <w:rFonts w:hint="eastAsia" w:ascii="仿宋" w:hAnsi="仿宋" w:eastAsia="仿宋" w:cs="仿宋"/>
          <w:bCs/>
          <w:kern w:val="44"/>
          <w:sz w:val="32"/>
          <w:szCs w:val="32"/>
          <w:lang w:val="en-US" w:eastAsia="zh-CN"/>
        </w:rPr>
        <w:t>主要是归集口径调整。</w:t>
      </w:r>
    </w:p>
    <w:p>
      <w:pPr>
        <w:pStyle w:val="3"/>
        <w:rPr>
          <w:rFonts w:hint="default" w:ascii="仿宋" w:hAnsi="仿宋" w:eastAsia="仿宋" w:cs="仿宋"/>
          <w:b w:val="0"/>
          <w:bCs w:val="0"/>
          <w:lang w:val="en-US" w:eastAsia="zh-CN"/>
        </w:rPr>
      </w:pPr>
      <w:r>
        <w:rPr>
          <w:rFonts w:hint="eastAsia" w:ascii="仿宋" w:hAnsi="仿宋" w:eastAsia="仿宋" w:cs="仿宋"/>
          <w:b w:val="0"/>
          <w:bCs/>
          <w:lang w:val="en-US" w:eastAsia="zh-CN"/>
        </w:rPr>
        <w:t>2、</w:t>
      </w:r>
      <w:r>
        <w:rPr>
          <w:rFonts w:hint="eastAsia" w:ascii="仿宋" w:hAnsi="仿宋" w:eastAsia="仿宋" w:cs="仿宋"/>
          <w:b w:val="0"/>
          <w:bCs w:val="0"/>
          <w:kern w:val="44"/>
          <w:sz w:val="32"/>
          <w:szCs w:val="32"/>
          <w:lang w:eastAsia="zh-CN"/>
        </w:rPr>
        <w:t>社会保障和就业支出（类）</w:t>
      </w:r>
      <w:r>
        <w:rPr>
          <w:rFonts w:hint="eastAsia" w:ascii="仿宋" w:hAnsi="仿宋" w:eastAsia="仿宋" w:cs="仿宋"/>
          <w:b w:val="0"/>
          <w:bCs w:val="0"/>
          <w:kern w:val="44"/>
          <w:sz w:val="32"/>
          <w:szCs w:val="32"/>
          <w:lang w:val="en-US" w:eastAsia="zh-CN"/>
        </w:rPr>
        <w:t>其他社会保障和就业支出</w:t>
      </w:r>
      <w:r>
        <w:rPr>
          <w:rFonts w:hint="eastAsia" w:ascii="仿宋" w:hAnsi="仿宋" w:eastAsia="仿宋" w:cs="仿宋"/>
          <w:b w:val="0"/>
          <w:bCs w:val="0"/>
          <w:kern w:val="44"/>
          <w:sz w:val="32"/>
          <w:szCs w:val="32"/>
          <w:lang w:eastAsia="zh-CN"/>
        </w:rPr>
        <w:t>（款）。</w:t>
      </w:r>
      <w:r>
        <w:rPr>
          <w:rFonts w:hint="eastAsia" w:ascii="仿宋" w:hAnsi="仿宋" w:eastAsia="仿宋" w:cs="仿宋"/>
          <w:b w:val="0"/>
          <w:bCs w:val="0"/>
          <w:kern w:val="44"/>
          <w:sz w:val="32"/>
          <w:szCs w:val="32"/>
          <w:lang w:val="en-US" w:eastAsia="zh-CN"/>
        </w:rPr>
        <w:t>其他社会保障和就业支出（项）20.08万元，</w:t>
      </w:r>
      <w:r>
        <w:rPr>
          <w:rFonts w:hint="eastAsia" w:ascii="仿宋" w:hAnsi="仿宋" w:eastAsia="仿宋" w:cs="仿宋"/>
          <w:b w:val="0"/>
          <w:bCs w:val="0"/>
          <w:kern w:val="44"/>
          <w:sz w:val="32"/>
          <w:szCs w:val="32"/>
          <w:lang w:eastAsia="zh-CN"/>
        </w:rPr>
        <w:t>比202</w:t>
      </w:r>
      <w:r>
        <w:rPr>
          <w:rFonts w:hint="eastAsia" w:ascii="仿宋" w:hAnsi="仿宋" w:eastAsia="仿宋" w:cs="仿宋"/>
          <w:b w:val="0"/>
          <w:bCs w:val="0"/>
          <w:kern w:val="44"/>
          <w:sz w:val="32"/>
          <w:szCs w:val="32"/>
          <w:lang w:val="en-US" w:eastAsia="zh-CN"/>
        </w:rPr>
        <w:t>3</w:t>
      </w:r>
      <w:r>
        <w:rPr>
          <w:rFonts w:hint="eastAsia" w:ascii="仿宋" w:hAnsi="仿宋" w:eastAsia="仿宋" w:cs="仿宋"/>
          <w:b w:val="0"/>
          <w:bCs w:val="0"/>
          <w:kern w:val="44"/>
          <w:sz w:val="32"/>
          <w:szCs w:val="32"/>
          <w:lang w:eastAsia="zh-CN"/>
        </w:rPr>
        <w:t>年预算增加</w:t>
      </w:r>
      <w:r>
        <w:rPr>
          <w:rFonts w:hint="eastAsia" w:ascii="仿宋" w:hAnsi="仿宋" w:eastAsia="仿宋" w:cs="仿宋"/>
          <w:b w:val="0"/>
          <w:bCs w:val="0"/>
          <w:kern w:val="44"/>
          <w:sz w:val="32"/>
          <w:szCs w:val="32"/>
          <w:lang w:val="en-US" w:eastAsia="zh-CN"/>
        </w:rPr>
        <w:t>20.08</w:t>
      </w:r>
      <w:r>
        <w:rPr>
          <w:rFonts w:hint="eastAsia" w:ascii="仿宋" w:hAnsi="仿宋" w:eastAsia="仿宋" w:cs="仿宋"/>
          <w:b w:val="0"/>
          <w:bCs w:val="0"/>
          <w:kern w:val="44"/>
          <w:sz w:val="32"/>
          <w:szCs w:val="32"/>
          <w:lang w:eastAsia="zh-CN"/>
        </w:rPr>
        <w:t>万元，主要是</w:t>
      </w:r>
      <w:r>
        <w:rPr>
          <w:rFonts w:hint="eastAsia" w:ascii="仿宋" w:hAnsi="仿宋" w:eastAsia="仿宋" w:cs="仿宋"/>
          <w:b w:val="0"/>
          <w:bCs w:val="0"/>
          <w:kern w:val="44"/>
          <w:sz w:val="32"/>
          <w:szCs w:val="32"/>
          <w:lang w:val="en-US" w:eastAsia="zh-CN"/>
        </w:rPr>
        <w:t>项目归集口径</w:t>
      </w:r>
      <w:r>
        <w:rPr>
          <w:rFonts w:hint="eastAsia" w:ascii="仿宋" w:hAnsi="仿宋" w:eastAsia="仿宋" w:cs="仿宋"/>
          <w:b w:val="0"/>
          <w:bCs w:val="0"/>
          <w:kern w:val="44"/>
          <w:sz w:val="32"/>
          <w:szCs w:val="32"/>
          <w:lang w:eastAsia="zh-CN"/>
        </w:rPr>
        <w:t>调整。</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卫生健康支出（类）公共卫生（款）。疾病预防控制机构（项）</w:t>
      </w:r>
      <w:r>
        <w:rPr>
          <w:rFonts w:hint="eastAsia" w:ascii="仿宋" w:hAnsi="仿宋" w:eastAsia="仿宋" w:cs="仿宋"/>
          <w:bCs/>
          <w:kern w:val="44"/>
          <w:sz w:val="32"/>
          <w:szCs w:val="32"/>
          <w:lang w:val="en-US" w:eastAsia="zh-CN"/>
        </w:rPr>
        <w:t>3445.28万</w:t>
      </w:r>
      <w:r>
        <w:rPr>
          <w:rFonts w:hint="eastAsia" w:ascii="仿宋" w:hAnsi="仿宋" w:eastAsia="仿宋" w:cs="仿宋"/>
          <w:bCs/>
          <w:kern w:val="44"/>
          <w:sz w:val="32"/>
          <w:szCs w:val="32"/>
          <w:lang w:eastAsia="zh-CN"/>
        </w:rPr>
        <w:t>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年预算增加</w:t>
      </w:r>
      <w:r>
        <w:rPr>
          <w:rFonts w:hint="eastAsia" w:ascii="仿宋" w:hAnsi="仿宋" w:eastAsia="仿宋" w:cs="仿宋"/>
          <w:bCs/>
          <w:kern w:val="44"/>
          <w:sz w:val="32"/>
          <w:szCs w:val="32"/>
          <w:lang w:val="en-US" w:eastAsia="zh-CN"/>
        </w:rPr>
        <w:t>159.2</w:t>
      </w:r>
      <w:r>
        <w:rPr>
          <w:rFonts w:hint="eastAsia" w:ascii="仿宋" w:hAnsi="仿宋" w:eastAsia="仿宋" w:cs="仿宋"/>
          <w:bCs/>
          <w:kern w:val="44"/>
          <w:sz w:val="32"/>
          <w:szCs w:val="32"/>
          <w:lang w:eastAsia="zh-CN"/>
        </w:rPr>
        <w:t>万元，上升</w:t>
      </w:r>
      <w:r>
        <w:rPr>
          <w:rFonts w:hint="eastAsia" w:ascii="仿宋" w:hAnsi="仿宋" w:eastAsia="仿宋" w:cs="仿宋"/>
          <w:bCs/>
          <w:kern w:val="44"/>
          <w:sz w:val="32"/>
          <w:szCs w:val="32"/>
          <w:lang w:val="en-US" w:eastAsia="zh-CN"/>
        </w:rPr>
        <w:t>4.84%</w:t>
      </w:r>
      <w:r>
        <w:rPr>
          <w:rFonts w:hint="eastAsia" w:ascii="仿宋" w:hAnsi="仿宋" w:eastAsia="仿宋" w:cs="仿宋"/>
          <w:bCs/>
          <w:kern w:val="44"/>
          <w:sz w:val="32"/>
          <w:szCs w:val="32"/>
          <w:lang w:eastAsia="zh-CN"/>
        </w:rPr>
        <w:t>，主要是</w:t>
      </w:r>
      <w:r>
        <w:rPr>
          <w:rFonts w:hint="eastAsia" w:ascii="仿宋" w:hAnsi="仿宋" w:eastAsia="仿宋" w:cs="仿宋"/>
          <w:bCs/>
          <w:kern w:val="44"/>
          <w:sz w:val="32"/>
          <w:szCs w:val="32"/>
          <w:lang w:val="en-US" w:eastAsia="zh-CN"/>
        </w:rPr>
        <w:t>增加业务工作经费及设备购置经费</w:t>
      </w:r>
      <w:r>
        <w:rPr>
          <w:rFonts w:hint="eastAsia" w:ascii="仿宋" w:hAnsi="仿宋" w:eastAsia="仿宋" w:cs="仿宋"/>
          <w:bCs/>
          <w:kern w:val="44"/>
          <w:sz w:val="32"/>
          <w:szCs w:val="32"/>
          <w:lang w:eastAsia="zh-CN"/>
        </w:rPr>
        <w:t>。</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lang w:val="en-US" w:eastAsia="zh-CN"/>
        </w:rPr>
        <w:t>4、</w:t>
      </w:r>
      <w:r>
        <w:rPr>
          <w:rFonts w:hint="eastAsia" w:ascii="仿宋" w:hAnsi="仿宋" w:eastAsia="仿宋" w:cs="仿宋"/>
          <w:bCs/>
          <w:kern w:val="44"/>
          <w:sz w:val="32"/>
          <w:szCs w:val="32"/>
          <w:lang w:eastAsia="zh-CN"/>
        </w:rPr>
        <w:t>卫生健康支出（类）行政事业单位医疗（款）。事业单位医疗（</w:t>
      </w:r>
      <w:r>
        <w:rPr>
          <w:rFonts w:hint="eastAsia" w:ascii="仿宋" w:hAnsi="仿宋" w:eastAsia="仿宋" w:cs="仿宋"/>
          <w:bCs/>
          <w:kern w:val="44"/>
          <w:sz w:val="32"/>
          <w:szCs w:val="32"/>
          <w:lang w:val="en-US" w:eastAsia="zh-CN"/>
        </w:rPr>
        <w:t>项</w:t>
      </w:r>
      <w:r>
        <w:rPr>
          <w:rFonts w:hint="eastAsia" w:ascii="仿宋" w:hAnsi="仿宋" w:eastAsia="仿宋" w:cs="仿宋"/>
          <w:bCs/>
          <w:kern w:val="44"/>
          <w:sz w:val="32"/>
          <w:szCs w:val="32"/>
          <w:lang w:eastAsia="zh-CN"/>
        </w:rPr>
        <w:t>）</w:t>
      </w:r>
      <w:r>
        <w:rPr>
          <w:rFonts w:hint="eastAsia" w:ascii="仿宋" w:hAnsi="仿宋" w:eastAsia="仿宋" w:cs="仿宋"/>
          <w:bCs/>
          <w:kern w:val="44"/>
          <w:sz w:val="32"/>
          <w:szCs w:val="32"/>
          <w:lang w:val="en-US" w:eastAsia="zh-CN"/>
        </w:rPr>
        <w:t>293.39万</w:t>
      </w:r>
      <w:r>
        <w:rPr>
          <w:rFonts w:hint="eastAsia" w:ascii="仿宋" w:hAnsi="仿宋" w:eastAsia="仿宋" w:cs="仿宋"/>
          <w:bCs/>
          <w:kern w:val="44"/>
          <w:sz w:val="32"/>
          <w:szCs w:val="32"/>
          <w:lang w:eastAsia="zh-CN"/>
        </w:rPr>
        <w:t>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w:t>
      </w:r>
      <w:r>
        <w:rPr>
          <w:rFonts w:hint="eastAsia" w:ascii="仿宋" w:hAnsi="仿宋" w:eastAsia="仿宋" w:cs="仿宋"/>
          <w:bCs/>
          <w:kern w:val="44"/>
          <w:sz w:val="32"/>
          <w:szCs w:val="32"/>
          <w:lang w:val="en-US" w:eastAsia="zh-CN"/>
        </w:rPr>
        <w:t>减少86.74</w:t>
      </w:r>
      <w:r>
        <w:rPr>
          <w:rFonts w:hint="eastAsia" w:ascii="仿宋" w:hAnsi="仿宋" w:eastAsia="仿宋" w:cs="仿宋"/>
          <w:bCs/>
          <w:kern w:val="44"/>
          <w:sz w:val="32"/>
          <w:szCs w:val="32"/>
          <w:lang w:eastAsia="zh-CN"/>
        </w:rPr>
        <w:t>万元，</w:t>
      </w:r>
      <w:r>
        <w:rPr>
          <w:rFonts w:hint="eastAsia" w:ascii="仿宋" w:hAnsi="仿宋" w:eastAsia="仿宋" w:cs="仿宋"/>
          <w:bCs/>
          <w:kern w:val="44"/>
          <w:sz w:val="32"/>
          <w:szCs w:val="32"/>
          <w:lang w:val="en-US" w:eastAsia="zh-CN"/>
        </w:rPr>
        <w:t>下降22.82%</w:t>
      </w:r>
      <w:r>
        <w:rPr>
          <w:rFonts w:hint="eastAsia" w:ascii="仿宋" w:hAnsi="仿宋" w:eastAsia="仿宋" w:cs="仿宋"/>
          <w:bCs/>
          <w:kern w:val="44"/>
          <w:sz w:val="32"/>
          <w:szCs w:val="32"/>
          <w:lang w:eastAsia="zh-CN"/>
        </w:rPr>
        <w:t>，主要是单位正常人员变动及部分项目归集变化所致。</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eastAsia="zh-CN"/>
        </w:rPr>
      </w:pPr>
      <w:r>
        <w:rPr>
          <w:rFonts w:hint="eastAsia" w:ascii="仿宋" w:hAnsi="仿宋" w:eastAsia="仿宋" w:cs="仿宋"/>
          <w:bCs/>
          <w:kern w:val="44"/>
          <w:sz w:val="32"/>
          <w:szCs w:val="32"/>
          <w:highlight w:val="none"/>
          <w:lang w:val="en-US" w:eastAsia="zh-CN"/>
        </w:rPr>
        <w:t>5、</w:t>
      </w:r>
      <w:r>
        <w:rPr>
          <w:rFonts w:hint="eastAsia" w:ascii="仿宋" w:hAnsi="仿宋" w:eastAsia="仿宋" w:cs="仿宋"/>
          <w:bCs/>
          <w:kern w:val="44"/>
          <w:sz w:val="32"/>
          <w:szCs w:val="32"/>
          <w:highlight w:val="none"/>
          <w:lang w:eastAsia="zh-CN"/>
        </w:rPr>
        <w:t>住房保障支出（类）住房改革支出（款）。住房公积金（项）</w:t>
      </w:r>
      <w:r>
        <w:rPr>
          <w:rFonts w:hint="eastAsia" w:ascii="仿宋" w:hAnsi="仿宋" w:eastAsia="仿宋" w:cs="仿宋"/>
          <w:bCs/>
          <w:kern w:val="44"/>
          <w:sz w:val="32"/>
          <w:szCs w:val="32"/>
          <w:highlight w:val="none"/>
          <w:lang w:val="en-US" w:eastAsia="zh-CN"/>
        </w:rPr>
        <w:t>198.91万</w:t>
      </w:r>
      <w:r>
        <w:rPr>
          <w:rFonts w:hint="eastAsia" w:ascii="仿宋" w:hAnsi="仿宋" w:eastAsia="仿宋" w:cs="仿宋"/>
          <w:bCs/>
          <w:kern w:val="44"/>
          <w:sz w:val="32"/>
          <w:szCs w:val="32"/>
          <w:highlight w:val="none"/>
          <w:lang w:eastAsia="zh-CN"/>
        </w:rPr>
        <w:t>元，比202</w:t>
      </w:r>
      <w:r>
        <w:rPr>
          <w:rFonts w:hint="eastAsia" w:ascii="仿宋" w:hAnsi="仿宋" w:eastAsia="仿宋" w:cs="仿宋"/>
          <w:bCs/>
          <w:kern w:val="44"/>
          <w:sz w:val="32"/>
          <w:szCs w:val="32"/>
          <w:highlight w:val="none"/>
          <w:lang w:val="en-US" w:eastAsia="zh-CN"/>
        </w:rPr>
        <w:t>3</w:t>
      </w:r>
      <w:r>
        <w:rPr>
          <w:rFonts w:hint="eastAsia" w:ascii="仿宋" w:hAnsi="仿宋" w:eastAsia="仿宋" w:cs="仿宋"/>
          <w:bCs/>
          <w:kern w:val="44"/>
          <w:sz w:val="32"/>
          <w:szCs w:val="32"/>
          <w:highlight w:val="none"/>
          <w:lang w:eastAsia="zh-CN"/>
        </w:rPr>
        <w:t>年预算</w:t>
      </w:r>
      <w:r>
        <w:rPr>
          <w:rFonts w:hint="eastAsia" w:ascii="仿宋" w:hAnsi="仿宋" w:eastAsia="仿宋" w:cs="仿宋"/>
          <w:bCs/>
          <w:kern w:val="44"/>
          <w:sz w:val="32"/>
          <w:szCs w:val="32"/>
          <w:highlight w:val="none"/>
          <w:lang w:val="en-US" w:eastAsia="zh-CN"/>
        </w:rPr>
        <w:t>减少2.35</w:t>
      </w:r>
      <w:r>
        <w:rPr>
          <w:rFonts w:hint="eastAsia" w:ascii="仿宋" w:hAnsi="仿宋" w:eastAsia="仿宋" w:cs="仿宋"/>
          <w:bCs/>
          <w:kern w:val="44"/>
          <w:sz w:val="32"/>
          <w:szCs w:val="32"/>
          <w:highlight w:val="none"/>
          <w:lang w:eastAsia="zh-CN"/>
        </w:rPr>
        <w:t>万元，</w:t>
      </w:r>
      <w:r>
        <w:rPr>
          <w:rFonts w:hint="eastAsia" w:ascii="仿宋" w:hAnsi="仿宋" w:eastAsia="仿宋" w:cs="仿宋"/>
          <w:bCs/>
          <w:kern w:val="44"/>
          <w:sz w:val="32"/>
          <w:szCs w:val="32"/>
          <w:highlight w:val="none"/>
          <w:lang w:val="en-US" w:eastAsia="zh-CN"/>
        </w:rPr>
        <w:t>下降1.17%</w:t>
      </w:r>
      <w:r>
        <w:rPr>
          <w:rFonts w:hint="eastAsia" w:ascii="仿宋" w:hAnsi="仿宋" w:eastAsia="仿宋" w:cs="仿宋"/>
          <w:bCs/>
          <w:kern w:val="44"/>
          <w:sz w:val="32"/>
          <w:szCs w:val="32"/>
          <w:highlight w:val="none"/>
          <w:lang w:eastAsia="zh-CN"/>
        </w:rPr>
        <w:t>，主要是单位正常人员变动导致</w:t>
      </w:r>
      <w:r>
        <w:rPr>
          <w:rFonts w:hint="eastAsia" w:ascii="仿宋" w:hAnsi="仿宋" w:eastAsia="仿宋" w:cs="仿宋"/>
          <w:bCs/>
          <w:kern w:val="44"/>
          <w:sz w:val="32"/>
          <w:szCs w:val="32"/>
          <w:lang w:eastAsia="zh-CN"/>
        </w:rPr>
        <w:t>。提租补贴（项）</w:t>
      </w:r>
      <w:r>
        <w:rPr>
          <w:rFonts w:hint="eastAsia" w:ascii="仿宋" w:hAnsi="仿宋" w:eastAsia="仿宋" w:cs="仿宋"/>
          <w:bCs/>
          <w:kern w:val="44"/>
          <w:sz w:val="32"/>
          <w:szCs w:val="32"/>
          <w:lang w:val="en-US" w:eastAsia="zh-CN"/>
        </w:rPr>
        <w:t>41.95万</w:t>
      </w:r>
      <w:r>
        <w:rPr>
          <w:rFonts w:hint="eastAsia" w:ascii="仿宋" w:hAnsi="仿宋" w:eastAsia="仿宋" w:cs="仿宋"/>
          <w:bCs/>
          <w:kern w:val="44"/>
          <w:sz w:val="32"/>
          <w:szCs w:val="32"/>
          <w:lang w:eastAsia="zh-CN"/>
        </w:rPr>
        <w:t>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年预算增加</w:t>
      </w:r>
      <w:r>
        <w:rPr>
          <w:rFonts w:hint="eastAsia" w:ascii="仿宋" w:hAnsi="仿宋" w:eastAsia="仿宋" w:cs="仿宋"/>
          <w:bCs/>
          <w:kern w:val="44"/>
          <w:sz w:val="32"/>
          <w:szCs w:val="32"/>
          <w:lang w:val="en-US" w:eastAsia="zh-CN"/>
        </w:rPr>
        <w:t>8.27</w:t>
      </w:r>
      <w:r>
        <w:rPr>
          <w:rFonts w:hint="eastAsia" w:ascii="仿宋" w:hAnsi="仿宋" w:eastAsia="仿宋" w:cs="仿宋"/>
          <w:bCs/>
          <w:kern w:val="44"/>
          <w:sz w:val="32"/>
          <w:szCs w:val="32"/>
          <w:lang w:eastAsia="zh-CN"/>
        </w:rPr>
        <w:t>万元，上升</w:t>
      </w:r>
      <w:r>
        <w:rPr>
          <w:rFonts w:hint="eastAsia" w:ascii="仿宋" w:hAnsi="仿宋" w:eastAsia="仿宋" w:cs="仿宋"/>
          <w:bCs/>
          <w:kern w:val="44"/>
          <w:sz w:val="32"/>
          <w:szCs w:val="32"/>
          <w:lang w:val="en-US" w:eastAsia="zh-CN"/>
        </w:rPr>
        <w:t>24.55%</w:t>
      </w:r>
      <w:r>
        <w:rPr>
          <w:rFonts w:hint="eastAsia" w:ascii="仿宋" w:hAnsi="仿宋" w:eastAsia="仿宋" w:cs="仿宋"/>
          <w:bCs/>
          <w:kern w:val="44"/>
          <w:sz w:val="32"/>
          <w:szCs w:val="32"/>
          <w:lang w:eastAsia="zh-CN"/>
        </w:rPr>
        <w:t>，主要是单位正常人员变动导致。购房补贴（项）</w:t>
      </w:r>
      <w:r>
        <w:rPr>
          <w:rFonts w:hint="eastAsia" w:ascii="仿宋" w:hAnsi="仿宋" w:eastAsia="仿宋" w:cs="仿宋"/>
          <w:bCs/>
          <w:kern w:val="44"/>
          <w:sz w:val="32"/>
          <w:szCs w:val="32"/>
          <w:lang w:val="en-US" w:eastAsia="zh-CN"/>
        </w:rPr>
        <w:t>84.32万</w:t>
      </w:r>
      <w:r>
        <w:rPr>
          <w:rFonts w:hint="eastAsia" w:ascii="仿宋" w:hAnsi="仿宋" w:eastAsia="仿宋" w:cs="仿宋"/>
          <w:bCs/>
          <w:kern w:val="44"/>
          <w:sz w:val="32"/>
          <w:szCs w:val="32"/>
          <w:lang w:eastAsia="zh-CN"/>
        </w:rPr>
        <w:t>元，比202</w:t>
      </w:r>
      <w:r>
        <w:rPr>
          <w:rFonts w:hint="eastAsia" w:ascii="仿宋" w:hAnsi="仿宋" w:eastAsia="仿宋" w:cs="仿宋"/>
          <w:bCs/>
          <w:kern w:val="44"/>
          <w:sz w:val="32"/>
          <w:szCs w:val="32"/>
          <w:lang w:val="en-US" w:eastAsia="zh-CN"/>
        </w:rPr>
        <w:t>3</w:t>
      </w:r>
      <w:r>
        <w:rPr>
          <w:rFonts w:hint="eastAsia" w:ascii="仿宋" w:hAnsi="仿宋" w:eastAsia="仿宋" w:cs="仿宋"/>
          <w:bCs/>
          <w:kern w:val="44"/>
          <w:sz w:val="32"/>
          <w:szCs w:val="32"/>
          <w:lang w:eastAsia="zh-CN"/>
        </w:rPr>
        <w:t>年预算增加</w:t>
      </w:r>
      <w:r>
        <w:rPr>
          <w:rFonts w:hint="eastAsia" w:ascii="仿宋" w:hAnsi="仿宋" w:eastAsia="仿宋" w:cs="仿宋"/>
          <w:bCs/>
          <w:kern w:val="44"/>
          <w:sz w:val="32"/>
          <w:szCs w:val="32"/>
          <w:lang w:val="en-US" w:eastAsia="zh-CN"/>
        </w:rPr>
        <w:t>2.42</w:t>
      </w:r>
      <w:r>
        <w:rPr>
          <w:rFonts w:hint="eastAsia" w:ascii="仿宋" w:hAnsi="仿宋" w:eastAsia="仿宋" w:cs="仿宋"/>
          <w:bCs/>
          <w:kern w:val="44"/>
          <w:sz w:val="32"/>
          <w:szCs w:val="32"/>
          <w:lang w:eastAsia="zh-CN"/>
        </w:rPr>
        <w:t>万元，上升</w:t>
      </w:r>
      <w:r>
        <w:rPr>
          <w:rFonts w:hint="eastAsia" w:ascii="仿宋" w:hAnsi="仿宋" w:eastAsia="仿宋" w:cs="仿宋"/>
          <w:bCs/>
          <w:kern w:val="44"/>
          <w:sz w:val="32"/>
          <w:szCs w:val="32"/>
          <w:lang w:val="en-US" w:eastAsia="zh-CN"/>
        </w:rPr>
        <w:t>2.95%</w:t>
      </w:r>
      <w:r>
        <w:rPr>
          <w:rFonts w:hint="eastAsia" w:ascii="仿宋" w:hAnsi="仿宋" w:eastAsia="仿宋" w:cs="仿宋"/>
          <w:bCs/>
          <w:kern w:val="44"/>
          <w:sz w:val="32"/>
          <w:szCs w:val="32"/>
          <w:lang w:eastAsia="zh-CN"/>
        </w:rPr>
        <w:t>，主要是退休及新进等人员结构变动产生的差异。</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六、一般公共预算基本支出安排情况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highlight w:val="none"/>
          <w:lang w:val="en-US" w:eastAsia="zh-CN"/>
        </w:rPr>
      </w:pPr>
      <w:r>
        <w:rPr>
          <w:rFonts w:hint="eastAsia" w:ascii="仿宋" w:hAnsi="仿宋" w:eastAsia="仿宋" w:cs="仿宋"/>
          <w:bCs/>
          <w:kern w:val="44"/>
          <w:sz w:val="32"/>
          <w:szCs w:val="32"/>
          <w:highlight w:val="none"/>
          <w:lang w:val="en-US" w:eastAsia="zh-CN"/>
        </w:rPr>
        <w:t>2024年一般公共预算基本支出3462.40万元，其中：</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highlight w:val="none"/>
          <w:lang w:val="en-US" w:eastAsia="zh-CN"/>
        </w:rPr>
      </w:pPr>
      <w:r>
        <w:rPr>
          <w:rFonts w:hint="eastAsia" w:ascii="仿宋" w:hAnsi="仿宋" w:eastAsia="仿宋" w:cs="仿宋"/>
          <w:bCs/>
          <w:kern w:val="44"/>
          <w:sz w:val="32"/>
          <w:szCs w:val="32"/>
          <w:highlight w:val="none"/>
          <w:lang w:val="en-US" w:eastAsia="zh-CN"/>
        </w:rPr>
        <w:t>(一)人员经费2988.14万元，包括：</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工资福利支出2598.39万元，主要用于：基本工资、津贴补贴、绩效工资、机关事业单位基本养老保险缴费、职业年金缴费、职工基本医疗保险缴费、其他社会保障缴费、住房公积金、其他工资福利支出等。</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对个人和家庭的补助389.75万元，主要用于：离休费、退休费、生活补助、医疗费补助、其他对个人和家庭补助支出等。</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二)公用经费474.26万元，主要用于：办公费、印刷费、水费、电费、邮电费、物业管理费、差旅费、维修(护)费、租赁费、公务接待费、专用材料费、劳务费、工会经费、公务用车运行维护费、其他交通费用、其他商品和服务支出等。</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七、一般公共预算“三公”经费支出安排情况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2024年一般公共预算“三公”经费支出9.00万元，比2023年增加1.50万元，增长20.00%，主要是单位因业务发展需要公务接待需求有所上升。其中：公务用车运行费6.00万元；公务接待费3.00万元。</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八、政府性基金预算支出安排情况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2024年没有使用政府性基金预算拨款安排的支出。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九、国有资本经营预算支出安排情况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2024年没有使用国有资本经营预算拨款安排的支出。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十、项目支出安排情况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default"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2024年项目支出2688.26万元，其中：</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（一）医疗卫生机构改革和发展2684.96万元，主要用于药品耗材试剂等款项支付、小型维修、信息化系统运转维护等方面。</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（二）公共卫生服务3.30万元，主要用于公共卫生专项支出。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2" w:firstLineChars="200"/>
        <w:textAlignment w:val="baseline"/>
        <w:rPr>
          <w:rFonts w:hint="eastAsia" w:ascii="黑体" w:hAnsi="黑体" w:eastAsia="黑体" w:cs="黑体"/>
          <w:spacing w:val="-2"/>
          <w:sz w:val="30"/>
          <w:szCs w:val="30"/>
        </w:rPr>
      </w:pPr>
      <w:r>
        <w:rPr>
          <w:rFonts w:hint="eastAsia" w:ascii="黑体" w:hAnsi="黑体" w:eastAsia="黑体" w:cs="黑体"/>
          <w:spacing w:val="-2"/>
          <w:sz w:val="30"/>
          <w:szCs w:val="30"/>
        </w:rPr>
        <w:t>十一、其他重要事项的情况说明</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val="en-US" w:eastAsia="zh-CN"/>
        </w:rPr>
      </w:pPr>
      <w:r>
        <w:rPr>
          <w:rFonts w:hint="eastAsia" w:ascii="楷体" w:hAnsi="楷体" w:eastAsia="楷体" w:cs="楷体"/>
          <w:bCs/>
          <w:kern w:val="44"/>
          <w:sz w:val="32"/>
          <w:szCs w:val="32"/>
          <w:lang w:val="en-US" w:eastAsia="zh-CN"/>
        </w:rPr>
        <w:t>(一)机关运行经费情况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2024年无机关运行经费支出。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val="en-US" w:eastAsia="zh-CN"/>
        </w:rPr>
      </w:pPr>
      <w:r>
        <w:rPr>
          <w:rFonts w:hint="eastAsia" w:ascii="楷体" w:hAnsi="楷体" w:eastAsia="楷体" w:cs="楷体"/>
          <w:bCs/>
          <w:kern w:val="44"/>
          <w:sz w:val="32"/>
          <w:szCs w:val="32"/>
          <w:lang w:val="en-US" w:eastAsia="zh-CN"/>
        </w:rPr>
        <w:t>(二)政府采购预算情况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2024年政府采购预算支出合计1018.32万元。其中：货物类413.10万元，服务类605.22万元。</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val="en-US" w:eastAsia="zh-CN"/>
        </w:rPr>
      </w:pPr>
      <w:r>
        <w:rPr>
          <w:rFonts w:hint="eastAsia" w:ascii="楷体" w:hAnsi="楷体" w:eastAsia="楷体" w:cs="楷体"/>
          <w:bCs/>
          <w:kern w:val="44"/>
          <w:sz w:val="32"/>
          <w:szCs w:val="32"/>
          <w:lang w:val="en-US" w:eastAsia="zh-CN"/>
        </w:rPr>
        <w:t>(三)政府购买服务预算排情况</w:t>
      </w:r>
    </w:p>
    <w:p>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u w:val="none"/>
        </w:rPr>
      </w:pPr>
      <w:r>
        <w:rPr>
          <w:rFonts w:hint="eastAsia"/>
          <w:u w:val="none"/>
        </w:rPr>
        <w:t>202</w:t>
      </w:r>
      <w:r>
        <w:rPr>
          <w:rFonts w:hint="eastAsia"/>
          <w:u w:val="none"/>
          <w:lang w:val="en-US" w:eastAsia="zh-CN"/>
        </w:rPr>
        <w:t>4</w:t>
      </w:r>
      <w:r>
        <w:rPr>
          <w:rFonts w:hint="eastAsia"/>
          <w:u w:val="none"/>
        </w:rPr>
        <w:t>年</w:t>
      </w:r>
      <w:r>
        <w:rPr>
          <w:rFonts w:hint="eastAsia"/>
          <w:u w:val="none"/>
          <w:lang w:eastAsia="zh-CN"/>
        </w:rPr>
        <w:t>无</w:t>
      </w:r>
      <w:r>
        <w:rPr>
          <w:rFonts w:hint="eastAsia"/>
          <w:u w:val="none"/>
        </w:rPr>
        <w:t>政府购买服务预算支出。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val="en-US" w:eastAsia="zh-CN"/>
        </w:rPr>
      </w:pPr>
      <w:r>
        <w:rPr>
          <w:rFonts w:hint="eastAsia" w:ascii="楷体" w:hAnsi="楷体" w:eastAsia="楷体" w:cs="楷体"/>
          <w:bCs/>
          <w:kern w:val="44"/>
          <w:sz w:val="32"/>
          <w:szCs w:val="32"/>
          <w:lang w:val="en-US" w:eastAsia="zh-CN"/>
        </w:rPr>
        <w:t>(四)国有资产占有使用情况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Arial" w:eastAsia="仿宋_GB2312" w:cs="Arial"/>
          <w:snapToGrid w:val="0"/>
          <w:color w:val="000000"/>
          <w:kern w:val="0"/>
          <w:sz w:val="32"/>
          <w:szCs w:val="21"/>
          <w:u w:val="none"/>
          <w:lang w:val="en-US" w:eastAsia="en-US" w:bidi="ar-SA"/>
        </w:rPr>
      </w:pPr>
      <w:r>
        <w:rPr>
          <w:rFonts w:hint="eastAsia" w:ascii="仿宋_GB2312" w:hAnsi="Arial" w:eastAsia="仿宋_GB2312" w:cs="Arial"/>
          <w:snapToGrid w:val="0"/>
          <w:color w:val="000000"/>
          <w:kern w:val="0"/>
          <w:sz w:val="32"/>
          <w:szCs w:val="21"/>
          <w:u w:val="none"/>
          <w:lang w:val="en-US" w:eastAsia="en-US" w:bidi="ar-SA"/>
        </w:rPr>
        <w:t>截至2023年12月31日，占有使用国有资产8941.27万元，包括有形资产和无形资产。主要实物资产为：土地143,588.03平方米，房屋14,879.42平方米，一般公务用车2辆、其他用车（含特种专业技术用车）2辆，单位价值50万元(含)以上通用设备0台(套)，单价100万元(含)以上专用设备2台(套)。2023年新增国有资产2185.72万元，主要为：新增专用、通用设备及家具用具，如全自动核酸提取仪、强脉冲光治疗仪等。</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Cs/>
          <w:kern w:val="44"/>
          <w:sz w:val="32"/>
          <w:szCs w:val="32"/>
          <w:lang w:val="en-US" w:eastAsia="zh-CN"/>
        </w:rPr>
      </w:pPr>
      <w:r>
        <w:rPr>
          <w:rFonts w:hint="eastAsia" w:ascii="楷体" w:hAnsi="楷体" w:eastAsia="楷体" w:cs="楷体"/>
          <w:bCs/>
          <w:kern w:val="44"/>
          <w:sz w:val="32"/>
          <w:szCs w:val="32"/>
          <w:lang w:val="en-US" w:eastAsia="zh-CN"/>
        </w:rPr>
        <w:t>(五)预算绩效管理情况</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Arial" w:eastAsia="仿宋_GB2312" w:cs="Arial"/>
          <w:snapToGrid w:val="0"/>
          <w:color w:val="000000"/>
          <w:kern w:val="0"/>
          <w:sz w:val="32"/>
          <w:szCs w:val="21"/>
          <w:u w:val="none"/>
          <w:lang w:val="en-US" w:eastAsia="en-US" w:bidi="ar-SA"/>
        </w:rPr>
      </w:pPr>
      <w:r>
        <w:rPr>
          <w:rFonts w:hint="eastAsia" w:ascii="仿宋_GB2312" w:hAnsi="Arial" w:eastAsia="仿宋_GB2312" w:cs="Arial"/>
          <w:snapToGrid w:val="0"/>
          <w:color w:val="000000"/>
          <w:kern w:val="0"/>
          <w:sz w:val="32"/>
          <w:szCs w:val="21"/>
          <w:u w:val="none"/>
          <w:lang w:val="en-US" w:eastAsia="en-US" w:bidi="ar-SA"/>
        </w:rPr>
        <w:t>2024年，预算支出8732.10万元全面实施预算绩效目标管理。设置了整体支出绩效目标、</w:t>
      </w:r>
      <w:r>
        <w:rPr>
          <w:rFonts w:hint="eastAsia" w:ascii="仿宋_GB2312" w:hAnsi="Arial" w:eastAsia="仿宋_GB2312" w:cs="Arial"/>
          <w:snapToGrid w:val="0"/>
          <w:color w:val="000000"/>
          <w:kern w:val="0"/>
          <w:sz w:val="32"/>
          <w:szCs w:val="21"/>
          <w:u w:val="none"/>
          <w:lang w:val="en-US" w:eastAsia="zh-CN" w:bidi="ar-SA"/>
        </w:rPr>
        <w:t>2</w:t>
      </w:r>
      <w:r>
        <w:rPr>
          <w:rFonts w:hint="eastAsia" w:ascii="仿宋_GB2312" w:hAnsi="Arial" w:eastAsia="仿宋_GB2312" w:cs="Arial"/>
          <w:snapToGrid w:val="0"/>
          <w:color w:val="000000"/>
          <w:kern w:val="0"/>
          <w:sz w:val="32"/>
          <w:szCs w:val="21"/>
          <w:u w:val="none"/>
          <w:lang w:val="en-US" w:eastAsia="en-US" w:bidi="ar-SA"/>
        </w:rPr>
        <w:t>个一级项目支出绩效目标。同时，拟对202</w:t>
      </w:r>
      <w:r>
        <w:rPr>
          <w:rFonts w:hint="eastAsia" w:ascii="仿宋_GB2312" w:hAnsi="Arial" w:eastAsia="仿宋_GB2312" w:cs="Arial"/>
          <w:snapToGrid w:val="0"/>
          <w:color w:val="000000"/>
          <w:kern w:val="0"/>
          <w:sz w:val="32"/>
          <w:szCs w:val="21"/>
          <w:u w:val="none"/>
          <w:lang w:val="en-US" w:eastAsia="zh-CN" w:bidi="ar-SA"/>
        </w:rPr>
        <w:t>4</w:t>
      </w:r>
      <w:r>
        <w:rPr>
          <w:rFonts w:hint="eastAsia" w:ascii="仿宋_GB2312" w:hAnsi="Arial" w:eastAsia="仿宋_GB2312" w:cs="Arial"/>
          <w:snapToGrid w:val="0"/>
          <w:color w:val="000000"/>
          <w:kern w:val="0"/>
          <w:sz w:val="32"/>
          <w:szCs w:val="21"/>
          <w:u w:val="none"/>
          <w:lang w:val="en-US" w:eastAsia="en-US" w:bidi="ar-SA"/>
        </w:rPr>
        <w:t>年部门整体支出及项目支出开展绩效评价，评价结果依法公开。</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Arial" w:eastAsia="仿宋_GB2312" w:cs="Arial"/>
          <w:snapToGrid w:val="0"/>
          <w:color w:val="000000"/>
          <w:kern w:val="0"/>
          <w:sz w:val="32"/>
          <w:szCs w:val="21"/>
          <w:u w:val="none"/>
          <w:lang w:val="en-US" w:eastAsia="en-US" w:bidi="ar-SA"/>
        </w:rPr>
        <w:sectPr>
          <w:footerReference r:id="rId17" w:type="default"/>
          <w:pgSz w:w="11906" w:h="16839"/>
          <w:pgMar w:top="1431" w:right="1716" w:bottom="1151" w:left="1785" w:header="0" w:footer="989"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0" w:firstLineChars="0"/>
        <w:jc w:val="center"/>
        <w:textAlignment w:val="baseline"/>
        <w:rPr>
          <w:rFonts w:ascii="黑体" w:hAnsi="黑体" w:eastAsia="黑体" w:cs="黑体"/>
          <w:spacing w:val="-1"/>
          <w:sz w:val="30"/>
          <w:szCs w:val="30"/>
        </w:rPr>
      </w:pPr>
      <w:r>
        <w:rPr>
          <w:rFonts w:ascii="黑体" w:hAnsi="黑体" w:eastAsia="黑体" w:cs="黑体"/>
          <w:spacing w:val="-1"/>
          <w:sz w:val="30"/>
          <w:szCs w:val="30"/>
        </w:rPr>
        <w:t>第四部分  名词解释</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ascii="仿宋" w:hAnsi="仿宋" w:eastAsia="仿宋" w:cs="仿宋"/>
          <w:spacing w:val="-4"/>
          <w:position w:val="19"/>
          <w:sz w:val="30"/>
          <w:szCs w:val="30"/>
        </w:rPr>
      </w:pP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en-US"/>
        </w:rPr>
      </w:pPr>
      <w:r>
        <w:rPr>
          <w:rFonts w:hint="eastAsia" w:ascii="仿宋" w:hAnsi="仿宋" w:eastAsia="仿宋" w:cs="仿宋"/>
          <w:spacing w:val="-4"/>
          <w:position w:val="19"/>
          <w:sz w:val="30"/>
          <w:szCs w:val="30"/>
          <w:lang w:val="en-US" w:eastAsia="en-US"/>
        </w:rPr>
        <w:t>（一）一般公共预算财政拨款收入：指市级财政一般公共预算当年拨付的资金。</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en-US"/>
        </w:rPr>
      </w:pPr>
      <w:r>
        <w:rPr>
          <w:rFonts w:hint="eastAsia" w:ascii="仿宋" w:hAnsi="仿宋" w:eastAsia="仿宋" w:cs="仿宋"/>
          <w:spacing w:val="-4"/>
          <w:position w:val="19"/>
          <w:sz w:val="30"/>
          <w:szCs w:val="30"/>
          <w:lang w:val="en-US" w:eastAsia="en-US"/>
        </w:rPr>
        <w:t>（二）事业收入：指事业单位开展专业业务活动及其辅助活动取得的收入，不含教育收费收入。</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en-US"/>
        </w:rPr>
      </w:pPr>
      <w:r>
        <w:rPr>
          <w:rFonts w:hint="eastAsia" w:ascii="仿宋" w:hAnsi="仿宋" w:eastAsia="仿宋" w:cs="仿宋"/>
          <w:spacing w:val="-4"/>
          <w:position w:val="19"/>
          <w:sz w:val="30"/>
          <w:szCs w:val="30"/>
          <w:lang w:val="en-US" w:eastAsia="en-US"/>
        </w:rPr>
        <w:t>（三）其他收入：指预算单位除财政拨款收入、事业收入、事业单位经营收入、上级补助收入、附属单位上缴收入之外的纳入部门预算管理的各项收入。</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en-US"/>
        </w:rPr>
      </w:pPr>
      <w:r>
        <w:rPr>
          <w:rFonts w:hint="eastAsia" w:ascii="仿宋" w:hAnsi="仿宋" w:eastAsia="仿宋" w:cs="仿宋"/>
          <w:spacing w:val="-4"/>
          <w:position w:val="19"/>
          <w:sz w:val="30"/>
          <w:szCs w:val="30"/>
          <w:lang w:val="en-US" w:eastAsia="en-US"/>
        </w:rPr>
        <w:t>（四）本部门使用的主要支出功能分类科目（项级）：</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1、</w:t>
      </w:r>
      <w:r>
        <w:rPr>
          <w:rFonts w:hint="default" w:ascii="仿宋" w:hAnsi="仿宋" w:eastAsia="仿宋" w:cs="仿宋"/>
          <w:spacing w:val="-4"/>
          <w:position w:val="19"/>
          <w:sz w:val="30"/>
          <w:szCs w:val="30"/>
          <w:lang w:val="en-US" w:eastAsia="zh-CN"/>
        </w:rPr>
        <w:t>社会保障和就业（类）行政事业单位</w:t>
      </w:r>
      <w:r>
        <w:rPr>
          <w:rFonts w:hint="eastAsia" w:ascii="仿宋" w:hAnsi="仿宋" w:eastAsia="仿宋" w:cs="仿宋"/>
          <w:spacing w:val="-4"/>
          <w:position w:val="19"/>
          <w:sz w:val="30"/>
          <w:szCs w:val="30"/>
          <w:lang w:val="en-US" w:eastAsia="zh-CN"/>
        </w:rPr>
        <w:t>养老支出</w:t>
      </w:r>
      <w:r>
        <w:rPr>
          <w:rFonts w:hint="default" w:ascii="仿宋" w:hAnsi="仿宋" w:eastAsia="仿宋" w:cs="仿宋"/>
          <w:spacing w:val="-4"/>
          <w:position w:val="19"/>
          <w:sz w:val="30"/>
          <w:szCs w:val="30"/>
          <w:lang w:val="en-US" w:eastAsia="zh-CN"/>
        </w:rPr>
        <w:t>（款）：反映行政事业单位用于</w:t>
      </w:r>
      <w:r>
        <w:rPr>
          <w:rFonts w:hint="eastAsia" w:ascii="仿宋" w:hAnsi="仿宋" w:eastAsia="仿宋" w:cs="仿宋"/>
          <w:spacing w:val="-4"/>
          <w:position w:val="19"/>
          <w:sz w:val="30"/>
          <w:szCs w:val="30"/>
          <w:lang w:val="en-US" w:eastAsia="zh-CN"/>
        </w:rPr>
        <w:t>养老</w:t>
      </w:r>
      <w:r>
        <w:rPr>
          <w:rFonts w:hint="default" w:ascii="仿宋" w:hAnsi="仿宋" w:eastAsia="仿宋" w:cs="仿宋"/>
          <w:spacing w:val="-4"/>
          <w:position w:val="19"/>
          <w:sz w:val="30"/>
          <w:szCs w:val="30"/>
          <w:lang w:val="en-US" w:eastAsia="zh-CN"/>
        </w:rPr>
        <w:t>方面的支出。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事业</w:t>
      </w:r>
      <w:r>
        <w:rPr>
          <w:rFonts w:hint="default" w:ascii="仿宋" w:hAnsi="仿宋" w:eastAsia="仿宋" w:cs="仿宋"/>
          <w:spacing w:val="-4"/>
          <w:position w:val="19"/>
          <w:sz w:val="30"/>
          <w:szCs w:val="30"/>
          <w:lang w:val="en-US" w:eastAsia="zh-CN"/>
        </w:rPr>
        <w:t>单位离退休（项）：反映</w:t>
      </w:r>
      <w:r>
        <w:rPr>
          <w:rFonts w:hint="eastAsia" w:ascii="仿宋" w:hAnsi="仿宋" w:eastAsia="仿宋" w:cs="仿宋"/>
          <w:spacing w:val="-4"/>
          <w:position w:val="19"/>
          <w:sz w:val="30"/>
          <w:szCs w:val="30"/>
          <w:lang w:val="en-US" w:eastAsia="zh-CN"/>
        </w:rPr>
        <w:t>事业</w:t>
      </w:r>
      <w:r>
        <w:rPr>
          <w:rFonts w:hint="default" w:ascii="仿宋" w:hAnsi="仿宋" w:eastAsia="仿宋" w:cs="仿宋"/>
          <w:spacing w:val="-4"/>
          <w:position w:val="19"/>
          <w:sz w:val="30"/>
          <w:szCs w:val="30"/>
          <w:lang w:val="en-US" w:eastAsia="zh-CN"/>
        </w:rPr>
        <w:t>单位开支的离退休经费。</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机关事业单位基本养老保险缴费支出（项）：反映机关事业单位实施养老保险制度由单位缴纳的基本养老保险费支出。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机关事业单位职业年金缴费支出（项）：反映机关事业单位实施养老保险制度由单位实际缴纳的职业年金支出。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2、</w:t>
      </w:r>
      <w:r>
        <w:rPr>
          <w:rFonts w:hint="default" w:ascii="仿宋" w:hAnsi="仿宋" w:eastAsia="仿宋" w:cs="仿宋"/>
          <w:spacing w:val="-4"/>
          <w:position w:val="19"/>
          <w:sz w:val="30"/>
          <w:szCs w:val="30"/>
          <w:lang w:val="en-US" w:eastAsia="zh-CN"/>
        </w:rPr>
        <w:t>社会保障和就业（类）其他社会保障和就业支出（款）</w:t>
      </w:r>
      <w:r>
        <w:rPr>
          <w:rFonts w:hint="eastAsia" w:ascii="仿宋" w:hAnsi="仿宋" w:eastAsia="仿宋" w:cs="仿宋"/>
          <w:spacing w:val="-4"/>
          <w:position w:val="19"/>
          <w:sz w:val="30"/>
          <w:szCs w:val="30"/>
          <w:lang w:val="en-US" w:eastAsia="zh-CN"/>
        </w:rPr>
        <w:t>：</w:t>
      </w:r>
      <w:r>
        <w:rPr>
          <w:rFonts w:hint="default" w:ascii="仿宋" w:hAnsi="仿宋" w:eastAsia="仿宋" w:cs="仿宋"/>
          <w:spacing w:val="-4"/>
          <w:position w:val="19"/>
          <w:sz w:val="30"/>
          <w:szCs w:val="30"/>
          <w:lang w:val="en-US" w:eastAsia="zh-CN"/>
        </w:rPr>
        <w:t>反映除上述项目以外其他用于社会保障和就业方面的支出。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其他社会保障和就业支出（项）：反映除上述项目以外其他用于社会保障和就业方面的支出。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3</w:t>
      </w:r>
      <w:r>
        <w:rPr>
          <w:rFonts w:hint="default" w:ascii="仿宋" w:hAnsi="仿宋" w:eastAsia="仿宋" w:cs="仿宋"/>
          <w:spacing w:val="-4"/>
          <w:position w:val="19"/>
          <w:sz w:val="30"/>
          <w:szCs w:val="30"/>
          <w:lang w:val="en-US" w:eastAsia="zh-CN"/>
        </w:rPr>
        <w:t>、卫生健康支出（类）公共卫生（款）：反映公共卫生支出。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疾病预防控制机构（项）：反映卫生健康部门所属疾病预防控制机构的支出。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4</w:t>
      </w:r>
      <w:r>
        <w:rPr>
          <w:rFonts w:hint="default" w:ascii="仿宋" w:hAnsi="仿宋" w:eastAsia="仿宋" w:cs="仿宋"/>
          <w:spacing w:val="-4"/>
          <w:position w:val="19"/>
          <w:sz w:val="30"/>
          <w:szCs w:val="30"/>
          <w:lang w:val="en-US" w:eastAsia="zh-CN"/>
        </w:rPr>
        <w:t>、卫生健康支出（类）行政事业单位医疗（款）：</w:t>
      </w:r>
      <w:r>
        <w:rPr>
          <w:rFonts w:hint="eastAsia" w:ascii="仿宋" w:hAnsi="仿宋" w:eastAsia="仿宋" w:cs="仿宋"/>
          <w:spacing w:val="-4"/>
          <w:position w:val="19"/>
          <w:sz w:val="30"/>
          <w:szCs w:val="30"/>
          <w:lang w:val="en-US" w:eastAsia="zh-CN"/>
        </w:rPr>
        <w:t>反映行政事业单位医疗方面的支出。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eastAsia" w:ascii="仿宋" w:hAnsi="仿宋" w:eastAsia="仿宋" w:cs="仿宋"/>
          <w:spacing w:val="-4"/>
          <w:position w:val="19"/>
          <w:sz w:val="30"/>
          <w:szCs w:val="30"/>
          <w:lang w:val="en-US" w:eastAsia="zh-CN"/>
        </w:rPr>
        <w:t>5</w:t>
      </w:r>
      <w:r>
        <w:rPr>
          <w:rFonts w:hint="default" w:ascii="仿宋" w:hAnsi="仿宋" w:eastAsia="仿宋" w:cs="仿宋"/>
          <w:spacing w:val="-4"/>
          <w:position w:val="19"/>
          <w:sz w:val="30"/>
          <w:szCs w:val="30"/>
          <w:lang w:val="en-US" w:eastAsia="zh-CN"/>
        </w:rPr>
        <w:t>、住房保障支出（类）住房改革支出（款）：反映行政事业单位用财政拨款资金和其他资金等安排的住房改革支出。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住房公积金（项）：反映行政事业单位按人力资源和社会保障部、财政部规定的基本工资和津贴补贴以及规定比例为职工缴纳的住房公积金。</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提租补贴（项）：反映按房改政策规定的标准，行政事业单位向职工（含离退休人员）发放的租金补贴。</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购房补贴（项）：反映按房改政策规定，行政事业单位向符合条件职工（含离退休人员）、军队（含武警）向转役复员离退休人员发放的用于购买住房的补贴。</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（五）基本支出：指为保障机构正常运转、完成日常工作任务而发生的人员支出和公用支出。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default"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（六）项目支出：指在基本支出之外为完成特定的行政任务或事业发展目标所发生的支出。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zh-CN"/>
        </w:rPr>
      </w:pPr>
      <w:r>
        <w:rPr>
          <w:rFonts w:hint="default" w:ascii="仿宋" w:hAnsi="仿宋" w:eastAsia="仿宋" w:cs="仿宋"/>
          <w:spacing w:val="-4"/>
          <w:position w:val="19"/>
          <w:sz w:val="30"/>
          <w:szCs w:val="30"/>
          <w:lang w:val="en-US" w:eastAsia="zh-CN"/>
        </w:rPr>
        <w:t>（七）</w:t>
      </w:r>
      <w:r>
        <w:rPr>
          <w:rFonts w:hint="eastAsia" w:ascii="仿宋" w:hAnsi="仿宋" w:eastAsia="仿宋" w:cs="仿宋"/>
          <w:spacing w:val="-4"/>
          <w:position w:val="19"/>
          <w:sz w:val="30"/>
          <w:szCs w:val="30"/>
          <w:lang w:val="en-US" w:eastAsia="zh-CN"/>
        </w:rPr>
        <w:t>“三公”</w:t>
      </w:r>
      <w:r>
        <w:rPr>
          <w:rFonts w:hint="default" w:ascii="仿宋" w:hAnsi="仿宋" w:eastAsia="仿宋" w:cs="仿宋"/>
          <w:spacing w:val="-4"/>
          <w:position w:val="19"/>
          <w:sz w:val="30"/>
          <w:szCs w:val="30"/>
          <w:lang w:val="en-US" w:eastAsia="zh-CN"/>
        </w:rPr>
        <w:t>经费：纳入财政一般公共预算管理的</w:t>
      </w:r>
      <w:r>
        <w:rPr>
          <w:rFonts w:hint="eastAsia" w:ascii="仿宋" w:hAnsi="仿宋" w:eastAsia="仿宋" w:cs="仿宋"/>
          <w:spacing w:val="-4"/>
          <w:position w:val="19"/>
          <w:sz w:val="30"/>
          <w:szCs w:val="30"/>
          <w:lang w:val="en-US" w:eastAsia="zh-CN"/>
        </w:rPr>
        <w:t>“三公”经费，是指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燃料费、维修费、过路过桥费、保险费、安全奖励费用等支出；公务接待费反映单位按规定开支的各类公务接待（含外宾接待）支出。</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4" w:firstLineChars="200"/>
        <w:jc w:val="both"/>
        <w:textAlignment w:val="baseline"/>
        <w:rPr>
          <w:rFonts w:hint="eastAsia" w:ascii="仿宋" w:hAnsi="仿宋" w:eastAsia="仿宋" w:cs="仿宋"/>
          <w:spacing w:val="-4"/>
          <w:position w:val="19"/>
          <w:sz w:val="30"/>
          <w:szCs w:val="30"/>
          <w:lang w:val="en-US" w:eastAsia="en-US"/>
        </w:rPr>
      </w:pPr>
      <w:r>
        <w:rPr>
          <w:rFonts w:hint="eastAsia" w:ascii="仿宋" w:hAnsi="仿宋" w:eastAsia="仿宋" w:cs="仿宋"/>
          <w:spacing w:val="-4"/>
          <w:position w:val="19"/>
          <w:sz w:val="30"/>
          <w:szCs w:val="30"/>
          <w:lang w:val="en-US" w:eastAsia="zh-CN"/>
        </w:rPr>
        <w:t>备注：本报告中金额转化为万元时，四舍五入可能存在尾差。</w:t>
      </w:r>
    </w:p>
    <w:sectPr>
      <w:footerReference r:id="rId18" w:type="default"/>
      <w:pgSz w:w="11906" w:h="16839"/>
      <w:pgMar w:top="1431" w:right="1785" w:bottom="1151" w:left="1785" w:header="0" w:footer="98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创艺简标宋">
    <w:altName w:val="黑体"/>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24"/>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2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eastAsia="Times New Roman" w:cs="Times New Roman"/>
        <w:spacing w:val="-7"/>
        <w:sz w:val="18"/>
        <w:szCs w:val="18"/>
      </w:rPr>
      <w:t>-</w:t>
    </w:r>
    <w:r>
      <w:rPr>
        <w:rFonts w:ascii="Times New Roman" w:hAnsi="Times New Roman" w:eastAsia="Times New Roman" w:cs="Times New Roman"/>
        <w:spacing w:val="19"/>
        <w:sz w:val="18"/>
        <w:szCs w:val="18"/>
      </w:rPr>
      <w:t xml:space="preserve"> </w:t>
    </w:r>
    <w:r>
      <w:rPr>
        <w:rFonts w:ascii="Times New Roman" w:hAnsi="Times New Roman" w:eastAsia="Times New Roman" w:cs="Times New Roman"/>
        <w:spacing w:val="-7"/>
        <w:sz w:val="18"/>
        <w:szCs w:val="18"/>
      </w:rPr>
      <w:t>15</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7"/>
        <w:sz w:val="18"/>
        <w:szCs w:val="1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9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682AE"/>
    <w:multiLevelType w:val="singleLevel"/>
    <w:tmpl w:val="138682AE"/>
    <w:lvl w:ilvl="0" w:tentative="0">
      <w:start w:val="1"/>
      <w:numFmt w:val="decimal"/>
      <w:suff w:val="nothing"/>
      <w:lvlText w:val="%1、"/>
      <w:lvlJc w:val="left"/>
      <w:pPr>
        <w:ind w:left="34"/>
      </w:pPr>
    </w:lvl>
  </w:abstractNum>
  <w:abstractNum w:abstractNumId="1">
    <w:nsid w:val="3220050A"/>
    <w:multiLevelType w:val="singleLevel"/>
    <w:tmpl w:val="3220050A"/>
    <w:lvl w:ilvl="0" w:tentative="0">
      <w:start w:val="1"/>
      <w:numFmt w:val="decimal"/>
      <w:lvlText w:val="%1."/>
      <w:lvlJc w:val="left"/>
      <w:pPr>
        <w:tabs>
          <w:tab w:val="left" w:pos="312"/>
        </w:tabs>
      </w:pPr>
    </w:lvl>
  </w:abstractNum>
  <w:abstractNum w:abstractNumId="2">
    <w:nsid w:val="4FC9039F"/>
    <w:multiLevelType w:val="singleLevel"/>
    <w:tmpl w:val="4FC9039F"/>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JmMTQ2NDk3YzAzMTAyZTUwZjljMTFkMzYyZjUwMjEifQ=="/>
  </w:docVars>
  <w:rsids>
    <w:rsidRoot w:val="00000000"/>
    <w:rsid w:val="003D21B2"/>
    <w:rsid w:val="044005CD"/>
    <w:rsid w:val="05B25148"/>
    <w:rsid w:val="068B011B"/>
    <w:rsid w:val="09146FDC"/>
    <w:rsid w:val="0AC20364"/>
    <w:rsid w:val="0B545490"/>
    <w:rsid w:val="0E5B61DF"/>
    <w:rsid w:val="13C44A5B"/>
    <w:rsid w:val="13CC10BC"/>
    <w:rsid w:val="1BDB796F"/>
    <w:rsid w:val="1C8261A0"/>
    <w:rsid w:val="24803136"/>
    <w:rsid w:val="298B1F56"/>
    <w:rsid w:val="2AF03A23"/>
    <w:rsid w:val="32052AEA"/>
    <w:rsid w:val="33A8231A"/>
    <w:rsid w:val="34357276"/>
    <w:rsid w:val="3774310E"/>
    <w:rsid w:val="3AF84E94"/>
    <w:rsid w:val="3DBF59D9"/>
    <w:rsid w:val="3DEC4491"/>
    <w:rsid w:val="3E2C5430"/>
    <w:rsid w:val="42D26A9C"/>
    <w:rsid w:val="44DE67A3"/>
    <w:rsid w:val="48CE3E38"/>
    <w:rsid w:val="49A428C3"/>
    <w:rsid w:val="4C8E75EA"/>
    <w:rsid w:val="50B11AF9"/>
    <w:rsid w:val="54297BF9"/>
    <w:rsid w:val="54AA0D3A"/>
    <w:rsid w:val="555D676E"/>
    <w:rsid w:val="58F82AE1"/>
    <w:rsid w:val="5A8E7C34"/>
    <w:rsid w:val="5AE63D85"/>
    <w:rsid w:val="60356346"/>
    <w:rsid w:val="60ED641A"/>
    <w:rsid w:val="61E97C32"/>
    <w:rsid w:val="63123361"/>
    <w:rsid w:val="64BA5A09"/>
    <w:rsid w:val="67762DCB"/>
    <w:rsid w:val="6853124F"/>
    <w:rsid w:val="69794416"/>
    <w:rsid w:val="6A423EE7"/>
    <w:rsid w:val="6C94656D"/>
    <w:rsid w:val="6F8B20EE"/>
    <w:rsid w:val="70ED080E"/>
    <w:rsid w:val="7213319C"/>
    <w:rsid w:val="7771524B"/>
    <w:rsid w:val="777A7420"/>
    <w:rsid w:val="78250FD3"/>
    <w:rsid w:val="7A15284A"/>
    <w:rsid w:val="7A6319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index heading"/>
    <w:basedOn w:val="1"/>
    <w:next w:val="3"/>
    <w:autoRedefine/>
    <w:semiHidden/>
    <w:qFormat/>
    <w:uiPriority w:val="99"/>
    <w:pPr>
      <w:spacing w:line="500" w:lineRule="exact"/>
    </w:pPr>
    <w:rPr>
      <w:rFonts w:ascii="仿宋_GB2312" w:eastAsia="仿宋_GB2312" w:cs="仿宋_GB2312"/>
      <w:sz w:val="28"/>
      <w:szCs w:val="28"/>
    </w:rPr>
  </w:style>
  <w:style w:type="paragraph" w:styleId="3">
    <w:name w:val="index 1"/>
    <w:basedOn w:val="1"/>
    <w:next w:val="1"/>
    <w:autoRedefine/>
    <w:unhideWhenUsed/>
    <w:qFormat/>
    <w:uiPriority w:val="99"/>
    <w:pPr>
      <w:spacing w:line="560" w:lineRule="exact"/>
      <w:ind w:firstLine="643" w:firstLineChars="200"/>
    </w:pPr>
    <w:rPr>
      <w:rFonts w:ascii="楷体_GB2312" w:hAnsi="仿宋_GB2312" w:eastAsia="楷体_GB2312" w:cs="仿宋_GB2312"/>
      <w:b/>
      <w:sz w:val="32"/>
      <w:szCs w:val="32"/>
    </w:rPr>
  </w:style>
  <w:style w:type="paragraph" w:styleId="4">
    <w:name w:val="annotation text"/>
    <w:basedOn w:val="1"/>
    <w:autoRedefine/>
    <w:qFormat/>
    <w:uiPriority w:val="0"/>
    <w:pPr>
      <w:jc w:val="left"/>
    </w:pPr>
  </w:style>
  <w:style w:type="paragraph" w:styleId="5">
    <w:name w:val="Body Text"/>
    <w:basedOn w:val="1"/>
    <w:autoRedefine/>
    <w:semiHidden/>
    <w:qFormat/>
    <w:uiPriority w:val="0"/>
    <w:rPr>
      <w:rFonts w:ascii="Arial" w:hAnsi="Arial" w:eastAsia="Arial" w:cs="Arial"/>
      <w:sz w:val="21"/>
      <w:szCs w:val="21"/>
      <w:lang w:val="en-US" w:eastAsia="en-US" w:bidi="ar-SA"/>
    </w:rPr>
  </w:style>
  <w:style w:type="paragraph" w:styleId="6">
    <w:name w:val="Date"/>
    <w:basedOn w:val="1"/>
    <w:next w:val="1"/>
    <w:autoRedefine/>
    <w:qFormat/>
    <w:uiPriority w:val="0"/>
    <w:rPr>
      <w:rFonts w:ascii="仿宋_GB2312" w:eastAsia="仿宋_GB2312"/>
      <w:sz w:val="32"/>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bottom w:val="single" w:color="auto" w:sz="6" w:space="1"/>
      </w:pBdr>
      <w:tabs>
        <w:tab w:val="center" w:pos="4153"/>
        <w:tab w:val="right" w:pos="8306"/>
      </w:tabs>
      <w:snapToGrid w:val="0"/>
      <w:jc w:val="center"/>
    </w:pPr>
    <w:rPr>
      <w:sz w:val="18"/>
    </w:rPr>
  </w:style>
  <w:style w:type="character" w:styleId="11">
    <w:name w:val="page number"/>
    <w:autoRedefine/>
    <w:qFormat/>
    <w:uiPriority w:val="0"/>
  </w:style>
  <w:style w:type="table" w:customStyle="1" w:styleId="12">
    <w:name w:val="Table Normal"/>
    <w:autoRedefine/>
    <w:semiHidden/>
    <w:unhideWhenUsed/>
    <w:qFormat/>
    <w:uiPriority w:val="0"/>
    <w:tblPr>
      <w:tblCellMar>
        <w:top w:w="0" w:type="dxa"/>
        <w:left w:w="0" w:type="dxa"/>
        <w:bottom w:w="0" w:type="dxa"/>
        <w:right w:w="0" w:type="dxa"/>
      </w:tblCellMar>
    </w:tblPr>
  </w:style>
  <w:style w:type="paragraph" w:customStyle="1" w:styleId="13">
    <w:name w:val="Table Text"/>
    <w:basedOn w:val="1"/>
    <w:autoRedefine/>
    <w:semiHidden/>
    <w:qFormat/>
    <w:uiPriority w:val="0"/>
    <w:rPr>
      <w:rFonts w:ascii="宋体" w:hAnsi="宋体" w:eastAsia="宋体" w:cs="宋体"/>
      <w:sz w:val="18"/>
      <w:szCs w:val="18"/>
      <w:lang w:val="en-US" w:eastAsia="en-US" w:bidi="ar-SA"/>
    </w:rPr>
  </w:style>
  <w:style w:type="character" w:customStyle="1" w:styleId="14">
    <w:name w:val="font61"/>
    <w:basedOn w:val="10"/>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6</TotalTime>
  <ScaleCrop>false</ScaleCrop>
  <LinksUpToDate>false</LinksUpToDate>
  <Application>WPS Office_12.1.0.16399_F1E327BC-269C-435d-A152-05C5408002CA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2024-02-27T21:20:00Z</dcterms:created>
  <dc:creator>zoumin</dc:creator>
  <cp:lastModifiedBy>xs:)</cp:lastModifiedBy>
  <dcterms:modified xsi:type="dcterms:W3CDTF">2024-03-12T00:48:30Z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2024-03-05T08:56:12Z</vt:filetime>
  </property>
  <property fmtid="{D5CDD505-2E9C-101B-9397-08002B2CF9AE}" pid="4" name="KSOProductBuildVer">
    <vt:lpwstr>2052-12.1.0.16399</vt:lpwstr>
  </property>
  <property fmtid="{D5CDD505-2E9C-101B-9397-08002B2CF9AE}" pid="5" name="ICV">
    <vt:lpwstr>B77CDB9B38B343A599E45E2BAE853536_13</vt:lpwstr>
  </property>
</Properties>
</file>