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even"/>
          <w:pgSz w:w="11906" w:h="16838"/>
          <w:pgMar w:top="0" w:right="0" w:bottom="0" w:left="0" w:header="851" w:footer="992" w:gutter="0"/>
          <w:cols w:space="425" w:num="1"/>
          <w:titlePg/>
          <w:docGrid w:type="lines" w:linePitch="312" w:charSpace="0"/>
        </w:sectPr>
      </w:pPr>
      <w:r>
        <w:pict>
          <v:shape id="文本框 10" o:spid="_x0000_s1033" o:spt="202" type="#_x0000_t202" style="position:absolute;left:0pt;margin-left:106.25pt;margin-top:693.55pt;height:79.95pt;width:404.15pt;z-index:251664384;mso-width-relative:page;mso-height-relative:page;" filled="f" stroked="f" coordsize="21600,21600">
            <v:path/>
            <v:fill on="f" focussize="0,0"/>
            <v:stroke on="f" joinstyle="miter"/>
            <v:imagedata o:title=""/>
            <o:lock v:ext="edit"/>
            <v:textbox style="mso-fit-shape-to-text:t;">
              <w:txbxContent>
                <w:p>
                  <w:pPr>
                    <w:jc w:val="center"/>
                    <w:rPr>
                      <w:rFonts w:ascii="楷体_GB2312" w:hAnsi="楷体_GB2312" w:eastAsia="楷体_GB2312" w:cs="楷体_GB2312"/>
                      <w:color w:val="000000"/>
                      <w:kern w:val="0"/>
                      <w:sz w:val="44"/>
                      <w:szCs w:val="44"/>
                    </w:rPr>
                  </w:pPr>
                  <w:r>
                    <w:rPr>
                      <w:rFonts w:hint="eastAsia" w:ascii="楷体_GB2312" w:hAnsi="楷体_GB2312" w:eastAsia="楷体_GB2312" w:cs="楷体_GB2312"/>
                      <w:color w:val="000000"/>
                      <w:kern w:val="0"/>
                      <w:sz w:val="44"/>
                      <w:szCs w:val="44"/>
                    </w:rPr>
                    <w:t>二〇二〇年九月</w:t>
                  </w:r>
                </w:p>
              </w:txbxContent>
            </v:textbox>
          </v:shape>
        </w:pict>
      </w:r>
      <w:r>
        <w:pict>
          <v:shape id="椭圆 8" o:spid="_x0000_s1034" o:spt="3" type="#_x0000_t3" style="position:absolute;left:0pt;margin-left:53.5pt;margin-top:232.45pt;height:121.95pt;width:121.95pt;z-index:251661312;v-text-anchor:middle;mso-width-relative:page;mso-height-relative:page;" stroked="f" coordsize="21600,21600">
            <v:path/>
            <v:fill focussize="0,0"/>
            <v:stroke on="f" weight="1pt" joinstyle="miter"/>
            <v:imagedata o:title=""/>
            <o:lock v:ext="edit"/>
            <v:textbox>
              <w:txbxContent>
                <w:p/>
              </w:txbxContent>
            </v:textbox>
          </v:shape>
        </w:pict>
      </w:r>
      <w:r>
        <w:pict>
          <v:rect id="矩形 14" o:spid="_x0000_s1035" o:spt="1" style="position:absolute;left:0pt;margin-left:33.6pt;margin-top:256.75pt;height:69.6pt;width:160.65pt;z-index:251666432;mso-width-relative:page;mso-height-relative:page;" filled="f" stroked="f" coordsize="21600,21600">
            <v:path/>
            <v:fill on="f" focussize="0,0"/>
            <v:stroke on="f"/>
            <v:imagedata o:title=""/>
            <o:lock v:ext="edit"/>
            <v:textbox style="mso-fit-shape-to-text:t;">
              <w:txbxContent>
                <w:p>
                  <w:pPr>
                    <w:spacing w:line="360" w:lineRule="auto"/>
                    <w:jc w:val="center"/>
                    <w:rPr>
                      <w:kern w:val="0"/>
                      <w:sz w:val="28"/>
                      <w:szCs w:val="28"/>
                    </w:rPr>
                  </w:pPr>
                  <w:r>
                    <w:rPr>
                      <w:rFonts w:ascii="Yu Gothic UI Semibold" w:hAnsi="Yu Gothic UI Semibold" w:eastAsia="宋体"/>
                      <w:color w:val="FFFFFF"/>
                      <w:kern w:val="24"/>
                      <w:sz w:val="72"/>
                      <w:szCs w:val="72"/>
                    </w:rPr>
                    <w:t>2019</w:t>
                  </w:r>
                </w:p>
              </w:txbxContent>
            </v:textbox>
          </v:rect>
        </w:pict>
      </w:r>
      <w:r>
        <w:pict>
          <v:shape id="椭圆 9" o:spid="_x0000_s1036" o:spt="3" type="#_x0000_t3" style="position:absolute;left:0pt;margin-left:62.2pt;margin-top:242.75pt;height:103.45pt;width:103.45pt;z-index:251665408;v-text-anchor:middle;mso-width-relative:page;mso-height-relative:page;" fillcolor="#1F2959" filled="t" stroked="f" coordsize="21600,21600">
            <v:path/>
            <v:fill on="t" focussize="0,0"/>
            <v:stroke on="f" weight="1pt" joinstyle="miter"/>
            <v:imagedata o:title=""/>
            <o:lock v:ext="edit"/>
            <v:textbox>
              <w:txbxContent>
                <w:p/>
              </w:txbxContent>
            </v:textbox>
          </v:shape>
        </w:pict>
      </w:r>
      <w:r>
        <w:pict>
          <v:group id="_x0000_s1037" o:spid="_x0000_s1037" o:spt="203" style="position:absolute;left:0pt;margin-left:1.25pt;margin-top:821.7pt;height:21.45pt;width:595.25pt;z-index:251662336;mso-width-relative:page;mso-height-relative:page;" coordorigin="1483,16692" coordsize="11905,429203">
            <o:lock v:ext="edit"/>
            <v:rect id="矩形 6" o:spid="_x0000_s1038" o:spt="1" style="position:absolute;left:1483;top:16692;height:428;width:1125;v-text-anchor:middle;" fillcolor="#FDBC11" filled="t" stroked="f" coordsize="21600,21600">
              <v:path/>
              <v:fill on="t" focussize="0,0"/>
              <v:stroke on="f" weight="1pt"/>
              <v:imagedata o:title=""/>
              <o:lock v:ext="edit"/>
            </v:rect>
            <v:rect id="矩形 7" o:spid="_x0000_s1039" o:spt="1" style="position:absolute;left:2608;top:16693;height:428;width:10780;v-text-anchor:middle;" fillcolor="#1F2959" filled="t" stroked="f" coordsize="21600,21600">
              <v:path/>
              <v:fill on="t" focussize="0,0"/>
              <v:stroke on="f" weight="1pt"/>
              <v:imagedata o:title=""/>
              <o:lock v:ext="edit"/>
            </v:rect>
          </v:group>
        </w:pict>
      </w:r>
      <w:r>
        <w:pict>
          <v:rect id="矩形 11" o:spid="_x0000_s1043" o:spt="1" style="position:absolute;left:0pt;margin-left:184.75pt;margin-top:286.6pt;height:31.25pt;width:339.65pt;mso-wrap-style:none;z-index:251663360;mso-width-relative:page;mso-height-relative:page;" filled="f" stroked="f" coordsize="21600,21600">
            <v:path/>
            <v:fill on="f" focussize="0,0"/>
            <v:stroke on="f"/>
            <v:imagedata o:title=""/>
            <o:lock v:ext="edit"/>
            <v:textbox style="mso-fit-shape-to-text:t;">
              <w:txbxContent>
                <w:p/>
              </w:txbxContent>
            </v:textbox>
          </v:rect>
        </w:pict>
      </w:r>
    </w:p>
    <w:p/>
    <w:p>
      <w:pPr>
        <w:jc w:val="center"/>
        <w:rPr>
          <w:rFonts w:ascii="黑体" w:hAnsi="黑体" w:eastAsia="黑体" w:cs="黑体"/>
          <w:sz w:val="56"/>
          <w:szCs w:val="72"/>
        </w:rPr>
      </w:pPr>
      <w:r>
        <w:pict>
          <v:group id="_x0000_s1040" o:spid="_x0000_s1040" o:spt="203" style="position:absolute;left:0pt;margin-left:-98.55pt;margin-top:46pt;height:69.6pt;width:600.25pt;z-index:-251657216;mso-width-relative:page;mso-height-relative:page;" coordorigin="136,-667" coordsize="120,13920">
            <o:lock v:ext="edit"/>
            <v:rect id="矩形 5" o:spid="_x0000_s1041" o:spt="1" style="position:absolute;left:136;top:2;height:62;width:120;v-text-anchor:middle;" fillcolor="#FDBC11" filled="t" stroked="f" coordsize="21600,21600">
              <v:path/>
              <v:fill on="t" focussize="0,0"/>
              <v:stroke on="f" weight="1pt"/>
              <v:imagedata o:title=""/>
              <o:lock v:ext="edit"/>
            </v:rect>
            <v:shape id="_x0000_s1042" o:spid="_x0000_s1042" o:spt="202" type="#_x0000_t202" style="position:absolute;left:172;top:-667;height:13920;width:81;" filled="f" stroked="f" coordsize="21600,21600">
              <v:path/>
              <v:fill on="f" focussize="0,0"/>
              <v:stroke on="f" joinstyle="miter"/>
              <v:imagedata o:title=""/>
              <o:lock v:ext="edit"/>
              <v:textbox style="mso-fit-shape-to-text:t;">
                <w:txbxContent>
                  <w:p>
                    <w:pPr>
                      <w:jc w:val="left"/>
                      <w:rPr>
                        <w:color w:val="000000"/>
                        <w:kern w:val="0"/>
                        <w:sz w:val="92"/>
                        <w:szCs w:val="92"/>
                      </w:rPr>
                    </w:pPr>
                    <w:r>
                      <w:rPr>
                        <w:rFonts w:hint="eastAsia" w:ascii="思源黑体 HW Bold" w:hAnsi="思源黑体 HW Bold" w:eastAsia="思源黑体 HW Bold"/>
                        <w:color w:val="000000"/>
                        <w:kern w:val="24"/>
                        <w:sz w:val="92"/>
                        <w:szCs w:val="92"/>
                      </w:rPr>
                      <w:t>部门决算公开文本</w:t>
                    </w:r>
                  </w:p>
                </w:txbxContent>
              </v:textbox>
            </v:shape>
          </v:group>
        </w:pict>
      </w:r>
    </w:p>
    <w:p>
      <w:pPr>
        <w:jc w:val="center"/>
        <w:rPr>
          <w:rFonts w:ascii="黑体" w:hAnsi="黑体" w:eastAsia="黑体" w:cs="黑体"/>
          <w:sz w:val="56"/>
          <w:szCs w:val="72"/>
        </w:rPr>
      </w:pPr>
    </w:p>
    <w:p>
      <w:pPr>
        <w:rPr>
          <w:rFonts w:ascii="黑体" w:hAnsi="Times New Roman" w:eastAsia="黑体"/>
          <w:sz w:val="48"/>
          <w:szCs w:val="48"/>
        </w:rPr>
      </w:pPr>
      <w:bookmarkStart w:id="0" w:name="_GoBack"/>
      <w:bookmarkEnd w:id="0"/>
      <w:r>
        <w:rPr>
          <w:rFonts w:ascii="黑体" w:hAnsi="Times New Roman" w:eastAsia="黑体"/>
          <w:sz w:val="48"/>
          <w:szCs w:val="48"/>
        </w:rPr>
        <w:br w:type="page"/>
      </w:r>
    </w:p>
    <w:p>
      <w:pPr>
        <w:tabs>
          <w:tab w:val="left" w:pos="2728"/>
        </w:tabs>
        <w:rPr>
          <w:rFonts w:ascii="黑体" w:hAnsi="Times New Roman" w:eastAsia="黑体"/>
          <w:sz w:val="48"/>
          <w:szCs w:val="48"/>
        </w:rPr>
      </w:pPr>
      <w:r>
        <w:rPr>
          <w:rFonts w:ascii="黑体" w:hAnsi="Times New Roman" w:eastAsia="黑体"/>
          <w:sz w:val="48"/>
          <w:szCs w:val="48"/>
        </w:rPr>
        <w:tab/>
      </w:r>
    </w:p>
    <w:p>
      <w:pPr>
        <w:rPr>
          <w:rFonts w:ascii="黑体" w:hAnsi="黑体" w:eastAsia="黑体" w:cs="黑体"/>
          <w:sz w:val="56"/>
          <w:szCs w:val="72"/>
        </w:rPr>
      </w:pPr>
    </w:p>
    <w:p>
      <w:pPr>
        <w:rPr>
          <w:rFonts w:ascii="黑体" w:hAnsi="黑体" w:eastAsia="黑体" w:cs="黑体"/>
          <w:b/>
          <w:bCs/>
          <w:sz w:val="72"/>
          <w:szCs w:val="96"/>
        </w:rPr>
      </w:pPr>
      <w:r>
        <w:rPr>
          <w:rFonts w:ascii="黑体" w:hAnsi="黑体" w:eastAsia="黑体" w:cs="黑体"/>
          <w:b/>
          <w:bCs/>
          <w:sz w:val="72"/>
          <w:szCs w:val="96"/>
        </w:rPr>
        <w:t>2019</w:t>
      </w:r>
      <w:r>
        <w:rPr>
          <w:rFonts w:hint="eastAsia" w:ascii="黑体" w:hAnsi="黑体" w:eastAsia="黑体" w:cs="黑体"/>
          <w:b/>
          <w:bCs/>
          <w:sz w:val="72"/>
          <w:szCs w:val="96"/>
        </w:rPr>
        <w:t>年度部门决算公开文本</w:t>
      </w:r>
    </w:p>
    <w:p>
      <w:pPr>
        <w:spacing w:line="36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60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pacing w:line="480" w:lineRule="auto"/>
        <w:jc w:val="center"/>
        <w:rPr>
          <w:rFonts w:ascii="黑体" w:hAnsi="黑体" w:eastAsia="黑体" w:cs="黑体"/>
          <w:sz w:val="56"/>
          <w:szCs w:val="72"/>
        </w:rPr>
      </w:pPr>
    </w:p>
    <w:p>
      <w:pPr>
        <w:snapToGrid w:val="0"/>
        <w:spacing w:line="480" w:lineRule="auto"/>
        <w:jc w:val="center"/>
        <w:rPr>
          <w:rFonts w:ascii="黑体" w:hAnsi="黑体" w:eastAsia="黑体" w:cs="黑体"/>
          <w:sz w:val="56"/>
          <w:szCs w:val="72"/>
        </w:rPr>
      </w:pPr>
      <w:r>
        <w:rPr>
          <w:rFonts w:hint="eastAsia" w:ascii="黑体" w:hAnsi="黑体" w:eastAsia="黑体" w:cs="黑体"/>
          <w:sz w:val="56"/>
          <w:szCs w:val="72"/>
        </w:rPr>
        <w:t>阜平县应急管理局</w:t>
      </w:r>
    </w:p>
    <w:p>
      <w:pPr>
        <w:snapToGrid w:val="0"/>
        <w:jc w:val="center"/>
        <w:rPr>
          <w:rFonts w:ascii="楷体_GB2312" w:hAnsi="楷体_GB2312" w:eastAsia="楷体_GB2312" w:cs="楷体_GB2312"/>
          <w:color w:val="000000"/>
          <w:kern w:val="0"/>
          <w:sz w:val="44"/>
          <w:szCs w:val="44"/>
        </w:rPr>
        <w:sectPr>
          <w:headerReference r:id="rId5" w:type="first"/>
          <w:footerReference r:id="rId6" w:type="first"/>
          <w:headerReference r:id="rId4" w:type="default"/>
          <w:type w:val="continuous"/>
          <w:pgSz w:w="11906" w:h="16838"/>
          <w:pgMar w:top="2041" w:right="1531" w:bottom="2041" w:left="1531" w:header="851" w:footer="992" w:gutter="0"/>
          <w:cols w:space="0" w:num="1"/>
          <w:titlePg/>
          <w:docGrid w:type="lines" w:linePitch="312" w:charSpace="0"/>
        </w:sectPr>
      </w:pPr>
      <w:r>
        <w:rPr>
          <w:rFonts w:hint="eastAsia" w:ascii="楷体_GB2312" w:hAnsi="楷体_GB2312" w:eastAsia="楷体_GB2312" w:cs="楷体_GB2312"/>
          <w:color w:val="000000"/>
          <w:kern w:val="0"/>
          <w:sz w:val="44"/>
          <w:szCs w:val="44"/>
        </w:rPr>
        <w:t>二〇二〇年九</w:t>
      </w:r>
    </w:p>
    <w:p>
      <w:pPr>
        <w:rPr>
          <w:rFonts w:ascii="黑体" w:hAnsi="Times New Roman" w:eastAsia="黑体"/>
          <w:sz w:val="48"/>
          <w:szCs w:val="48"/>
        </w:rPr>
      </w:pPr>
    </w:p>
    <w:p>
      <w:pPr>
        <w:tabs>
          <w:tab w:val="left" w:pos="2728"/>
        </w:tabs>
        <w:jc w:val="center"/>
        <w:rPr>
          <w:rFonts w:ascii="黑体" w:hAnsi="Times New Roman" w:eastAsia="黑体"/>
          <w:sz w:val="48"/>
          <w:szCs w:val="48"/>
        </w:rPr>
      </w:pPr>
      <w:r>
        <w:rPr>
          <w:rFonts w:hint="eastAsia" w:ascii="黑体" w:hAnsi="Times New Roman" w:eastAsia="黑体"/>
          <w:sz w:val="48"/>
          <w:szCs w:val="48"/>
        </w:rPr>
        <w:t>目</w:t>
      </w:r>
      <w:r>
        <w:rPr>
          <w:rFonts w:ascii="黑体" w:hAnsi="Times New Roman" w:eastAsia="黑体"/>
          <w:sz w:val="48"/>
          <w:szCs w:val="48"/>
        </w:rPr>
        <w:t xml:space="preserve">    </w:t>
      </w:r>
      <w:r>
        <w:rPr>
          <w:rFonts w:hint="eastAsia" w:ascii="黑体" w:hAnsi="Times New Roman" w:eastAsia="黑体"/>
          <w:sz w:val="48"/>
          <w:szCs w:val="48"/>
        </w:rPr>
        <w:t>录</w:t>
      </w: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仿宋_GB2312"/>
          <w:sz w:val="24"/>
          <w:szCs w:val="32"/>
        </w:rPr>
      </w:pPr>
      <w:r>
        <w:rPr>
          <w:rFonts w:hint="eastAsia" w:ascii="Times New Roman" w:hAnsi="Times New Roman" w:eastAsia="黑体"/>
          <w:sz w:val="32"/>
          <w:szCs w:val="32"/>
        </w:rPr>
        <w:t>第一部分</w:t>
      </w:r>
      <w:r>
        <w:rPr>
          <w:rFonts w:ascii="Times New Roman" w:hAnsi="Times New Roman" w:eastAsia="黑体"/>
          <w:sz w:val="32"/>
          <w:szCs w:val="32"/>
        </w:rPr>
        <w:t xml:space="preserve">   </w:t>
      </w:r>
      <w:r>
        <w:rPr>
          <w:rFonts w:hint="eastAsia" w:ascii="Times New Roman" w:hAnsi="Times New Roman" w:eastAsia="黑体"/>
          <w:sz w:val="32"/>
          <w:szCs w:val="32"/>
        </w:rPr>
        <w:t>部门概况</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一、部门职责</w:t>
      </w:r>
    </w:p>
    <w:p>
      <w:pPr>
        <w:widowControl/>
        <w:spacing w:after="160" w:line="580" w:lineRule="exact"/>
        <w:ind w:firstLine="1273" w:firstLineChars="398"/>
        <w:rPr>
          <w:rFonts w:ascii="Times New Roman" w:hAnsi="Times New Roman" w:eastAsia="仿宋_GB2312"/>
          <w:sz w:val="32"/>
          <w:szCs w:val="32"/>
        </w:rPr>
      </w:pPr>
      <w:r>
        <w:rPr>
          <w:rFonts w:hint="eastAsia" w:ascii="Times New Roman" w:hAnsi="Times New Roman" w:eastAsia="仿宋_GB2312"/>
          <w:sz w:val="32"/>
          <w:szCs w:val="32"/>
        </w:rPr>
        <w:t>二、机构设置</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第二部分</w:t>
      </w:r>
      <w:r>
        <w:rPr>
          <w:rFonts w:ascii="Times New Roman" w:hAnsi="Times New Roman" w:eastAsia="黑体"/>
          <w:sz w:val="32"/>
          <w:szCs w:val="32"/>
        </w:rPr>
        <w:t xml:space="preserve">   2019</w:t>
      </w:r>
      <w:r>
        <w:rPr>
          <w:rFonts w:hint="eastAsia" w:ascii="Times New Roman" w:hAnsi="Times New Roman" w:eastAsia="黑体"/>
          <w:sz w:val="32"/>
          <w:szCs w:val="32"/>
        </w:rPr>
        <w:t>年部门决算情况说明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一、收入支出决算总体情况说明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二、收入决算情况说明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三、支出决算情况说明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四、财政拨款收入支出决算总体情况说明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五、一般公共预算</w:t>
      </w:r>
      <w:r>
        <w:rPr>
          <w:rFonts w:ascii="Times New Roman" w:hAnsi="Times New Roman" w:eastAsia="仿宋_GB2312"/>
          <w:sz w:val="32"/>
          <w:szCs w:val="32"/>
        </w:rPr>
        <w:t>“</w:t>
      </w:r>
      <w:r>
        <w:rPr>
          <w:rFonts w:hint="eastAsia" w:ascii="Times New Roman" w:hAnsi="Times New Roman" w:eastAsia="仿宋_GB2312"/>
          <w:sz w:val="32"/>
          <w:szCs w:val="32"/>
        </w:rPr>
        <w:t>三公</w:t>
      </w:r>
      <w:r>
        <w:rPr>
          <w:rFonts w:ascii="Times New Roman" w:hAnsi="Times New Roman" w:eastAsia="仿宋_GB2312"/>
          <w:sz w:val="32"/>
          <w:szCs w:val="32"/>
        </w:rPr>
        <w:t>”</w:t>
      </w:r>
      <w:r>
        <w:rPr>
          <w:rFonts w:hint="eastAsia" w:ascii="Times New Roman" w:hAnsi="Times New Roman" w:eastAsia="仿宋_GB2312"/>
          <w:sz w:val="32"/>
          <w:szCs w:val="32"/>
        </w:rPr>
        <w:t>经费支出决算情况说明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六、预算绩效情况说明</w:t>
      </w:r>
    </w:p>
    <w:p>
      <w:pPr>
        <w:widowControl/>
        <w:spacing w:after="160" w:line="580" w:lineRule="exact"/>
        <w:ind w:left="640" w:firstLine="640" w:firstLineChars="200"/>
        <w:rPr>
          <w:rFonts w:ascii="Times New Roman" w:hAnsi="Times New Roman" w:eastAsia="仿宋_GB2312"/>
          <w:sz w:val="32"/>
          <w:szCs w:val="32"/>
        </w:rPr>
      </w:pPr>
      <w:r>
        <w:rPr>
          <w:rFonts w:hint="eastAsia" w:ascii="Times New Roman" w:hAnsi="Times New Roman" w:eastAsia="仿宋_GB2312"/>
          <w:sz w:val="32"/>
          <w:szCs w:val="32"/>
        </w:rPr>
        <w:t>七、其他重要事项的说明</w:t>
      </w:r>
    </w:p>
    <w:p>
      <w:pPr>
        <w:widowControl/>
        <w:spacing w:after="160" w:line="580" w:lineRule="exact"/>
        <w:ind w:firstLine="640" w:firstLineChars="200"/>
        <w:rPr>
          <w:rFonts w:ascii="Times New Roman" w:hAnsi="Times New Roman" w:eastAsia="黑体"/>
          <w:sz w:val="32"/>
          <w:szCs w:val="32"/>
        </w:rPr>
      </w:pPr>
      <w:r>
        <w:rPr>
          <w:rFonts w:hint="eastAsia" w:ascii="Times New Roman" w:hAnsi="Times New Roman" w:eastAsia="黑体"/>
          <w:sz w:val="32"/>
          <w:szCs w:val="32"/>
        </w:rPr>
        <w:t>第三部分</w:t>
      </w:r>
      <w:r>
        <w:rPr>
          <w:rFonts w:ascii="Times New Roman" w:hAnsi="Times New Roman" w:eastAsia="黑体"/>
          <w:sz w:val="32"/>
          <w:szCs w:val="32"/>
        </w:rPr>
        <w:t xml:space="preserve">  </w:t>
      </w:r>
      <w:r>
        <w:rPr>
          <w:rFonts w:hint="eastAsia" w:ascii="Times New Roman" w:hAnsi="Times New Roman" w:eastAsia="黑体"/>
          <w:sz w:val="32"/>
          <w:szCs w:val="32"/>
        </w:rPr>
        <w:t>名词解释</w:t>
      </w:r>
    </w:p>
    <w:p>
      <w:pPr>
        <w:widowControl/>
        <w:spacing w:after="160" w:line="580" w:lineRule="exact"/>
        <w:ind w:firstLine="640" w:firstLineChars="200"/>
        <w:rPr>
          <w:rFonts w:ascii="Times New Roman" w:hAnsi="Times New Roman" w:eastAsia="仿宋_GB2312"/>
          <w:sz w:val="20"/>
          <w:szCs w:val="32"/>
        </w:rPr>
      </w:pPr>
      <w:r>
        <w:rPr>
          <w:rFonts w:hint="eastAsia" w:ascii="Times New Roman" w:hAnsi="Times New Roman" w:eastAsia="黑体"/>
          <w:sz w:val="32"/>
          <w:szCs w:val="32"/>
        </w:rPr>
        <w:t>第四部分</w:t>
      </w:r>
      <w:r>
        <w:rPr>
          <w:rFonts w:ascii="Times New Roman" w:hAnsi="Times New Roman" w:eastAsia="黑体"/>
          <w:sz w:val="32"/>
          <w:szCs w:val="32"/>
        </w:rPr>
        <w:t xml:space="preserve">  2019</w:t>
      </w:r>
      <w:r>
        <w:rPr>
          <w:rFonts w:hint="eastAsia" w:ascii="Times New Roman" w:hAnsi="Times New Roman" w:eastAsia="黑体"/>
          <w:sz w:val="32"/>
          <w:szCs w:val="32"/>
        </w:rPr>
        <w:t>年度部门决算报表</w:t>
      </w:r>
    </w:p>
    <w:p>
      <w:pPr>
        <w:widowControl/>
        <w:spacing w:after="160" w:line="580" w:lineRule="exact"/>
        <w:ind w:firstLine="640" w:firstLineChars="200"/>
        <w:rPr>
          <w:rFonts w:ascii="Times New Roman" w:hAnsi="Times New Roman" w:eastAsia="黑体"/>
          <w:sz w:val="32"/>
          <w:szCs w:val="32"/>
        </w:rPr>
        <w:sectPr>
          <w:headerReference r:id="rId8" w:type="first"/>
          <w:footerReference r:id="rId10" w:type="first"/>
          <w:headerReference r:id="rId7" w:type="default"/>
          <w:footerReference r:id="rId9" w:type="default"/>
          <w:type w:val="continuous"/>
          <w:pgSz w:w="11906" w:h="16838"/>
          <w:pgMar w:top="2041" w:right="1531" w:bottom="2041" w:left="1531" w:header="851" w:footer="992" w:gutter="0"/>
          <w:cols w:space="0" w:num="1"/>
          <w:titlePg/>
          <w:docGrid w:type="lines" w:linePitch="312" w:charSpace="0"/>
        </w:sectPr>
      </w:pPr>
    </w:p>
    <w:p>
      <w:pPr>
        <w:widowControl/>
        <w:spacing w:line="580" w:lineRule="exact"/>
        <w:rPr>
          <w:rFonts w:eastAsia="黑体"/>
          <w:sz w:val="32"/>
          <w:szCs w:val="32"/>
        </w:rPr>
      </w:pPr>
    </w:p>
    <w:p>
      <w:pPr>
        <w:numPr>
          <w:ilvl w:val="0"/>
          <w:numId w:val="1"/>
        </w:numPr>
        <w:spacing w:line="580" w:lineRule="exact"/>
        <w:rPr>
          <w:rFonts w:ascii="仿宋_GB2312" w:hAnsi="Calibri" w:eastAsia="仿宋_GB2312" w:cs="ArialUnicodeMS"/>
          <w:kern w:val="0"/>
          <w:sz w:val="32"/>
          <w:szCs w:val="32"/>
        </w:rPr>
      </w:pPr>
      <w:r>
        <w:pict>
          <v:shape id="_x0000_s1053" o:spid="_x0000_s1053" o:spt="202" type="#_x0000_t202" style="position:absolute;left:0pt;margin-left:-85.7pt;margin-top:80.7pt;height:263.1pt;width:613.65pt;z-index:251667456;v-text-anchor:middle;mso-width-relative:page;mso-height-relative:page;" fillcolor="#FFD966" filled="t" stroked="t" coordsize="21600,21600">
            <v:path/>
            <v:fill type="pattern" on="t" focussize="0,0"/>
            <v:stroke weight="1pt" color="#FFD966" joinstyle="round"/>
            <v:imagedata o:title=""/>
            <o:lock v:ext="edit"/>
            <v:textbox>
              <w:txbxContent>
                <w:p>
                  <w:pPr>
                    <w:widowControl/>
                    <w:jc w:val="center"/>
                    <w:rPr>
                      <w:rFonts w:ascii="黑体" w:hAnsi="黑体" w:eastAsia="黑体" w:cs="黑体"/>
                      <w:color w:val="000000"/>
                      <w:sz w:val="96"/>
                      <w:szCs w:val="96"/>
                    </w:rPr>
                  </w:pPr>
                  <w:r>
                    <w:rPr>
                      <w:rFonts w:hint="eastAsia" w:ascii="黑体" w:hAnsi="黑体" w:eastAsia="黑体" w:cs="黑体"/>
                      <w:color w:val="000000"/>
                      <w:sz w:val="96"/>
                      <w:szCs w:val="96"/>
                    </w:rPr>
                    <w:t>第一部分</w:t>
                  </w:r>
                  <w:r>
                    <w:rPr>
                      <w:rFonts w:ascii="黑体" w:hAnsi="黑体" w:eastAsia="黑体" w:cs="黑体"/>
                      <w:color w:val="000000"/>
                      <w:sz w:val="96"/>
                      <w:szCs w:val="96"/>
                    </w:rPr>
                    <w:t xml:space="preserve">  </w:t>
                  </w:r>
                  <w:r>
                    <w:rPr>
                      <w:rFonts w:hint="eastAsia" w:ascii="黑体" w:hAnsi="黑体" w:eastAsia="黑体" w:cs="黑体"/>
                      <w:color w:val="000000"/>
                      <w:sz w:val="96"/>
                      <w:szCs w:val="96"/>
                    </w:rPr>
                    <w:t>部门概况</w:t>
                  </w:r>
                </w:p>
              </w:txbxContent>
            </v:textbox>
          </v:shape>
        </w:pict>
      </w:r>
      <w:r>
        <w:br w:type="page"/>
      </w:r>
      <w:r>
        <w:rPr>
          <w:rFonts w:hint="eastAsia" w:ascii="黑体" w:hAnsi="Calibri" w:eastAsia="黑体" w:cs="黑体"/>
          <w:kern w:val="0"/>
          <w:sz w:val="32"/>
          <w:szCs w:val="32"/>
        </w:rPr>
        <w:t>部门职责</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(一)负责应急管理工作，指导各级各部门应对安全生产类、自然灾害类等突发事件和综合防灾减灾救灾工作。负责安全生产综合监督管理和工矿商贸行业安全生产监督管理工作。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(二)拟订应急管理、安全生产等相关规定，组织编制县应急体系建设、安全生产和综合防灾减灾规划，组织制定相关规程和标准并监督实施。</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三)指导应急预案体系建设，建立完善事故灾难和自然灾害分级应对制度，组织编制县总体应急预案和安全生产类、自然灾害类专项预案，综合协调应急预案衔接工作，组织开展预案演练，推动应急避难设施建设。</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(四)牵头建立统一的全县应急管理信息系统， 负责信息传输渠道的规划和布局，建立监测预警和灾情报告制度，健全自然灾害信息资源获取和共享机制，依法统一发布灾情。</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(五)组织指导协调安全生产类，自然灾害类等突发事件应急救援，承担县应对重大灾害指挥部工作，综合研判突发事件发展态势并提出应对建议，协助县委、县政府指定的负责同志组织重大灾害应急处置工作。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(六)统-协调指挥各类应急专业队伍，建立应急协调联动机制，推进指挥平台对接，衔接解放军和武警部队参与应急救援工作。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(七)统筹应急救援力量建设，负责消防、森林和草原火灾扑救、抗洪抢险、地震和地质灾害救授、生产安全事故救援等专业应急救援力量建设，管理县综合应急救援队伍，指导各级及社会应急救援力量建设。</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（八）组织协调消防工作，指导各级消防监督、火灾预防、火灾扑救等工作。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（九）指导协调森林和草原火灾、水旱灾害、地震和地质灾害防治工作，负责自然灾害综合监测预警工作，指导开展自然灾害综合风险评估工作。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（十）组织协调灾害救助工作，组织指导灾情核查、损失评估、救灾捐赠工作，管理、分配县救灾款物并监督使用。</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（十一）依法行使县安全生产综合监督管理职权，指导协调、监督检查县有关部门和各乡（镇）政府安全生产工作，组织开展安全生产巡查、考核工作。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(十二) 按照分级、属地原则，依法监督检查工矿商贸生产经营单位贯彻执行安全生产法律法规情况，及其安全生产条件和有关设备(特种设备除外)、材料、劳动防护用品的安全生产管理工作。依法组织并指导监督实施安全生产准入制度。负责危险化学品安全监督管理综合工作和烟花爆竹安全生产监督管理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（十三）依法组织指导安全生产事故调查处理，监督事故查处和责任追究落实情况。组织开展自然灾害类突发事件的调查评估工作。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(十四)制定应急物资储备和应急救援装备规划并组织实施，会同县粮食和物资储备等部门建立健全应急物资信息平台和调拨制度，在救灾时统一调度。</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(十五)负责应急管理、安全生产宣传教育和培训工作，组织指导应急管理、安全生产的科学技术研究、推广应用和信息化建设工作。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(十六)起草煤矿安全监管标准并组织实施，负责煤矿企业安全生产的准入管理、煤炭采矿权设置安全审查以及全县煤矿安全生产属地管理责任。</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（十七）负责组织指导协调和监督全县安全生产行政执法检查工作，组织开展对安全生产重点企业的执法检查。</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（十八）负责地震监测、震灾防御和震灾救援指挥工作。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（十九）组织开展应急管理方面的交流与合作。</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（二十）完成县委、县政府交办的其他任务。</w:t>
      </w:r>
    </w:p>
    <w:p>
      <w:pPr>
        <w:pStyle w:val="2"/>
        <w:spacing w:before="0" w:after="0" w:line="580" w:lineRule="exact"/>
        <w:ind w:firstLine="640" w:firstLineChars="200"/>
        <w:jc w:val="left"/>
        <w:rPr>
          <w:rFonts w:ascii="黑体" w:eastAsia="黑体" w:cs="黑体"/>
          <w:b w:val="0"/>
          <w:bCs w:val="0"/>
          <w:kern w:val="0"/>
          <w:sz w:val="32"/>
          <w:szCs w:val="32"/>
        </w:rPr>
      </w:pPr>
    </w:p>
    <w:p>
      <w:pPr>
        <w:keepNext/>
        <w:keepLines/>
        <w:spacing w:line="580" w:lineRule="exact"/>
        <w:ind w:firstLine="640" w:firstLineChars="200"/>
        <w:jc w:val="left"/>
        <w:outlineLvl w:val="0"/>
        <w:rPr>
          <w:rFonts w:ascii="黑体" w:hAnsi="Calibri" w:eastAsia="黑体" w:cs="黑体"/>
          <w:kern w:val="0"/>
          <w:sz w:val="32"/>
          <w:szCs w:val="32"/>
        </w:rPr>
      </w:pPr>
      <w:r>
        <w:rPr>
          <w:rFonts w:hint="eastAsia" w:ascii="黑体" w:hAnsi="Calibri" w:eastAsia="黑体" w:cs="黑体"/>
          <w:kern w:val="0"/>
          <w:sz w:val="32"/>
          <w:szCs w:val="32"/>
        </w:rPr>
        <w:t>二、机构设置</w:t>
      </w:r>
    </w:p>
    <w:p>
      <w:pPr>
        <w:spacing w:line="580" w:lineRule="exact"/>
        <w:ind w:firstLine="640" w:firstLineChars="200"/>
        <w:rPr>
          <w:rFonts w:ascii="仿宋_GB2312" w:hAnsi="Calibri" w:eastAsia="仿宋_GB2312" w:cs="ArialUnicodeMS"/>
          <w:kern w:val="0"/>
          <w:sz w:val="32"/>
          <w:szCs w:val="32"/>
        </w:rPr>
      </w:pPr>
      <w:r>
        <w:rPr>
          <w:rFonts w:hint="eastAsia" w:ascii="仿宋_GB2312" w:hAnsi="Calibri" w:eastAsia="仿宋_GB2312" w:cs="ArialUnicodeMS"/>
          <w:kern w:val="0"/>
          <w:sz w:val="32"/>
          <w:szCs w:val="32"/>
        </w:rPr>
        <w:t>从决算编报单位构成看，纳入</w:t>
      </w:r>
      <w:r>
        <w:rPr>
          <w:rFonts w:ascii="仿宋_GB2312" w:hAnsi="Calibri" w:eastAsia="仿宋_GB2312" w:cs="ArialUnicodeMS"/>
          <w:kern w:val="0"/>
          <w:sz w:val="32"/>
          <w:szCs w:val="32"/>
        </w:rPr>
        <w:t xml:space="preserve">2019 </w:t>
      </w:r>
      <w:r>
        <w:rPr>
          <w:rFonts w:hint="eastAsia" w:ascii="仿宋_GB2312" w:hAnsi="Calibri" w:eastAsia="仿宋_GB2312" w:cs="ArialUnicodeMS"/>
          <w:kern w:val="0"/>
          <w:sz w:val="32"/>
          <w:szCs w:val="32"/>
        </w:rPr>
        <w:t>年度本部门决算汇编范围的独立核算单位（以下简称“单位”）共2</w:t>
      </w:r>
      <w:r>
        <w:rPr>
          <w:rFonts w:ascii="仿宋_GB2312" w:hAnsi="Calibri" w:eastAsia="仿宋_GB2312" w:cs="ArialUnicodeMS"/>
          <w:kern w:val="0"/>
          <w:sz w:val="32"/>
          <w:szCs w:val="32"/>
        </w:rPr>
        <w:t xml:space="preserve"> </w:t>
      </w:r>
      <w:r>
        <w:rPr>
          <w:rFonts w:hint="eastAsia" w:ascii="仿宋_GB2312" w:hAnsi="Calibri" w:eastAsia="仿宋_GB2312" w:cs="ArialUnicodeMS"/>
          <w:kern w:val="0"/>
          <w:sz w:val="32"/>
          <w:szCs w:val="32"/>
        </w:rPr>
        <w:t>个，具体情况如下：</w:t>
      </w:r>
    </w:p>
    <w:p>
      <w:pPr>
        <w:spacing w:line="580" w:lineRule="exact"/>
        <w:ind w:firstLine="640" w:firstLineChars="200"/>
        <w:rPr>
          <w:rFonts w:ascii="仿宋_GB2312" w:hAnsi="Calibri" w:eastAsia="仿宋_GB2312" w:cs="ArialUnicodeMS"/>
          <w:kern w:val="0"/>
          <w:sz w:val="32"/>
          <w:szCs w:val="32"/>
        </w:rPr>
      </w:pPr>
    </w:p>
    <w:tbl>
      <w:tblPr>
        <w:tblStyle w:val="6"/>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1</w:t>
            </w:r>
          </w:p>
        </w:tc>
        <w:tc>
          <w:tcPr>
            <w:tcW w:w="3485" w:type="dxa"/>
          </w:tcPr>
          <w:p>
            <w:pPr>
              <w:spacing w:line="560" w:lineRule="exact"/>
              <w:rPr>
                <w:rFonts w:ascii="仿宋_GB2312" w:hAnsi="Calibri" w:eastAsia="仿宋_GB2312" w:cs="ArialUnicodeMS"/>
                <w:kern w:val="0"/>
                <w:sz w:val="28"/>
                <w:szCs w:val="28"/>
              </w:rPr>
            </w:pPr>
            <w:r>
              <w:rPr>
                <w:rFonts w:hint="eastAsia" w:ascii="仿宋" w:hAnsi="仿宋" w:eastAsia="仿宋" w:cs="仿宋"/>
                <w:color w:val="000000"/>
                <w:sz w:val="32"/>
                <w:szCs w:val="32"/>
              </w:rPr>
              <w:t>阜平县应急管理局</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 w:hAnsi="仿宋" w:eastAsia="仿宋" w:cs="仿宋"/>
                <w:color w:val="000000"/>
                <w:sz w:val="32"/>
                <w:szCs w:val="32"/>
              </w:rPr>
              <w:t>行政</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 w:hAnsi="仿宋" w:eastAsia="仿宋" w:cs="仿宋"/>
                <w:color w:val="000000"/>
                <w:sz w:val="32"/>
                <w:szCs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r>
              <w:rPr>
                <w:rFonts w:ascii="仿宋_GB2312" w:hAnsi="Calibri" w:eastAsia="仿宋_GB2312" w:cs="ArialUnicodeMS"/>
                <w:kern w:val="0"/>
                <w:sz w:val="28"/>
                <w:szCs w:val="28"/>
              </w:rPr>
              <w:t>2</w:t>
            </w:r>
          </w:p>
        </w:tc>
        <w:tc>
          <w:tcPr>
            <w:tcW w:w="3485" w:type="dxa"/>
          </w:tcPr>
          <w:p>
            <w:pPr>
              <w:spacing w:line="560" w:lineRule="exact"/>
              <w:rPr>
                <w:rFonts w:ascii="仿宋_GB2312" w:hAnsi="Calibri" w:eastAsia="仿宋_GB2312" w:cs="ArialUnicodeMS"/>
                <w:kern w:val="0"/>
                <w:sz w:val="28"/>
                <w:szCs w:val="28"/>
              </w:rPr>
            </w:pPr>
            <w:r>
              <w:rPr>
                <w:rFonts w:hint="eastAsia" w:ascii="仿宋" w:hAnsi="仿宋" w:eastAsia="仿宋" w:cs="仿宋"/>
                <w:color w:val="000000"/>
                <w:sz w:val="32"/>
                <w:szCs w:val="32"/>
              </w:rPr>
              <w:t>阜平县安全生产监察大队</w:t>
            </w:r>
          </w:p>
        </w:tc>
        <w:tc>
          <w:tcPr>
            <w:tcW w:w="2445" w:type="dxa"/>
          </w:tcPr>
          <w:p>
            <w:pPr>
              <w:spacing w:line="560" w:lineRule="exact"/>
              <w:jc w:val="center"/>
              <w:rPr>
                <w:rFonts w:ascii="仿宋_GB2312" w:hAnsi="Calibri" w:eastAsia="仿宋_GB2312" w:cs="ArialUnicodeMS"/>
                <w:kern w:val="0"/>
                <w:sz w:val="28"/>
                <w:szCs w:val="28"/>
              </w:rPr>
            </w:pPr>
            <w:r>
              <w:rPr>
                <w:rFonts w:hint="eastAsia" w:ascii="仿宋" w:hAnsi="仿宋" w:eastAsia="仿宋" w:cs="仿宋"/>
                <w:color w:val="000000"/>
                <w:sz w:val="32"/>
                <w:szCs w:val="32"/>
              </w:rPr>
              <w:t>事业</w:t>
            </w:r>
          </w:p>
        </w:tc>
        <w:tc>
          <w:tcPr>
            <w:tcW w:w="2665" w:type="dxa"/>
          </w:tcPr>
          <w:p>
            <w:pPr>
              <w:spacing w:line="560" w:lineRule="exact"/>
              <w:jc w:val="center"/>
              <w:rPr>
                <w:rFonts w:ascii="仿宋_GB2312" w:hAnsi="Calibri" w:eastAsia="仿宋_GB2312" w:cs="ArialUnicodeMS"/>
                <w:kern w:val="0"/>
                <w:sz w:val="28"/>
                <w:szCs w:val="28"/>
              </w:rPr>
            </w:pPr>
            <w:r>
              <w:rPr>
                <w:rFonts w:hint="eastAsia" w:ascii="仿宋" w:hAnsi="仿宋" w:eastAsia="仿宋" w:cs="仿宋"/>
                <w:color w:val="000000"/>
                <w:sz w:val="32"/>
                <w:szCs w:val="32"/>
              </w:rPr>
              <w:t>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pPr>
              <w:spacing w:line="560" w:lineRule="exact"/>
              <w:jc w:val="center"/>
              <w:rPr>
                <w:rFonts w:ascii="仿宋_GB2312" w:hAnsi="Calibri" w:eastAsia="仿宋_GB2312" w:cs="ArialUnicodeMS"/>
                <w:kern w:val="0"/>
                <w:sz w:val="28"/>
                <w:szCs w:val="28"/>
              </w:rPr>
            </w:pPr>
          </w:p>
        </w:tc>
        <w:tc>
          <w:tcPr>
            <w:tcW w:w="3485" w:type="dxa"/>
          </w:tcPr>
          <w:p>
            <w:pPr>
              <w:spacing w:line="560" w:lineRule="exact"/>
              <w:rPr>
                <w:rFonts w:ascii="仿宋_GB2312" w:hAnsi="Calibri" w:eastAsia="仿宋_GB2312" w:cs="ArialUnicodeMS"/>
                <w:kern w:val="0"/>
                <w:sz w:val="28"/>
                <w:szCs w:val="28"/>
              </w:rPr>
            </w:pPr>
          </w:p>
        </w:tc>
        <w:tc>
          <w:tcPr>
            <w:tcW w:w="2445" w:type="dxa"/>
          </w:tcPr>
          <w:p>
            <w:pPr>
              <w:spacing w:line="560" w:lineRule="exact"/>
              <w:jc w:val="center"/>
              <w:rPr>
                <w:rFonts w:ascii="仿宋_GB2312" w:hAnsi="Calibri" w:eastAsia="仿宋_GB2312" w:cs="ArialUnicodeMS"/>
                <w:kern w:val="0"/>
                <w:sz w:val="28"/>
                <w:szCs w:val="28"/>
              </w:rPr>
            </w:pPr>
          </w:p>
        </w:tc>
        <w:tc>
          <w:tcPr>
            <w:tcW w:w="2665" w:type="dxa"/>
          </w:tcPr>
          <w:p>
            <w:pPr>
              <w:spacing w:line="560" w:lineRule="exact"/>
              <w:jc w:val="center"/>
              <w:rPr>
                <w:rFonts w:ascii="仿宋_GB2312" w:hAnsi="Calibri" w:eastAsia="仿宋_GB2312" w:cs="ArialUnicodeM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85" w:type="dxa"/>
          </w:tcPr>
          <w:p>
            <w:pPr>
              <w:spacing w:line="560" w:lineRule="exact"/>
              <w:jc w:val="center"/>
              <w:rPr>
                <w:rFonts w:ascii="仿宋_GB2312" w:hAnsi="Calibri" w:eastAsia="仿宋_GB2312" w:cs="ArialUnicodeMS"/>
                <w:kern w:val="0"/>
                <w:sz w:val="28"/>
                <w:szCs w:val="28"/>
              </w:rPr>
            </w:pPr>
          </w:p>
        </w:tc>
        <w:tc>
          <w:tcPr>
            <w:tcW w:w="3485" w:type="dxa"/>
          </w:tcPr>
          <w:p>
            <w:pPr>
              <w:spacing w:line="560" w:lineRule="exact"/>
              <w:rPr>
                <w:rFonts w:ascii="仿宋_GB2312" w:hAnsi="Calibri" w:eastAsia="仿宋_GB2312" w:cs="ArialUnicodeMS"/>
                <w:kern w:val="0"/>
                <w:sz w:val="28"/>
                <w:szCs w:val="28"/>
              </w:rPr>
            </w:pPr>
          </w:p>
        </w:tc>
        <w:tc>
          <w:tcPr>
            <w:tcW w:w="2445" w:type="dxa"/>
          </w:tcPr>
          <w:p>
            <w:pPr>
              <w:spacing w:line="560" w:lineRule="exact"/>
              <w:jc w:val="center"/>
              <w:rPr>
                <w:rFonts w:ascii="仿宋_GB2312" w:hAnsi="Calibri" w:eastAsia="仿宋_GB2312" w:cs="ArialUnicodeMS"/>
                <w:kern w:val="0"/>
                <w:sz w:val="28"/>
                <w:szCs w:val="28"/>
              </w:rPr>
            </w:pPr>
          </w:p>
        </w:tc>
        <w:tc>
          <w:tcPr>
            <w:tcW w:w="2665" w:type="dxa"/>
          </w:tcPr>
          <w:p>
            <w:pPr>
              <w:spacing w:line="560" w:lineRule="exact"/>
              <w:jc w:val="center"/>
              <w:rPr>
                <w:rFonts w:ascii="仿宋_GB2312" w:hAnsi="Calibri" w:eastAsia="仿宋_GB2312" w:cs="ArialUnicodeMS"/>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9580" w:type="dxa"/>
            <w:gridSpan w:val="4"/>
            <w:tcBorders>
              <w:left w:val="nil"/>
              <w:bottom w:val="nil"/>
              <w:right w:val="nil"/>
            </w:tcBorders>
          </w:tcPr>
          <w:p>
            <w:pPr>
              <w:spacing w:line="560" w:lineRule="exact"/>
              <w:ind w:firstLine="560" w:firstLineChars="200"/>
              <w:jc w:val="left"/>
              <w:rPr>
                <w:rFonts w:ascii="仿宋_GB2312" w:hAnsi="Calibri" w:eastAsia="仿宋_GB2312" w:cs="ArialUnicodeMS"/>
                <w:kern w:val="0"/>
                <w:sz w:val="28"/>
                <w:szCs w:val="28"/>
              </w:rPr>
            </w:pPr>
          </w:p>
        </w:tc>
      </w:tr>
    </w:tbl>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pPr>
    </w:p>
    <w:p>
      <w:pPr>
        <w:widowControl/>
        <w:spacing w:after="160" w:line="580" w:lineRule="exact"/>
        <w:ind w:firstLine="640" w:firstLineChars="200"/>
        <w:rPr>
          <w:rFonts w:ascii="Times New Roman" w:hAnsi="Times New Roman" w:eastAsia="黑体"/>
          <w:sz w:val="32"/>
          <w:szCs w:val="32"/>
        </w:rPr>
        <w:sectPr>
          <w:pgSz w:w="11906" w:h="16838"/>
          <w:pgMar w:top="2041" w:right="1531" w:bottom="2041" w:left="1531" w:header="851" w:footer="992" w:gutter="0"/>
          <w:pgNumType w:fmt="numberInDash" w:start="1"/>
          <w:cols w:space="0" w:num="1"/>
          <w:titlePg/>
          <w:docGrid w:type="lines" w:linePitch="312" w:charSpace="0"/>
        </w:sectPr>
      </w:pPr>
    </w:p>
    <w:p>
      <w:pPr>
        <w:widowControl/>
        <w:spacing w:after="160" w:line="580" w:lineRule="exact"/>
        <w:ind w:firstLine="640" w:firstLineChars="200"/>
        <w:rPr>
          <w:rFonts w:ascii="Times New Roman" w:hAnsi="Times New Roman" w:eastAsia="黑体"/>
          <w:sz w:val="32"/>
          <w:szCs w:val="32"/>
        </w:rPr>
        <w:sectPr>
          <w:type w:val="continuous"/>
          <w:pgSz w:w="11906" w:h="16838"/>
          <w:pgMar w:top="2041" w:right="1531" w:bottom="2041" w:left="1531" w:header="851" w:footer="992" w:gutter="0"/>
          <w:pgNumType w:fmt="numberInDash"/>
          <w:cols w:space="0" w:num="1"/>
          <w:titlePg/>
          <w:docGrid w:type="lines" w:linePitch="312" w:charSpace="0"/>
        </w:sectPr>
      </w:pPr>
    </w:p>
    <w:p>
      <w:pPr>
        <w:widowControl/>
        <w:spacing w:after="160" w:line="580" w:lineRule="exact"/>
        <w:ind w:firstLine="420" w:firstLineChars="200"/>
        <w:rPr>
          <w:rFonts w:ascii="Times New Roman" w:hAnsi="Times New Roman" w:eastAsia="黑体"/>
          <w:sz w:val="32"/>
          <w:szCs w:val="32"/>
        </w:rPr>
        <w:sectPr>
          <w:pgSz w:w="11906" w:h="16838"/>
          <w:pgMar w:top="2041" w:right="1531" w:bottom="2041" w:left="1531" w:header="851" w:footer="992" w:gutter="0"/>
          <w:pgNumType w:fmt="numberInDash"/>
          <w:cols w:space="0" w:num="1"/>
          <w:titlePg/>
          <w:docGrid w:type="lines" w:linePitch="312" w:charSpace="0"/>
        </w:sectPr>
      </w:pPr>
      <w:r>
        <w:pict>
          <v:shape id="_x0000_s1061" o:spid="_x0000_s1061" o:spt="202" type="#_x0000_t202" style="position:absolute;left:0pt;margin-left:-85.7pt;margin-top:238.15pt;height:173.25pt;width:613.65pt;z-index:251668480;mso-width-relative:page;mso-height-relative:page;" filled="f" stroked="f" coordsize="21600,21600">
            <v:path/>
            <v:fill on="f" focussize="0,0"/>
            <v:stroke on="f" weight="0.5pt" joinstyle="miter"/>
            <v:imagedata o:title=""/>
            <o:lock v:ext="edit"/>
            <v:textbox>
              <w:txbxContent>
                <w:p>
                  <w:pPr>
                    <w:widowControl/>
                    <w:jc w:val="center"/>
                    <w:rPr>
                      <w:rFonts w:ascii="黑体" w:hAnsi="黑体" w:eastAsia="黑体" w:cs="黑体"/>
                      <w:color w:val="000000"/>
                      <w:sz w:val="96"/>
                      <w:szCs w:val="96"/>
                    </w:rPr>
                  </w:pPr>
                  <w:r>
                    <w:rPr>
                      <w:rFonts w:ascii="黑体" w:hAnsi="黑体" w:eastAsia="黑体" w:cs="黑体"/>
                      <w:color w:val="000000"/>
                      <w:sz w:val="96"/>
                      <w:szCs w:val="96"/>
                    </w:rPr>
                    <w:t xml:space="preserve"> </w:t>
                  </w:r>
                </w:p>
                <w:p>
                  <w:pPr>
                    <w:widowControl/>
                    <w:jc w:val="center"/>
                    <w:rPr>
                      <w:rFonts w:ascii="黑体" w:hAnsi="黑体" w:eastAsia="黑体" w:cs="黑体"/>
                      <w:color w:val="000000"/>
                      <w:sz w:val="96"/>
                      <w:szCs w:val="96"/>
                    </w:rPr>
                  </w:pPr>
                </w:p>
              </w:txbxContent>
            </v:textbox>
          </v:shape>
        </w:pict>
      </w:r>
    </w:p>
    <w:p>
      <w:pPr>
        <w:widowControl/>
        <w:spacing w:line="580" w:lineRule="exact"/>
        <w:ind w:firstLine="640" w:firstLineChars="200"/>
        <w:rPr>
          <w:rFonts w:eastAsia="黑体"/>
          <w:sz w:val="32"/>
          <w:szCs w:val="3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r>
        <w:pict>
          <v:shape id="_x0000_s1062" o:spid="_x0000_s1062" o:spt="202" type="#_x0000_t202" style="position:absolute;left:0pt;margin-left:-90.8pt;margin-top:4.35pt;height:263.1pt;width:613.65pt;z-index:251672576;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第二部分</w:t>
                  </w:r>
                  <w:r>
                    <w:rPr>
                      <w:rFonts w:ascii="黑体" w:hAnsi="黑体" w:eastAsia="黑体" w:cs="黑体"/>
                      <w:color w:val="000000"/>
                      <w:sz w:val="90"/>
                      <w:szCs w:val="90"/>
                    </w:rPr>
                    <w:t xml:space="preserve"> </w:t>
                  </w:r>
                </w:p>
                <w:p>
                  <w:pPr>
                    <w:widowControl/>
                    <w:jc w:val="center"/>
                    <w:rPr>
                      <w:rFonts w:ascii="黑体" w:hAnsi="黑体" w:eastAsia="黑体" w:cs="黑体"/>
                      <w:color w:val="000000"/>
                      <w:sz w:val="90"/>
                      <w:szCs w:val="90"/>
                    </w:rPr>
                  </w:pPr>
                  <w:r>
                    <w:rPr>
                      <w:rFonts w:ascii="黑体" w:hAnsi="黑体" w:eastAsia="黑体" w:cs="黑体"/>
                      <w:color w:val="000000"/>
                      <w:sz w:val="90"/>
                      <w:szCs w:val="90"/>
                    </w:rPr>
                    <w:t>2019</w:t>
                  </w:r>
                  <w:r>
                    <w:rPr>
                      <w:rFonts w:hint="eastAsia" w:ascii="黑体" w:hAnsi="黑体" w:eastAsia="黑体" w:cs="黑体"/>
                      <w:color w:val="000000"/>
                      <w:sz w:val="90"/>
                      <w:szCs w:val="90"/>
                    </w:rPr>
                    <w:t>年部门决算情况说明</w:t>
                  </w:r>
                </w:p>
                <w:p/>
              </w:txbxContent>
            </v:textbox>
          </v:shape>
        </w:pict>
      </w: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一、收入</w:t>
      </w:r>
      <w:r>
        <w:rPr>
          <w:rFonts w:hint="eastAsia" w:ascii="黑体" w:hAnsi="Cambria" w:eastAsia="黑体" w:cs="黑体"/>
          <w:kern w:val="0"/>
          <w:sz w:val="32"/>
          <w:szCs w:val="32"/>
        </w:rPr>
        <w:t>支出</w:t>
      </w:r>
      <w:r>
        <w:rPr>
          <w:rFonts w:hint="eastAsia" w:ascii="黑体" w:hAnsi="Calibri" w:eastAsia="黑体"/>
          <w:sz w:val="32"/>
          <w:szCs w:val="32"/>
        </w:rPr>
        <w:t>决算总体情况说明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年度收入总计（含结转和结余）</w:t>
      </w:r>
      <w:r>
        <w:rPr>
          <w:rFonts w:hint="eastAsia" w:ascii="仿宋" w:hAnsi="仿宋" w:eastAsia="仿宋"/>
          <w:sz w:val="28"/>
          <w:szCs w:val="28"/>
        </w:rPr>
        <w:t>620.43</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年度决算相比，收入增加41.73万元，增长7.20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，主要原因是2019年度机构改革我局增加了应急管理、防灾减灾等方面的项目支出。支出（含结转和结余）总计</w:t>
      </w:r>
      <w:r>
        <w:rPr>
          <w:rFonts w:hint="eastAsia" w:ascii="仿宋" w:hAnsi="仿宋" w:eastAsia="仿宋"/>
          <w:sz w:val="28"/>
          <w:szCs w:val="28"/>
        </w:rPr>
        <w:t>620.43</w:t>
      </w:r>
      <w:r>
        <w:rPr>
          <w:rFonts w:hint="eastAsia" w:ascii="仿宋_GB2312" w:hAnsi="Times New Roman" w:eastAsia="仿宋_GB2312" w:cs="DengXian-Regular"/>
          <w:sz w:val="32"/>
          <w:szCs w:val="32"/>
        </w:rPr>
        <w:t>万元。与</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年度决算相比，支出增加41.73万元，增长7.20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，主要原因是2019年度机构改革我局增加了应急管理、防灾减灾等方面的项目支出。</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二、收入决算情况说明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年度本年收入合计</w:t>
      </w:r>
      <w:r>
        <w:rPr>
          <w:rFonts w:hint="eastAsia" w:ascii="仿宋" w:hAnsi="仿宋" w:eastAsia="仿宋"/>
          <w:sz w:val="28"/>
          <w:szCs w:val="28"/>
        </w:rPr>
        <w:t>620.43</w:t>
      </w:r>
      <w:r>
        <w:rPr>
          <w:rFonts w:hint="eastAsia" w:ascii="仿宋_GB2312" w:hAnsi="Times New Roman" w:eastAsia="仿宋_GB2312" w:cs="DengXian-Regular"/>
          <w:sz w:val="32"/>
          <w:szCs w:val="32"/>
        </w:rPr>
        <w:t>万元，其中：财政拨款收入</w:t>
      </w:r>
      <w:r>
        <w:rPr>
          <w:rFonts w:hint="eastAsia" w:ascii="仿宋" w:hAnsi="仿宋" w:eastAsia="仿宋"/>
          <w:sz w:val="28"/>
          <w:szCs w:val="28"/>
        </w:rPr>
        <w:t>620.43</w:t>
      </w:r>
      <w:r>
        <w:rPr>
          <w:rFonts w:hint="eastAsia" w:ascii="仿宋_GB2312" w:hAnsi="Times New Roman" w:eastAsia="仿宋_GB2312" w:cs="DengXian-Regular"/>
          <w:sz w:val="32"/>
          <w:szCs w:val="32"/>
        </w:rPr>
        <w:t>万元，占100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w:t>
      </w:r>
      <w:r>
        <w:pict>
          <v:group id="_x0000_s1063" o:spid="_x0000_s1063" o:spt="203" style="position:absolute;left:0pt;margin-left:71.65pt;margin-top:19.55pt;height:217.5pt;width:308.75pt;z-index:251670528;mso-width-relative:page;mso-height-relative:page;" coordorigin="68,1802" coordsize="51,34642">
            <o:lock v:ext="edit"/>
            <v:shape id="图片 1" o:spid="_x0000_s1064" o:spt="75" type="#_x0000_t75" style="position:absolute;left:68;top:1802;height:30;width:51;" filled="f" o:preferrelative="t" stroked="f" coordsize="21600,21600">
              <v:path/>
              <v:fill on="f" focussize="0,0"/>
              <v:stroke on="f" joinstyle="miter"/>
              <v:imagedata r:id="rId14" cropleft="2131f" croptop="1490f" cropright="1218f" cropbottom="5217f" o:title=""/>
              <o:lock v:ext="edit" aspectratio="t"/>
            </v:shape>
            <v:shape id="文本框 32" o:spid="_x0000_s1065" o:spt="202" type="#_x0000_t202" style="position:absolute;left:75;top:1831;height:6;width:37;"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：收入构成情况</w:t>
                    </w:r>
                  </w:p>
                  <w:p>
                    <w:pPr>
                      <w:spacing w:after="160" w:line="480" w:lineRule="auto"/>
                      <w:rPr>
                        <w:rFonts w:ascii="Times New Roman" w:hAnsi="Times New Roman" w:eastAsia="宋体"/>
                        <w:sz w:val="20"/>
                      </w:rPr>
                    </w:pPr>
                  </w:p>
                </w:txbxContent>
              </v:textbox>
            </v:shape>
          </v:group>
        </w:pict>
      </w:r>
      <w:r>
        <w:rPr>
          <w:rFonts w:hint="eastAsia" w:ascii="仿宋_GB2312" w:hAnsi="Times New Roman" w:eastAsia="仿宋_GB2312" w:cs="DengXian-Regular"/>
          <w:sz w:val="32"/>
          <w:szCs w:val="32"/>
        </w:rPr>
        <w:t>事业收入0万元，占比0%；经营收入0万元，占比0%;其他收入0万元，占比0%。</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三、支出决算情况说明</w:t>
      </w:r>
    </w:p>
    <w:p>
      <w:pPr>
        <w:adjustRightInd w:val="0"/>
        <w:snapToGrid w:val="0"/>
        <w:spacing w:line="580" w:lineRule="exact"/>
        <w:ind w:firstLine="640" w:firstLineChars="200"/>
        <w:rPr>
          <w:rFonts w:ascii="黑体" w:hAnsi="Calibri" w:eastAsia="黑体"/>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年度本年支出合计</w:t>
      </w:r>
      <w:r>
        <w:rPr>
          <w:rFonts w:hint="eastAsia" w:ascii="仿宋" w:hAnsi="仿宋" w:eastAsia="仿宋"/>
          <w:sz w:val="28"/>
          <w:szCs w:val="28"/>
        </w:rPr>
        <w:t>620.43</w:t>
      </w:r>
      <w:r>
        <w:rPr>
          <w:rFonts w:hint="eastAsia" w:ascii="仿宋_GB2312" w:hAnsi="Times New Roman" w:eastAsia="仿宋_GB2312" w:cs="DengXian-Regular"/>
          <w:sz w:val="32"/>
          <w:szCs w:val="32"/>
        </w:rPr>
        <w:t>万元，其中：基本支出</w:t>
      </w:r>
      <w:r>
        <w:rPr>
          <w:rFonts w:hint="eastAsia" w:ascii="仿宋" w:hAnsi="仿宋" w:eastAsia="仿宋"/>
          <w:sz w:val="28"/>
          <w:szCs w:val="28"/>
        </w:rPr>
        <w:t>511.01</w:t>
      </w:r>
      <w:r>
        <w:rPr>
          <w:rFonts w:hint="eastAsia" w:ascii="仿宋_GB2312" w:hAnsi="Times New Roman" w:eastAsia="仿宋_GB2312" w:cs="DengXian-Regular"/>
          <w:sz w:val="32"/>
          <w:szCs w:val="32"/>
        </w:rPr>
        <w:t>万元，占</w:t>
      </w:r>
      <w:r>
        <w:rPr>
          <w:rFonts w:hint="eastAsia" w:ascii="仿宋" w:hAnsi="仿宋" w:eastAsia="仿宋"/>
          <w:sz w:val="28"/>
          <w:szCs w:val="28"/>
        </w:rPr>
        <w:t>82.36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；项目支出</w:t>
      </w:r>
      <w:r>
        <w:rPr>
          <w:rFonts w:hint="eastAsia" w:ascii="仿宋" w:hAnsi="仿宋" w:eastAsia="仿宋"/>
          <w:sz w:val="28"/>
          <w:szCs w:val="28"/>
        </w:rPr>
        <w:t>109.41</w:t>
      </w:r>
      <w:r>
        <w:rPr>
          <w:rFonts w:hint="eastAsia" w:ascii="仿宋_GB2312" w:hAnsi="Times New Roman" w:eastAsia="仿宋_GB2312" w:cs="DengXian-Regular"/>
          <w:sz w:val="32"/>
          <w:szCs w:val="32"/>
        </w:rPr>
        <w:t>万元，占</w:t>
      </w:r>
      <w:r>
        <w:rPr>
          <w:rFonts w:hint="eastAsia" w:ascii="仿宋" w:hAnsi="仿宋" w:eastAsia="仿宋"/>
          <w:sz w:val="28"/>
          <w:szCs w:val="28"/>
        </w:rPr>
        <w:t>17.64</w:t>
      </w:r>
      <w:r>
        <w:rPr>
          <w:rFonts w:ascii="仿宋_GB2312" w:hAnsi="Times New Roman" w:eastAsia="仿宋_GB2312" w:cs="DengXian-Regular"/>
          <w:sz w:val="32"/>
          <w:szCs w:val="32"/>
        </w:rPr>
        <w:t>%</w:t>
      </w:r>
      <w:r>
        <w:pict>
          <v:group id="_x0000_s1066" o:spid="_x0000_s1066" o:spt="203" style="position:absolute;left:0pt;margin-left:58.35pt;margin-top:-21.2pt;height:192.85pt;width:287.95pt;z-index:-251646976;mso-width-relative:page;mso-height-relative:page;" coordorigin="70,1907" coordsize="46,33452">
            <o:lock v:ext="edit"/>
            <v:shape id="图片 3" o:spid="_x0000_s1067" o:spt="75" type="#_x0000_t75" style="position:absolute;left:70;top:1907;height:27;width:46;" filled="f" o:preferrelative="t" stroked="f" coordsize="21600,21600">
              <v:path/>
              <v:fill on="f" focussize="0,0"/>
              <v:stroke on="f" joinstyle="miter"/>
              <v:imagedata r:id="rId14" cropleft="2131f" croptop="1490f" cropright="1218f" cropbottom="5217f" o:title=""/>
              <o:lock v:ext="edit" aspectratio="t"/>
            </v:shape>
            <v:shape id="_x0000_s1068" o:spid="_x0000_s1068" o:spt="202" type="#_x0000_t202" style="position:absolute;left:72;top:1934;height:6;width:42;"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：支出构成情况（按支出性质）</w:t>
                    </w:r>
                  </w:p>
                  <w:p>
                    <w:pPr>
                      <w:spacing w:after="160" w:line="480" w:lineRule="auto"/>
                      <w:rPr>
                        <w:rFonts w:ascii="Times New Roman" w:hAnsi="Times New Roman" w:eastAsia="宋体"/>
                        <w:sz w:val="20"/>
                      </w:rPr>
                    </w:pPr>
                  </w:p>
                </w:txbxContent>
              </v:textbox>
            </v:shape>
          </v:group>
        </w:pict>
      </w:r>
      <w:r>
        <w:rPr>
          <w:rFonts w:hint="eastAsia" w:ascii="仿宋_GB2312" w:hAnsi="Times New Roman" w:eastAsia="仿宋_GB2312" w:cs="DengXian-Regular"/>
          <w:sz w:val="32"/>
          <w:szCs w:val="32"/>
        </w:rPr>
        <w:t>；经营支出0万元，占比0%。</w:t>
      </w:r>
    </w:p>
    <w:p>
      <w:pPr>
        <w:keepNext/>
        <w:keepLines/>
        <w:snapToGrid w:val="0"/>
        <w:spacing w:line="580" w:lineRule="exact"/>
        <w:ind w:firstLine="640" w:firstLineChars="200"/>
        <w:outlineLvl w:val="1"/>
        <w:rPr>
          <w:rFonts w:ascii="黑体" w:hAnsi="Calibri" w:eastAsia="黑体"/>
          <w:sz w:val="32"/>
          <w:szCs w:val="32"/>
        </w:rPr>
      </w:pPr>
      <w:r>
        <w:rPr>
          <w:rFonts w:hint="eastAsia" w:ascii="黑体" w:hAnsi="Calibri" w:eastAsia="黑体"/>
          <w:sz w:val="32"/>
          <w:szCs w:val="32"/>
        </w:rPr>
        <w:t>四、</w:t>
      </w:r>
      <w:r>
        <w:rPr>
          <w:rFonts w:hint="eastAsia" w:ascii="黑体" w:hAnsi="Cambria" w:eastAsia="黑体" w:cs="黑体"/>
          <w:kern w:val="0"/>
          <w:sz w:val="32"/>
          <w:szCs w:val="32"/>
        </w:rPr>
        <w:t>财政</w:t>
      </w:r>
      <w:r>
        <w:rPr>
          <w:rFonts w:hint="eastAsia" w:ascii="黑体" w:hAnsi="Calibri" w:eastAsia="黑体"/>
          <w:sz w:val="32"/>
          <w:szCs w:val="32"/>
        </w:rPr>
        <w:t>拨款收入支出决算总体情况说明</w:t>
      </w:r>
    </w:p>
    <w:p>
      <w:pPr>
        <w:snapToGrid w:val="0"/>
        <w:spacing w:line="580" w:lineRule="exact"/>
        <w:ind w:firstLine="643" w:firstLineChars="20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（一）财政拨款收支与</w:t>
      </w:r>
      <w:r>
        <w:rPr>
          <w:rFonts w:ascii="楷体_GB2312" w:hAnsi="Times New Roman" w:eastAsia="楷体_GB2312" w:cs="DengXian-Bold"/>
          <w:b/>
          <w:bCs/>
          <w:sz w:val="32"/>
          <w:szCs w:val="32"/>
        </w:rPr>
        <w:t xml:space="preserve">2018 </w:t>
      </w:r>
      <w:r>
        <w:rPr>
          <w:rFonts w:hint="eastAsia" w:ascii="楷体_GB2312" w:hAnsi="Times New Roman" w:eastAsia="楷体_GB2312" w:cs="DengXian-Bold"/>
          <w:b/>
          <w:bCs/>
          <w:sz w:val="32"/>
          <w:szCs w:val="32"/>
        </w:rPr>
        <w:t>年度决算对比情况</w:t>
      </w:r>
    </w:p>
    <w:p>
      <w:pPr>
        <w:adjustRightInd w:val="0"/>
        <w:snapToGrid w:val="0"/>
        <w:spacing w:line="580" w:lineRule="exact"/>
        <w:ind w:firstLine="640" w:firstLineChars="200"/>
        <w:rPr>
          <w:rFonts w:ascii="楷体_GB2312" w:hAnsi="Times New Roman" w:eastAsia="楷体_GB2312" w:cs="DengXian-Bold"/>
          <w:b/>
          <w:bCs/>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年度形成的财政拨款收支均为一般公共预算财政拨款，其中本年收入</w:t>
      </w:r>
      <w:r>
        <w:rPr>
          <w:rFonts w:hint="eastAsia" w:ascii="仿宋" w:hAnsi="仿宋" w:eastAsia="仿宋"/>
          <w:sz w:val="28"/>
          <w:szCs w:val="28"/>
        </w:rPr>
        <w:t>620.43</w:t>
      </w:r>
      <w:r>
        <w:rPr>
          <w:rFonts w:hint="eastAsia" w:ascii="仿宋_GB2312" w:hAnsi="Times New Roman" w:eastAsia="仿宋_GB2312" w:cs="DengXian-Regular"/>
          <w:sz w:val="32"/>
          <w:szCs w:val="32"/>
        </w:rPr>
        <w:t>万元</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 w:hAnsi="仿宋" w:eastAsia="仿宋"/>
          <w:sz w:val="28"/>
          <w:szCs w:val="28"/>
        </w:rPr>
        <w:t>578.70万元</w:t>
      </w:r>
      <w:r>
        <w:rPr>
          <w:rFonts w:hint="eastAsia" w:ascii="仿宋_GB2312" w:hAnsi="Times New Roman" w:eastAsia="仿宋_GB2312" w:cs="DengXian-Regular"/>
          <w:sz w:val="32"/>
          <w:szCs w:val="32"/>
        </w:rPr>
        <w:t>增加41.73万元，增长7.20%，主要原因是2019年度机构改革我局增加了应急管理、防灾减灾等方面的项目支出；本年支出620.43万元，增加41.73万元，增长7.20%，主要原因是2019年度机构改革我局增加了应急管理、防灾减灾等方面的项目支出。</w:t>
      </w:r>
    </w:p>
    <w:p>
      <w:pPr>
        <w:snapToGrid w:val="0"/>
        <w:spacing w:line="580" w:lineRule="exact"/>
        <w:ind w:firstLine="643" w:firstLineChars="200"/>
        <w:rPr>
          <w:rFonts w:ascii="仿宋_GB2312" w:hAnsi="Times New Roman" w:eastAsia="仿宋_GB2312" w:cs="DengXian-Bold"/>
          <w:b/>
          <w:bCs/>
          <w:sz w:val="32"/>
          <w:szCs w:val="32"/>
        </w:rPr>
      </w:pPr>
      <w:r>
        <w:rPr>
          <w:rFonts w:hint="eastAsia" w:ascii="楷体_GB2312" w:hAnsi="Times New Roman" w:eastAsia="楷体_GB2312" w:cs="DengXian-Bold"/>
          <w:b/>
          <w:bCs/>
          <w:sz w:val="32"/>
          <w:szCs w:val="32"/>
        </w:rPr>
        <w:t>（二）财政拨款收支与年初预算数对比情况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年度一般公共预算财政拨款收入</w:t>
      </w:r>
      <w:r>
        <w:rPr>
          <w:rFonts w:hint="eastAsia" w:ascii="仿宋" w:hAnsi="仿宋" w:eastAsia="仿宋"/>
          <w:sz w:val="28"/>
          <w:szCs w:val="28"/>
        </w:rPr>
        <w:t>620.43</w:t>
      </w:r>
      <w:r>
        <w:rPr>
          <w:rFonts w:hint="eastAsia" w:ascii="仿宋_GB2312" w:hAnsi="Times New Roman" w:eastAsia="仿宋_GB2312" w:cs="DengXian-Regular"/>
          <w:sz w:val="32"/>
          <w:szCs w:val="32"/>
        </w:rPr>
        <w:t>万元，完成年初预算的96.40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w:t>
      </w:r>
      <w:r>
        <w:rPr>
          <w:rFonts w:hint="eastAsia" w:ascii="仿宋" w:hAnsi="仿宋" w:eastAsia="仿宋"/>
          <w:sz w:val="28"/>
          <w:szCs w:val="28"/>
        </w:rPr>
        <w:t>643.82万元</w:t>
      </w:r>
      <w:r>
        <w:rPr>
          <w:rFonts w:hint="eastAsia" w:ascii="仿宋_GB2312" w:hAnsi="Times New Roman" w:eastAsia="仿宋_GB2312" w:cs="DengXian-Regular"/>
          <w:sz w:val="32"/>
          <w:szCs w:val="32"/>
        </w:rPr>
        <w:t>减少</w:t>
      </w:r>
      <w:r>
        <w:rPr>
          <w:rFonts w:hint="eastAsia" w:ascii="仿宋" w:hAnsi="仿宋" w:eastAsia="仿宋"/>
          <w:sz w:val="28"/>
          <w:szCs w:val="28"/>
        </w:rPr>
        <w:t>23.39</w:t>
      </w:r>
      <w:r>
        <w:rPr>
          <w:rFonts w:hint="eastAsia" w:ascii="仿宋_GB2312" w:hAnsi="Times New Roman" w:eastAsia="仿宋_GB2312" w:cs="DengXian-Regular"/>
          <w:sz w:val="32"/>
          <w:szCs w:val="32"/>
        </w:rPr>
        <w:t>万元，决算数小于预算数主要原因是减少了单位日常公用经费及人员经费支出；本年支出620.43万元，完成年初预算的96.4</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比年初预算减少23.39万元，决算数小于预算数主要原因是严格费用开支减少了单位日常公用经费及人员经费支出。财政拨款收入决算总计无结余资金。</w:t>
      </w:r>
    </w:p>
    <w:p>
      <w:pPr>
        <w:numPr>
          <w:ilvl w:val="0"/>
          <w:numId w:val="2"/>
        </w:numPr>
        <w:adjustRightInd w:val="0"/>
        <w:snapToGrid w:val="0"/>
        <w:spacing w:line="580" w:lineRule="exact"/>
        <w:ind w:left="210"/>
        <w:rPr>
          <w:rFonts w:ascii="楷体_GB2312" w:hAnsi="Times New Roman" w:eastAsia="楷体_GB2312" w:cs="DengXian-Bold"/>
          <w:b/>
          <w:bCs/>
          <w:sz w:val="32"/>
          <w:szCs w:val="32"/>
        </w:rPr>
      </w:pPr>
      <w:r>
        <w:rPr>
          <w:rFonts w:hint="eastAsia" w:ascii="楷体_GB2312" w:hAnsi="Times New Roman" w:eastAsia="楷体_GB2312" w:cs="DengXian-Bold"/>
          <w:b/>
          <w:bCs/>
          <w:sz w:val="32"/>
          <w:szCs w:val="32"/>
        </w:rPr>
        <w:t>财政拨款支出决算结构情况。</w:t>
      </w:r>
    </w:p>
    <w:p>
      <w:pPr>
        <w:numPr>
          <w:ilvl w:val="0"/>
          <w:numId w:val="3"/>
        </w:numPr>
        <w:spacing w:line="600" w:lineRule="exact"/>
        <w:ind w:firstLine="640" w:firstLineChars="200"/>
        <w:rPr>
          <w:rFonts w:ascii="仿宋" w:hAnsi="仿宋" w:eastAsia="仿宋" w:cs="仿宋"/>
          <w:b/>
          <w:bCs/>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年度财政拨款支出</w:t>
      </w:r>
      <w:r>
        <w:rPr>
          <w:rFonts w:hint="eastAsia" w:ascii="仿宋" w:hAnsi="仿宋" w:eastAsia="仿宋"/>
          <w:sz w:val="28"/>
          <w:szCs w:val="28"/>
        </w:rPr>
        <w:t>620.43</w:t>
      </w:r>
      <w:r>
        <w:rPr>
          <w:rFonts w:hint="eastAsia" w:ascii="仿宋_GB2312" w:hAnsi="Times New Roman" w:eastAsia="仿宋_GB2312" w:cs="DengXian-Regular"/>
          <w:sz w:val="32"/>
          <w:szCs w:val="32"/>
        </w:rPr>
        <w:t>万元，主要用于以下方面一般公共服务（类）支出0万元，占0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，；公共安全类（类）支出0万元，占0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；教育（类）支出0万元，占0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；科学技术（类）支出0万元，占0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；社会保障和就业（类）支出36.97万元，占5.96</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；住房保障（类）支出19.22万元，占</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3.10</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卫生和健康支出10.60万元，占1.71%；灾害防治和应急管理支出553.63万元，占89.23%。</w:t>
      </w:r>
      <w:r>
        <w:rPr>
          <w:rFonts w:ascii="仿宋" w:hAnsi="仿宋" w:eastAsia="仿宋" w:cs="仿宋"/>
          <w:sz w:val="32"/>
          <w:szCs w:val="32"/>
        </w:rPr>
        <w:pict>
          <v:group id="_x0000_s1069" o:spid="_x0000_s1069" o:spt="203" style="position:absolute;left:0pt;margin-left:77.25pt;margin-top:16.6pt;height:173.95pt;width:281.6pt;z-index:-251644928;mso-width-relative:page;mso-height-relative:page;" coordorigin="69,1802" coordsize="50,34652">
            <o:lock v:ext="edit"/>
            <v:shape id="图片 1" o:spid="_x0000_s1070" o:spt="75" type="#_x0000_t75" style="position:absolute;left:71;top:1802;height:30;width:46;" filled="f" o:preferrelative="t" stroked="f" coordsize="21600,21600">
              <v:path/>
              <v:fill on="f" focussize="0,0"/>
              <v:stroke on="f" joinstyle="miter"/>
              <v:imagedata r:id="rId14" cropleft="2131f" croptop="1490f" cropright="1218f" cropbottom="5217f" o:title=""/>
              <o:lock v:ext="edit" aspectratio="t"/>
            </v:shape>
            <v:shape id="文本框 32" o:spid="_x0000_s1071" o:spt="202" type="#_x0000_t202" style="position:absolute;left:69;top:1831;height:6;width:50;" stroked="f" coordsize="21600,21600">
              <v:path/>
              <v:fill focussize="0,0"/>
              <v:stroke on="f" weight="0.5pt" joinstyle="miter"/>
              <v:imagedata o:title=""/>
              <o:lock v:ext="edit"/>
              <v:textbox>
                <w:txbxContent>
                  <w:p>
                    <w:pPr>
                      <w:adjustRightInd w:val="0"/>
                      <w:snapToGrid w:val="0"/>
                      <w:spacing w:after="160" w:line="560" w:lineRule="exact"/>
                      <w:jc w:val="center"/>
                      <w:rPr>
                        <w:rFonts w:ascii="仿宋_GB2312" w:hAnsi="Times New Roman" w:eastAsia="仿宋_GB2312" w:cs="DengXian-Regular"/>
                        <w:sz w:val="28"/>
                        <w:szCs w:val="28"/>
                      </w:rPr>
                    </w:pPr>
                    <w:r>
                      <w:rPr>
                        <w:rFonts w:hint="eastAsia" w:ascii="仿宋_GB2312" w:hAnsi="Times New Roman" w:eastAsia="仿宋_GB2312" w:cs="DengXian-Regular"/>
                        <w:sz w:val="28"/>
                        <w:szCs w:val="28"/>
                      </w:rPr>
                      <w:t>图</w:t>
                    </w:r>
                    <w:r>
                      <w:rPr>
                        <w:rFonts w:ascii="仿宋_GB2312" w:hAnsi="Times New Roman" w:eastAsia="仿宋_GB2312" w:cs="DengXian-Regular"/>
                        <w:sz w:val="28"/>
                        <w:szCs w:val="28"/>
                      </w:rPr>
                      <w:t>X</w:t>
                    </w:r>
                    <w:r>
                      <w:rPr>
                        <w:rFonts w:hint="eastAsia" w:ascii="仿宋_GB2312" w:hAnsi="Times New Roman" w:eastAsia="仿宋_GB2312" w:cs="DengXian-Regular"/>
                        <w:sz w:val="28"/>
                        <w:szCs w:val="28"/>
                      </w:rPr>
                      <w:t>：财政拨款支出决算结构（按功能分类）</w:t>
                    </w:r>
                  </w:p>
                  <w:p>
                    <w:pPr>
                      <w:spacing w:after="160" w:line="480" w:lineRule="auto"/>
                      <w:rPr>
                        <w:rFonts w:ascii="Times New Roman" w:hAnsi="Times New Roman" w:eastAsia="宋体"/>
                        <w:sz w:val="20"/>
                      </w:rPr>
                    </w:pPr>
                  </w:p>
                </w:txbxContent>
              </v:textbox>
            </v:shape>
          </v:group>
        </w:pict>
      </w:r>
    </w:p>
    <w:p>
      <w:pPr>
        <w:adjustRightInd w:val="0"/>
        <w:snapToGrid w:val="0"/>
        <w:spacing w:line="580" w:lineRule="exact"/>
        <w:ind w:left="420" w:leftChars="200"/>
        <w:rPr>
          <w:rFonts w:ascii="仿宋" w:hAnsi="仿宋" w:eastAsia="仿宋" w:cs="仿宋"/>
          <w:b/>
          <w:bCs/>
          <w:sz w:val="32"/>
          <w:szCs w:val="32"/>
        </w:rPr>
      </w:pPr>
      <w:r>
        <w:rPr>
          <w:rFonts w:hint="eastAsia" w:ascii="仿宋" w:hAnsi="仿宋" w:eastAsia="仿宋" w:cs="仿宋"/>
          <w:b/>
          <w:bCs/>
          <w:sz w:val="32"/>
          <w:szCs w:val="32"/>
        </w:rPr>
        <w:t>（四）一般公共预算基本支出决算情况说明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2019 </w:t>
      </w:r>
      <w:r>
        <w:rPr>
          <w:rFonts w:hint="eastAsia" w:ascii="仿宋_GB2312" w:hAnsi="Times New Roman" w:eastAsia="仿宋_GB2312" w:cs="DengXian-Regular"/>
          <w:sz w:val="32"/>
          <w:szCs w:val="32"/>
        </w:rPr>
        <w:t>年度财政拨款基本支出511.01万元，其中：人员经费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427.60万元，主要包括基本工资、津贴补贴、奖金、伙食补助费、绩效工资、机关事业单位基本养老保险缴费、职业年金缴费、职工基本医疗保险缴费、公务员医疗补助缴费、住房公积金、医疗费、其他社会保障缴费、其他工资福利支出、离休费、退休费、抚恤金、生活补助、医疗费补助、奖励金、其他对个人和家庭的补助支出；公用经费</w:t>
      </w:r>
      <w:r>
        <w:rPr>
          <w:rFonts w:ascii="仿宋_GB2312" w:hAnsi="Times New Roman" w:eastAsia="仿宋_GB2312" w:cs="DengXian-Regular"/>
          <w:sz w:val="32"/>
          <w:szCs w:val="32"/>
        </w:rPr>
        <w:t xml:space="preserve"> </w:t>
      </w:r>
      <w:r>
        <w:rPr>
          <w:rFonts w:hint="eastAsia" w:ascii="仿宋_GB2312" w:hAnsi="Times New Roman" w:eastAsia="仿宋_GB2312" w:cs="DengXian-Regular"/>
          <w:sz w:val="32"/>
          <w:szCs w:val="32"/>
        </w:rPr>
        <w:t>83.41万元，主要包括办公费、印刷费、咨询费、手续费、水费、电费、邮电费、取暖费、物业管理费、差旅费、因公出国（境）费用、维修（护）费、租赁费、会议费、培训费、公务接待费、专用材料费、劳务费、委托业务费、工会经费、福利费、公务用车运行维护费、其他交通费用、税金及附加费用、其他商品和服务支出、办公设备购置、专用设备购置、信息网络及软件购置更新、公务用车购置、其他资本性支出。</w:t>
      </w:r>
    </w:p>
    <w:p>
      <w:pPr>
        <w:keepNext/>
        <w:keepLines/>
        <w:snapToGrid w:val="0"/>
        <w:spacing w:line="580" w:lineRule="exact"/>
        <w:ind w:firstLine="571" w:firstLineChars="200"/>
        <w:outlineLvl w:val="1"/>
        <w:rPr>
          <w:rFonts w:ascii="仿宋" w:hAnsi="仿宋" w:eastAsia="仿宋" w:cs="仿宋"/>
          <w:b/>
          <w:sz w:val="32"/>
          <w:szCs w:val="32"/>
        </w:rPr>
      </w:pPr>
      <w:r>
        <w:rPr>
          <w:rFonts w:hint="eastAsia" w:ascii="仿宋" w:hAnsi="仿宋" w:eastAsia="仿宋" w:cs="仿宋"/>
          <w:b/>
          <w:spacing w:val="-18"/>
          <w:sz w:val="32"/>
          <w:szCs w:val="32"/>
        </w:rPr>
        <w:t xml:space="preserve"> </w:t>
      </w:r>
      <w:r>
        <w:rPr>
          <w:rFonts w:hint="eastAsia" w:ascii="仿宋" w:hAnsi="仿宋" w:eastAsia="仿宋" w:cs="仿宋"/>
          <w:b/>
          <w:sz w:val="32"/>
          <w:szCs w:val="32"/>
        </w:rPr>
        <w:t>五、一般公共预算“三公” 经费支出决算情况说明</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年度“三公”经费支出共计15.35万元，完成预算的60.91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较预算减少9.85万元，降低39.09</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，主要是我单位落实上级政策厉行节约，严控三公经费支出；较</w:t>
      </w:r>
      <w:r>
        <w:rPr>
          <w:rFonts w:ascii="仿宋_GB2312" w:hAnsi="Times New Roman" w:eastAsia="仿宋_GB2312" w:cs="DengXian-Regular"/>
          <w:sz w:val="32"/>
          <w:szCs w:val="32"/>
        </w:rPr>
        <w:t>2018</w:t>
      </w:r>
      <w:r>
        <w:rPr>
          <w:rFonts w:hint="eastAsia" w:ascii="仿宋_GB2312" w:hAnsi="Times New Roman" w:eastAsia="仿宋_GB2312" w:cs="DengXian-Regular"/>
          <w:sz w:val="32"/>
          <w:szCs w:val="32"/>
        </w:rPr>
        <w:t>年度</w:t>
      </w:r>
      <w:r>
        <w:rPr>
          <w:rFonts w:hint="eastAsia" w:ascii="仿宋_GB2312" w:hAnsi="Times New Roman" w:eastAsia="仿宋_GB2312" w:cs="DengXian-Regular"/>
          <w:sz w:val="32"/>
          <w:szCs w:val="32"/>
          <w:lang w:val="en-US" w:eastAsia="zh-CN"/>
        </w:rPr>
        <w:t>决算</w:t>
      </w:r>
      <w:r>
        <w:rPr>
          <w:rFonts w:hint="eastAsia" w:ascii="仿宋_GB2312" w:hAnsi="Times New Roman" w:eastAsia="仿宋_GB2312" w:cs="DengXian-Regular"/>
          <w:sz w:val="32"/>
          <w:szCs w:val="32"/>
        </w:rPr>
        <w:t>减少2.82万元，降低15.51</w:t>
      </w:r>
      <w:r>
        <w:rPr>
          <w:rFonts w:ascii="仿宋_GB2312" w:hAnsi="Times New Roman" w:eastAsia="仿宋_GB2312" w:cs="DengXian-Regular"/>
          <w:sz w:val="32"/>
          <w:szCs w:val="32"/>
        </w:rPr>
        <w:t>%</w:t>
      </w:r>
      <w:r>
        <w:rPr>
          <w:rFonts w:hint="eastAsia" w:ascii="仿宋_GB2312" w:hAnsi="Times New Roman" w:eastAsia="仿宋_GB2312" w:cs="DengXian-Regular"/>
          <w:sz w:val="32"/>
          <w:szCs w:val="32"/>
        </w:rPr>
        <w:t>，主要是我单位认真落实上级政策，压控三公经费支出，实现了只增不减的目标。具体情况如下：</w:t>
      </w:r>
    </w:p>
    <w:p>
      <w:pPr>
        <w:spacing w:line="60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（一）因公出国（境）费0万元</w:t>
      </w:r>
    </w:p>
    <w:p>
      <w:pPr>
        <w:adjustRightInd w:val="0"/>
        <w:snapToGrid w:val="0"/>
        <w:spacing w:line="580" w:lineRule="exact"/>
        <w:ind w:firstLine="640" w:firstLineChars="200"/>
        <w:rPr>
          <w:rFonts w:ascii="仿宋" w:hAnsi="仿宋" w:eastAsia="仿宋" w:cs="仿宋"/>
          <w:sz w:val="32"/>
          <w:szCs w:val="32"/>
        </w:rPr>
      </w:pPr>
      <w:r>
        <w:rPr>
          <w:rFonts w:hint="eastAsia" w:ascii="仿宋" w:hAnsi="仿宋" w:eastAsia="仿宋" w:cs="仿宋"/>
          <w:sz w:val="32"/>
          <w:szCs w:val="32"/>
        </w:rPr>
        <w:t>2019年度因公出国（境）费年初预算无安排，年末实际无支出，安排因公出国（境）0个组团，0人次。</w:t>
      </w:r>
      <w:r>
        <w:rPr>
          <w:rFonts w:hint="eastAsia" w:ascii="仿宋_GB2312" w:hAnsi="Times New Roman" w:eastAsia="仿宋_GB2312" w:cs="DengXian-Regular"/>
          <w:sz w:val="32"/>
          <w:szCs w:val="32"/>
        </w:rPr>
        <w:t>因公出国（境）费支出较预算相比增加0万元，增长0%</w:t>
      </w:r>
      <w:r>
        <w:rPr>
          <w:rFonts w:hint="eastAsia" w:ascii="仿宋_GB2312" w:hAnsi="Times New Roman" w:eastAsia="仿宋_GB2312" w:cs="DengXian-Regular"/>
          <w:sz w:val="32"/>
          <w:szCs w:val="32"/>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Times New Roman" w:eastAsia="仿宋_GB2312" w:cs="DengXian-Regular"/>
          <w:sz w:val="32"/>
          <w:szCs w:val="32"/>
        </w:rPr>
        <w:t>；较上年决算相比增加0万元，增长0%</w:t>
      </w:r>
      <w:r>
        <w:rPr>
          <w:rFonts w:hint="eastAsia" w:ascii="仿宋_GB2312" w:hAnsi="Times New Roman" w:eastAsia="仿宋_GB2312" w:cs="DengXian-Regular"/>
          <w:sz w:val="32"/>
          <w:szCs w:val="32"/>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_GB2312" w:hAnsi="Times New Roman" w:eastAsia="仿宋_GB2312" w:cs="DengXian-Regular"/>
          <w:sz w:val="32"/>
          <w:szCs w:val="32"/>
        </w:rPr>
        <w:t>。</w:t>
      </w:r>
    </w:p>
    <w:p>
      <w:pPr>
        <w:numPr>
          <w:ilvl w:val="0"/>
          <w:numId w:val="4"/>
        </w:numPr>
        <w:spacing w:line="60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公务用车购置及运行维护费支出14.59万元</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本部门2019年度公务用车购置及运行维护费较年初预算减少9.41万元，降低39.22%，主要是我单位落实上级政策，严控三公经费支出绝不超出预算。比2018年决算16.68万元减少了2.09万元，降低12.53%，主要是我单位落实上级政策，严控三公经费支出。</w:t>
      </w:r>
    </w:p>
    <w:p>
      <w:pPr>
        <w:spacing w:line="600" w:lineRule="exact"/>
        <w:ind w:firstLine="643" w:firstLineChars="200"/>
        <w:rPr>
          <w:rFonts w:ascii="仿宋" w:hAnsi="仿宋" w:eastAsia="仿宋" w:cs="仿宋"/>
          <w:sz w:val="32"/>
          <w:szCs w:val="32"/>
        </w:rPr>
      </w:pPr>
      <w:r>
        <w:rPr>
          <w:rFonts w:hint="eastAsia" w:ascii="仿宋" w:hAnsi="仿宋" w:eastAsia="仿宋" w:cs="仿宋"/>
          <w:b/>
          <w:sz w:val="32"/>
          <w:szCs w:val="32"/>
        </w:rPr>
        <w:t>公务用车购置0万元</w:t>
      </w:r>
      <w:r>
        <w:rPr>
          <w:rFonts w:hint="eastAsia" w:ascii="仿宋" w:hAnsi="仿宋" w:eastAsia="仿宋" w:cs="仿宋"/>
          <w:sz w:val="32"/>
          <w:szCs w:val="32"/>
        </w:rPr>
        <w:t>：2019年公务用车购置为0辆。公务用车购置0万元，与年初预算相比增加0万元，增长0%</w:t>
      </w:r>
      <w:r>
        <w:rPr>
          <w:rFonts w:hint="eastAsia" w:ascii="仿宋" w:hAnsi="仿宋" w:eastAsia="仿宋" w:cs="仿宋"/>
          <w:sz w:val="32"/>
          <w:szCs w:val="32"/>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 w:hAnsi="仿宋" w:eastAsia="仿宋" w:cs="仿宋"/>
          <w:sz w:val="32"/>
          <w:szCs w:val="32"/>
        </w:rPr>
        <w:t>；与2018年度决算无变化相比增加0万元，增长0%</w:t>
      </w:r>
      <w:r>
        <w:rPr>
          <w:rFonts w:hint="eastAsia" w:ascii="仿宋" w:hAnsi="仿宋" w:eastAsia="仿宋" w:cs="仿宋"/>
          <w:sz w:val="32"/>
          <w:szCs w:val="32"/>
          <w:lang w:eastAsia="zh-CN"/>
        </w:rPr>
        <w:t>，</w:t>
      </w:r>
      <w:r>
        <w:rPr>
          <w:rFonts w:hint="eastAsia" w:ascii="仿宋_GB2312" w:hAnsi="仿宋_GB2312" w:eastAsia="仿宋_GB2312" w:cs="仿宋_GB2312"/>
          <w:sz w:val="32"/>
          <w:szCs w:val="32"/>
          <w:highlight w:val="none"/>
          <w:lang w:val="en-US" w:eastAsia="zh-CN"/>
        </w:rPr>
        <w:t>主要是厉行节约，严格控制了费用支出</w:t>
      </w:r>
      <w:r>
        <w:rPr>
          <w:rFonts w:hint="eastAsia" w:ascii="仿宋" w:hAnsi="仿宋" w:eastAsia="仿宋" w:cs="仿宋"/>
          <w:sz w:val="32"/>
          <w:szCs w:val="32"/>
        </w:rPr>
        <w:t>。</w:t>
      </w:r>
    </w:p>
    <w:p>
      <w:pPr>
        <w:spacing w:line="600" w:lineRule="exact"/>
        <w:ind w:firstLine="643" w:firstLineChars="200"/>
        <w:rPr>
          <w:rFonts w:ascii="仿宋" w:hAnsi="仿宋" w:eastAsia="仿宋" w:cs="仿宋"/>
          <w:sz w:val="32"/>
          <w:szCs w:val="32"/>
        </w:rPr>
      </w:pPr>
      <w:r>
        <w:rPr>
          <w:rFonts w:hint="eastAsia" w:ascii="仿宋" w:hAnsi="仿宋" w:eastAsia="仿宋" w:cs="仿宋"/>
          <w:b/>
          <w:sz w:val="32"/>
          <w:szCs w:val="32"/>
        </w:rPr>
        <w:t>公务用车运行维护费14.59万元：</w:t>
      </w:r>
      <w:r>
        <w:rPr>
          <w:rFonts w:hint="eastAsia" w:ascii="仿宋" w:hAnsi="仿宋" w:eastAsia="仿宋" w:cs="仿宋"/>
          <w:sz w:val="32"/>
          <w:szCs w:val="32"/>
        </w:rPr>
        <w:t>本部门2019年度公务用车保有量6辆，公务用车运行维护费较年初预算减少9.41万元，降低39.22%，主要是我单位落实上级政策，严控三公经费支出；比2018年决算16.68万元减少2.09万元，降低12.53%，主要是我单位落实上级政策，严控三公经费支出。</w:t>
      </w:r>
    </w:p>
    <w:p>
      <w:pPr>
        <w:spacing w:line="60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（三）公务接待费0.76万元</w:t>
      </w:r>
    </w:p>
    <w:p>
      <w:pPr>
        <w:spacing w:line="600" w:lineRule="exact"/>
        <w:ind w:firstLine="640" w:firstLineChars="200"/>
        <w:rPr>
          <w:rFonts w:ascii="仿宋" w:hAnsi="仿宋" w:eastAsia="仿宋" w:cs="仿宋"/>
          <w:sz w:val="32"/>
          <w:szCs w:val="32"/>
          <w:highlight w:val="yellow"/>
        </w:rPr>
      </w:pPr>
      <w:r>
        <w:rPr>
          <w:rFonts w:hint="eastAsia" w:ascii="仿宋" w:hAnsi="仿宋" w:eastAsia="仿宋" w:cs="仿宋"/>
          <w:sz w:val="32"/>
          <w:szCs w:val="32"/>
        </w:rPr>
        <w:t>本部门2019年度公务接待共16批次、54人次，公务接待费较年初预算减少0.44万元，降低36.56%，原因是我单位落实上级政策，严控三公经费支出绝不超出预算。与2018年决算相比减少0.72万元，降低48.65%，我单位落实上级政策，严控三公经费支出，压缩相关公务接待费用。</w:t>
      </w:r>
    </w:p>
    <w:p>
      <w:pPr>
        <w:adjustRightInd w:val="0"/>
        <w:snapToGrid w:val="0"/>
        <w:spacing w:line="580" w:lineRule="exact"/>
        <w:ind w:firstLine="643" w:firstLineChars="200"/>
        <w:rPr>
          <w:rFonts w:ascii="仿宋" w:hAnsi="仿宋" w:eastAsia="仿宋" w:cs="仿宋"/>
          <w:b/>
          <w:bCs/>
          <w:sz w:val="32"/>
          <w:szCs w:val="32"/>
        </w:rPr>
      </w:pPr>
      <w:r>
        <w:rPr>
          <w:rFonts w:hint="eastAsia" w:ascii="仿宋" w:hAnsi="仿宋" w:eastAsia="仿宋" w:cs="仿宋"/>
          <w:b/>
          <w:bCs/>
          <w:sz w:val="32"/>
          <w:szCs w:val="32"/>
        </w:rPr>
        <w:t>六、预算绩效情况说明</w:t>
      </w:r>
    </w:p>
    <w:p>
      <w:pPr>
        <w:spacing w:line="600" w:lineRule="exact"/>
        <w:ind w:firstLine="643" w:firstLineChars="200"/>
        <w:rPr>
          <w:rFonts w:ascii="仿宋" w:hAnsi="仿宋" w:eastAsia="仿宋" w:cs="仿宋"/>
          <w:sz w:val="32"/>
          <w:szCs w:val="32"/>
        </w:rPr>
      </w:pPr>
      <w:r>
        <w:rPr>
          <w:rFonts w:hint="eastAsia" w:ascii="仿宋" w:hAnsi="仿宋" w:eastAsia="仿宋" w:cs="仿宋"/>
          <w:b/>
          <w:bCs/>
          <w:sz w:val="32"/>
          <w:szCs w:val="32"/>
        </w:rPr>
        <w:t>1.预算绩效管理工作开展情况</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年度一般公共预算项目支出全面开展绩效自评，其中，一级项目8个，二级项目0个，共涉及资金109.41万元，占一般公共预算项目支出总额的100%。组织对</w:t>
      </w:r>
      <w:r>
        <w:rPr>
          <w:rFonts w:ascii="仿宋_GB2312" w:hAnsi="仿宋_GB2312" w:eastAsia="仿宋_GB2312" w:cs="仿宋_GB2312"/>
          <w:sz w:val="32"/>
          <w:szCs w:val="32"/>
        </w:rPr>
        <w:t>2019</w:t>
      </w:r>
      <w:r>
        <w:rPr>
          <w:rFonts w:hint="eastAsia" w:ascii="仿宋_GB2312" w:hAnsi="仿宋_GB2312" w:eastAsia="仿宋_GB2312" w:cs="仿宋_GB2312"/>
          <w:sz w:val="32"/>
          <w:szCs w:val="32"/>
        </w:rPr>
        <w:t>年度0个政府性基金预算项目支出开展绩效自评，共涉及资金0万元。组织对“应急救援体能竞赛”、“安全生产宣传”等8个项目开展了部门评价，涉及一般公共预算支出109.41万元，政府性基金预算支出0万元。无项目委托第三方机构</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或部内评审机构</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开展绩效评价。从评价情况来看，按照预算绩效管理要求，阜平县应急管理局对 2019年初确定的部门一般公共预算支出专项项目全面开展了绩效自评。阜平县应急管理局部门决算专项项目8项，共涉及预算资金109.41万元，绩效自评覆盖率达到100%。</w:t>
      </w:r>
    </w:p>
    <w:p>
      <w:pPr>
        <w:adjustRightInd w:val="0"/>
        <w:snapToGrid w:val="0"/>
        <w:spacing w:line="580" w:lineRule="exact"/>
        <w:ind w:left="420" w:leftChars="200" w:firstLine="321" w:firstLineChars="100"/>
        <w:rPr>
          <w:rFonts w:ascii="仿宋_GB2312" w:hAnsi="仿宋_GB2312" w:eastAsia="仿宋_GB2312" w:cs="仿宋_GB2312"/>
          <w:b/>
          <w:bCs/>
          <w:sz w:val="32"/>
          <w:szCs w:val="32"/>
        </w:rPr>
      </w:pPr>
      <w:r>
        <w:rPr>
          <w:rFonts w:ascii="仿宋_GB2312" w:hAnsi="仿宋_GB2312" w:eastAsia="仿宋_GB2312" w:cs="仿宋_GB2312"/>
          <w:b/>
          <w:bCs/>
          <w:sz w:val="32"/>
          <w:szCs w:val="32"/>
        </w:rPr>
        <w:t xml:space="preserve">2. </w:t>
      </w:r>
      <w:r>
        <w:rPr>
          <w:rFonts w:hint="eastAsia" w:ascii="仿宋_GB2312" w:hAnsi="仿宋_GB2312" w:eastAsia="仿宋_GB2312" w:cs="仿宋_GB2312"/>
          <w:b/>
          <w:bCs/>
          <w:sz w:val="32"/>
          <w:szCs w:val="32"/>
        </w:rPr>
        <w:t>部门决算中项目绩效自评结果。</w:t>
      </w:r>
    </w:p>
    <w:p>
      <w:pPr>
        <w:adjustRightInd w:val="0"/>
        <w:snapToGrid w:val="0"/>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本部门在今年部门决算公开中反映</w:t>
      </w:r>
      <w:r>
        <w:rPr>
          <w:rFonts w:hint="eastAsia" w:ascii="仿宋" w:hAnsi="仿宋" w:eastAsia="仿宋" w:cs="仿宋"/>
          <w:sz w:val="32"/>
          <w:szCs w:val="32"/>
        </w:rPr>
        <w:t>“安全生产专项资金”</w:t>
      </w:r>
      <w:r>
        <w:rPr>
          <w:rFonts w:hint="eastAsia" w:ascii="仿宋_GB2312" w:hAnsi="仿宋_GB2312" w:eastAsia="仿宋_GB2312" w:cs="仿宋_GB2312"/>
          <w:sz w:val="32"/>
          <w:szCs w:val="32"/>
        </w:rPr>
        <w:t>1个项目绩效自评结果。</w:t>
      </w:r>
    </w:p>
    <w:p>
      <w:pPr>
        <w:adjustRightInd w:val="0"/>
        <w:snapToGrid w:val="0"/>
        <w:spacing w:line="580" w:lineRule="exact"/>
        <w:ind w:firstLine="320" w:firstLineChars="100"/>
        <w:rPr>
          <w:rFonts w:ascii="仿宋_GB2312" w:hAnsi="仿宋_GB2312" w:eastAsia="仿宋_GB2312" w:cs="仿宋_GB2312"/>
          <w:sz w:val="32"/>
          <w:szCs w:val="32"/>
        </w:rPr>
      </w:pPr>
      <w:r>
        <w:rPr>
          <w:rFonts w:hint="eastAsia" w:ascii="仿宋" w:hAnsi="仿宋" w:eastAsia="仿宋" w:cs="仿宋"/>
          <w:sz w:val="32"/>
          <w:szCs w:val="32"/>
        </w:rPr>
        <w:t>“安全生产宣传专项资金”</w:t>
      </w:r>
      <w:r>
        <w:rPr>
          <w:rFonts w:hint="eastAsia" w:ascii="仿宋_GB2312" w:hAnsi="仿宋_GB2312" w:eastAsia="仿宋_GB2312" w:cs="仿宋_GB2312"/>
          <w:sz w:val="32"/>
          <w:szCs w:val="32"/>
        </w:rPr>
        <w:t>项目自评综述：根据年初设定的绩效目标，</w:t>
      </w:r>
      <w:r>
        <w:rPr>
          <w:rFonts w:hint="eastAsia" w:ascii="仿宋" w:hAnsi="仿宋" w:eastAsia="仿宋" w:cs="仿宋"/>
          <w:sz w:val="32"/>
          <w:szCs w:val="32"/>
        </w:rPr>
        <w:t>“安全生产宣传专项资金”</w:t>
      </w:r>
      <w:r>
        <w:rPr>
          <w:rFonts w:hint="eastAsia" w:ascii="仿宋_GB2312" w:hAnsi="仿宋_GB2312" w:eastAsia="仿宋_GB2312" w:cs="仿宋_GB2312"/>
          <w:sz w:val="32"/>
          <w:szCs w:val="32"/>
        </w:rPr>
        <w:t>项目绩效自评等级为优。全年预算数为3.00万元，执行数为1.64万元，完成预算的54.67%。项目绩效目标完成情况：一是</w:t>
      </w:r>
      <w:r>
        <w:rPr>
          <w:rFonts w:hint="eastAsia" w:ascii="仿宋" w:hAnsi="仿宋" w:eastAsia="仿宋" w:cs="仿宋"/>
          <w:sz w:val="32"/>
          <w:szCs w:val="32"/>
        </w:rPr>
        <w:t>按照上级要求和项目实施目的，设定该项目产出指标为安全生产月宣传能如期按计划进行，安全生产月宣传覆盖面要到位</w:t>
      </w:r>
      <w:r>
        <w:rPr>
          <w:rFonts w:hint="eastAsia" w:ascii="仿宋_GB2312" w:hAnsi="仿宋_GB2312" w:eastAsia="仿宋_GB2312" w:cs="仿宋_GB2312"/>
          <w:sz w:val="32"/>
          <w:szCs w:val="32"/>
        </w:rPr>
        <w:t>；二是</w:t>
      </w:r>
      <w:r>
        <w:rPr>
          <w:rFonts w:hint="eastAsia" w:ascii="仿宋" w:hAnsi="仿宋" w:eastAsia="仿宋" w:cs="仿宋"/>
          <w:sz w:val="32"/>
          <w:szCs w:val="32"/>
        </w:rPr>
        <w:t>设定效果指标为增强县内民众的安全生产法律意识</w:t>
      </w:r>
      <w:r>
        <w:rPr>
          <w:rFonts w:hint="eastAsia" w:ascii="仿宋_GB2312" w:hAnsi="仿宋_GB2312" w:eastAsia="仿宋_GB2312" w:cs="仿宋_GB2312"/>
          <w:sz w:val="32"/>
          <w:szCs w:val="32"/>
        </w:rPr>
        <w:t>。发现的主要问题及原因：部分企业的安全意识薄弱。下一步改进措施：继续加大宣传力度，做好安全宣传月的宣传工作，普及安全生产知识。</w:t>
      </w:r>
    </w:p>
    <w:p>
      <w:pPr>
        <w:keepNext/>
        <w:keepLines/>
        <w:snapToGrid w:val="0"/>
        <w:spacing w:line="580" w:lineRule="exact"/>
        <w:ind w:firstLine="643" w:firstLineChars="200"/>
        <w:outlineLvl w:val="1"/>
        <w:rPr>
          <w:rFonts w:ascii="仿宋_GB2312" w:hAnsi="仿宋_GB2312" w:eastAsia="仿宋_GB2312" w:cs="仿宋_GB2312"/>
          <w:b/>
          <w:bCs/>
          <w:sz w:val="32"/>
          <w:szCs w:val="32"/>
        </w:rPr>
      </w:pPr>
      <w:r>
        <w:rPr>
          <w:rFonts w:hint="eastAsia" w:ascii="仿宋_GB2312" w:hAnsi="仿宋_GB2312" w:eastAsia="仿宋_GB2312" w:cs="仿宋_GB2312"/>
          <w:b/>
          <w:bCs/>
          <w:sz w:val="32"/>
          <w:szCs w:val="32"/>
        </w:rPr>
        <w:t>3、本年度无财政评价项目绩效评价结果。无</w:t>
      </w:r>
    </w:p>
    <w:p>
      <w:pPr>
        <w:keepNext/>
        <w:keepLines/>
        <w:snapToGrid w:val="0"/>
        <w:spacing w:line="580" w:lineRule="exact"/>
        <w:ind w:firstLine="643" w:firstLineChars="200"/>
        <w:outlineLvl w:val="1"/>
        <w:rPr>
          <w:rFonts w:ascii="仿宋" w:hAnsi="仿宋" w:eastAsia="仿宋" w:cs="仿宋"/>
          <w:sz w:val="32"/>
          <w:szCs w:val="32"/>
        </w:rPr>
      </w:pPr>
      <w:r>
        <w:rPr>
          <w:rFonts w:hint="eastAsia" w:ascii="仿宋" w:hAnsi="仿宋" w:eastAsia="仿宋" w:cs="仿宋"/>
          <w:b/>
          <w:bCs/>
          <w:sz w:val="32"/>
          <w:szCs w:val="32"/>
        </w:rPr>
        <w:t xml:space="preserve"> 七、其他重要事项的说明</w:t>
      </w:r>
    </w:p>
    <w:p>
      <w:pPr>
        <w:spacing w:line="600" w:lineRule="exact"/>
        <w:ind w:right="160" w:firstLine="640" w:firstLineChars="200"/>
        <w:rPr>
          <w:rFonts w:ascii="仿宋" w:hAnsi="仿宋" w:eastAsia="仿宋" w:cs="仿宋"/>
          <w:bCs/>
          <w:sz w:val="32"/>
          <w:szCs w:val="32"/>
        </w:rPr>
      </w:pPr>
      <w:r>
        <w:rPr>
          <w:rFonts w:hint="eastAsia" w:ascii="仿宋" w:hAnsi="仿宋" w:eastAsia="仿宋" w:cs="仿宋"/>
          <w:bCs/>
          <w:sz w:val="32"/>
          <w:szCs w:val="32"/>
        </w:rPr>
        <w:t>（一）机关运行经费情况</w:t>
      </w:r>
    </w:p>
    <w:p>
      <w:pPr>
        <w:spacing w:line="600" w:lineRule="exact"/>
        <w:ind w:firstLine="640" w:firstLineChars="200"/>
        <w:rPr>
          <w:rFonts w:ascii="仿宋" w:hAnsi="仿宋" w:eastAsia="仿宋" w:cs="仿宋"/>
          <w:sz w:val="32"/>
          <w:szCs w:val="32"/>
        </w:rPr>
      </w:pPr>
      <w:r>
        <w:rPr>
          <w:rFonts w:hint="eastAsia" w:ascii="仿宋" w:hAnsi="仿宋" w:eastAsia="仿宋" w:cs="仿宋"/>
          <w:sz w:val="32"/>
          <w:szCs w:val="32"/>
        </w:rPr>
        <w:t>2019年阜平县应急管理局机关运行经费支出83.41万元，比 2018年决算87.31万元减少了3.90万元，降低了4.46%，是因为厉行节约，严控日常经费支出。较年初预算106.69万元减少了23.28万元，降低21.82%，主要是我单位认真落实中央八项规定和厉行节约要求，管理制度不断完善，实现了公用经费较年初预算只减不增。其中：办公费14.58万元、印刷费3.00万元、咨询费2.00万、水费1.50万元、电费1.35万元、邮电费16.17万元、取暖费2.33万元、差旅费0.99万元、维修（护）费3.39万元、会议费0.91万元、培训费0.12万元、公务接待费0.76万元、专用材料费0.89万元、委托业务费0.80万元、公务用车运行维护费14.59万元、其他交通费18.25万元、其他商品和服务支出1.23万元、办公设备购置0.56万元。</w:t>
      </w:r>
    </w:p>
    <w:p>
      <w:pPr>
        <w:spacing w:line="600" w:lineRule="exact"/>
        <w:ind w:right="160" w:firstLine="640" w:firstLineChars="200"/>
        <w:rPr>
          <w:rFonts w:ascii="仿宋" w:hAnsi="仿宋" w:eastAsia="仿宋" w:cs="仿宋"/>
          <w:bCs/>
          <w:sz w:val="32"/>
          <w:szCs w:val="32"/>
        </w:rPr>
      </w:pPr>
      <w:r>
        <w:rPr>
          <w:rFonts w:hint="eastAsia" w:ascii="仿宋" w:hAnsi="仿宋" w:eastAsia="仿宋" w:cs="仿宋"/>
          <w:bCs/>
          <w:sz w:val="32"/>
          <w:szCs w:val="32"/>
        </w:rPr>
        <w:t>（二）政府采购情况</w:t>
      </w:r>
    </w:p>
    <w:p>
      <w:pPr>
        <w:spacing w:line="600" w:lineRule="exact"/>
        <w:ind w:firstLine="640" w:firstLineChars="200"/>
        <w:rPr>
          <w:rFonts w:ascii="仿宋" w:hAnsi="仿宋" w:eastAsia="仿宋" w:cs="仿宋"/>
          <w:sz w:val="32"/>
          <w:szCs w:val="32"/>
        </w:rPr>
      </w:pP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年度政府采购支出总额47.00万元，从采购类型来看，</w:t>
      </w:r>
      <w:r>
        <w:rPr>
          <w:rFonts w:hint="eastAsia" w:ascii="仿宋_GB2312" w:hAnsi="仿宋_GB2312" w:eastAsia="仿宋_GB2312" w:cs="仿宋_GB2312"/>
          <w:color w:val="000000"/>
          <w:kern w:val="0"/>
          <w:sz w:val="32"/>
          <w:szCs w:val="32"/>
        </w:rPr>
        <w:t>政府采购货物支出0</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万元、政府采购工程支出46.55万元、政府采购服务支出</w:t>
      </w:r>
      <w:r>
        <w:rPr>
          <w:rFonts w:ascii="仿宋_GB2312" w:hAnsi="仿宋_GB2312" w:eastAsia="仿宋_GB2312" w:cs="仿宋_GB2312"/>
          <w:color w:val="000000"/>
          <w:kern w:val="0"/>
          <w:sz w:val="32"/>
          <w:szCs w:val="32"/>
        </w:rPr>
        <w:t xml:space="preserve"> </w:t>
      </w:r>
      <w:r>
        <w:rPr>
          <w:rFonts w:hint="eastAsia" w:ascii="仿宋_GB2312" w:hAnsi="仿宋_GB2312" w:eastAsia="仿宋_GB2312" w:cs="仿宋_GB2312"/>
          <w:color w:val="000000"/>
          <w:kern w:val="0"/>
          <w:sz w:val="32"/>
          <w:szCs w:val="32"/>
        </w:rPr>
        <w:t>0.50万元。授予中小企业合同金46.55万元，占政府采购支出总额的99.04</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，其中授予小微企业合同金额0万元，占政府采购支出总额的0</w:t>
      </w:r>
      <w:r>
        <w:rPr>
          <w:rFonts w:ascii="仿宋_GB2312" w:hAnsi="仿宋_GB2312" w:eastAsia="仿宋_GB2312" w:cs="仿宋_GB2312"/>
          <w:color w:val="000000"/>
          <w:kern w:val="0"/>
          <w:sz w:val="32"/>
          <w:szCs w:val="32"/>
        </w:rPr>
        <w:t>%</w:t>
      </w:r>
      <w:r>
        <w:rPr>
          <w:rFonts w:hint="eastAsia" w:ascii="仿宋_GB2312" w:hAnsi="仿宋_GB2312" w:eastAsia="仿宋_GB2312" w:cs="仿宋_GB2312"/>
          <w:color w:val="000000"/>
          <w:kern w:val="0"/>
          <w:sz w:val="32"/>
          <w:szCs w:val="32"/>
        </w:rPr>
        <w:t>。</w:t>
      </w:r>
    </w:p>
    <w:p>
      <w:pPr>
        <w:spacing w:line="600" w:lineRule="exact"/>
        <w:ind w:firstLine="640" w:firstLineChars="200"/>
        <w:rPr>
          <w:rFonts w:ascii="仿宋" w:hAnsi="仿宋" w:eastAsia="仿宋" w:cs="仿宋"/>
          <w:bCs/>
          <w:sz w:val="32"/>
          <w:szCs w:val="32"/>
        </w:rPr>
      </w:pPr>
      <w:r>
        <w:rPr>
          <w:rFonts w:hint="eastAsia" w:ascii="仿宋" w:hAnsi="仿宋" w:eastAsia="仿宋" w:cs="仿宋"/>
          <w:sz w:val="32"/>
          <w:szCs w:val="32"/>
        </w:rPr>
        <w:t>（三）</w:t>
      </w:r>
      <w:r>
        <w:rPr>
          <w:rFonts w:hint="eastAsia" w:ascii="仿宋" w:hAnsi="仿宋" w:eastAsia="仿宋" w:cs="仿宋"/>
          <w:bCs/>
          <w:sz w:val="32"/>
          <w:szCs w:val="32"/>
        </w:rPr>
        <w:t>国有资产占用情况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截至</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w:t>
      </w:r>
      <w:r>
        <w:rPr>
          <w:rFonts w:ascii="仿宋_GB2312" w:hAnsi="Times New Roman" w:eastAsia="仿宋_GB2312" w:cs="DengXian-Regular"/>
          <w:sz w:val="32"/>
          <w:szCs w:val="32"/>
        </w:rPr>
        <w:t>12</w:t>
      </w:r>
      <w:r>
        <w:rPr>
          <w:rFonts w:hint="eastAsia" w:ascii="仿宋_GB2312" w:hAnsi="Times New Roman" w:eastAsia="仿宋_GB2312" w:cs="DengXian-Regular"/>
          <w:sz w:val="32"/>
          <w:szCs w:val="32"/>
        </w:rPr>
        <w:t>月</w:t>
      </w:r>
      <w:r>
        <w:rPr>
          <w:rFonts w:ascii="仿宋_GB2312" w:hAnsi="Times New Roman" w:eastAsia="仿宋_GB2312" w:cs="DengXian-Regular"/>
          <w:sz w:val="32"/>
          <w:szCs w:val="32"/>
        </w:rPr>
        <w:t>31</w:t>
      </w:r>
      <w:r>
        <w:rPr>
          <w:rFonts w:hint="eastAsia" w:ascii="仿宋_GB2312" w:hAnsi="Times New Roman" w:eastAsia="仿宋_GB2312" w:cs="DengXian-Regular"/>
          <w:sz w:val="32"/>
          <w:szCs w:val="32"/>
        </w:rPr>
        <w:t>日，本部门共有车辆6辆，比上年减少7辆，主要是机构改革减少车辆7辆。其中，副部（省）级及以上领导用车0辆，主要领导干部用车0辆，机要通信用车0辆，应急保障用车2辆，执法执勤用车0辆，特种专业技术用车0辆，离退休干部用车0辆，其他用车0辆。无单价50.00万元以上通用设备，与上年相比无增减变化；无100.00万元以上专用设备，与上年相比无增减变化。</w:t>
      </w:r>
    </w:p>
    <w:p>
      <w:pPr>
        <w:spacing w:line="600" w:lineRule="exact"/>
        <w:ind w:firstLine="600" w:firstLineChars="200"/>
        <w:rPr>
          <w:rFonts w:ascii="仿宋" w:hAnsi="仿宋" w:eastAsia="仿宋" w:cs="仿宋"/>
          <w:spacing w:val="-10"/>
          <w:sz w:val="32"/>
          <w:szCs w:val="32"/>
        </w:rPr>
      </w:pPr>
      <w:r>
        <w:rPr>
          <w:rFonts w:hint="eastAsia" w:ascii="仿宋" w:hAnsi="仿宋" w:eastAsia="仿宋" w:cs="仿宋"/>
          <w:spacing w:val="-10"/>
          <w:sz w:val="32"/>
          <w:szCs w:val="32"/>
        </w:rPr>
        <w:t>（四）其他需要说明的情况</w:t>
      </w:r>
    </w:p>
    <w:p>
      <w:pPr>
        <w:adjustRightInd w:val="0"/>
        <w:snapToGrid w:val="0"/>
        <w:spacing w:line="580" w:lineRule="exact"/>
        <w:ind w:firstLine="640" w:firstLineChars="200"/>
        <w:rPr>
          <w:rFonts w:ascii="仿宋_GB2312" w:hAnsi="Times New Roman" w:eastAsia="仿宋_GB2312" w:cs="DengXian-Regular"/>
          <w:sz w:val="32"/>
          <w:szCs w:val="32"/>
        </w:rPr>
      </w:pPr>
      <w:r>
        <w:rPr>
          <w:rFonts w:ascii="仿宋_GB2312" w:hAnsi="Times New Roman" w:eastAsia="仿宋_GB2312" w:cs="DengXian-Regular"/>
          <w:sz w:val="32"/>
          <w:szCs w:val="32"/>
        </w:rPr>
        <w:t xml:space="preserve">1. </w:t>
      </w:r>
      <w:r>
        <w:rPr>
          <w:rFonts w:hint="eastAsia" w:ascii="仿宋_GB2312" w:hAnsi="Times New Roman" w:eastAsia="仿宋_GB2312" w:cs="DengXian-Regular"/>
          <w:sz w:val="32"/>
          <w:szCs w:val="32"/>
        </w:rPr>
        <w:t>本部门</w:t>
      </w:r>
      <w:r>
        <w:rPr>
          <w:rFonts w:ascii="仿宋_GB2312" w:hAnsi="Times New Roman" w:eastAsia="仿宋_GB2312" w:cs="DengXian-Regular"/>
          <w:sz w:val="32"/>
          <w:szCs w:val="32"/>
        </w:rPr>
        <w:t>2019</w:t>
      </w:r>
      <w:r>
        <w:rPr>
          <w:rFonts w:hint="eastAsia" w:ascii="仿宋_GB2312" w:hAnsi="Times New Roman" w:eastAsia="仿宋_GB2312" w:cs="DengXian-Regular"/>
          <w:sz w:val="32"/>
          <w:szCs w:val="32"/>
        </w:rPr>
        <w:t>年度无收支及结转结余情况，故政府性基金财政拨款收入支出、国有资本经营预算财政拨款支出表以空表列示。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2019年度培训费支出2.52万元，较上年2.20万元增加0.32万元，增长了14.55%，主要原因是2019年度进行了应急救援演练增加了培训费支出，较年初预算2.00万元增加0.52万元，增长了26.00%，主要原因是2019年度进行了应急救援演练增加了培训费支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2019年度会议费支出0.91万元，较上年0.30万元,增加0.61万元，增长了20.33%，主要是机构改革相关会议增加，较年初预算3.00万元减少2.09万元，降低69.67%，主要原因是我单位认真落实中央八项规定和厉行节约要求，严控会议费支出。</w:t>
      </w:r>
    </w:p>
    <w:p>
      <w:pPr>
        <w:adjustRightInd w:val="0"/>
        <w:snapToGrid w:val="0"/>
        <w:spacing w:line="580" w:lineRule="exact"/>
        <w:ind w:firstLine="640" w:firstLineChars="200"/>
        <w:rPr>
          <w:rFonts w:ascii="仿宋_GB2312" w:hAnsi="Times New Roman" w:eastAsia="仿宋_GB2312" w:cs="DengXian-Regular"/>
          <w:sz w:val="32"/>
          <w:szCs w:val="32"/>
        </w:rPr>
      </w:pPr>
      <w:r>
        <w:rPr>
          <w:rFonts w:hint="eastAsia" w:ascii="仿宋_GB2312" w:hAnsi="Times New Roman" w:eastAsia="仿宋_GB2312" w:cs="DengXian-Regular"/>
          <w:sz w:val="32"/>
          <w:szCs w:val="32"/>
        </w:rPr>
        <w:t>3. 由于决算公开表格中金额数值应当保留两位小数，公开数据为四舍五入计算结果，个别数据合计项与分项之和存在小数点后差额，特此说明。</w:t>
      </w:r>
    </w:p>
    <w:p>
      <w:pPr>
        <w:widowControl/>
        <w:spacing w:line="580" w:lineRule="exact"/>
        <w:ind w:firstLine="883" w:firstLineChars="200"/>
        <w:jc w:val="left"/>
        <w:rPr>
          <w:rFonts w:ascii="宋体" w:hAnsi="宋体" w:eastAsia="宋体" w:cs="MS-UIGothic,Bold"/>
          <w:b/>
          <w:bCs/>
          <w:kern w:val="0"/>
          <w:sz w:val="44"/>
          <w:szCs w:val="44"/>
        </w:rPr>
        <w:sectPr>
          <w:type w:val="continuous"/>
          <w:pgSz w:w="11906" w:h="16838"/>
          <w:pgMar w:top="2098" w:right="1474" w:bottom="1984" w:left="1588" w:header="851" w:footer="992" w:gutter="0"/>
          <w:pgNumType w:fmt="numberInDash"/>
          <w:cols w:space="0" w:num="1"/>
          <w:docGrid w:type="lines" w:linePitch="312" w:charSpace="0"/>
        </w:sectPr>
      </w:pPr>
    </w:p>
    <w:p/>
    <w:p>
      <w:pPr>
        <w:tabs>
          <w:tab w:val="left" w:pos="905"/>
        </w:tabs>
        <w:jc w:val="left"/>
        <w:sectPr>
          <w:type w:val="continuous"/>
          <w:pgSz w:w="11906" w:h="16838"/>
          <w:pgMar w:top="2041" w:right="1531" w:bottom="2041" w:left="1531" w:header="851" w:footer="992" w:gutter="0"/>
          <w:pgNumType w:fmt="numberInDash"/>
          <w:cols w:space="0" w:num="1"/>
          <w:titlePg/>
          <w:docGrid w:type="lines" w:linePitch="312" w:charSpace="0"/>
        </w:sectPr>
      </w:pPr>
    </w:p>
    <w:p>
      <w:pPr>
        <w:rPr>
          <w:rFonts w:ascii="黑体" w:hAnsi="黑体" w:eastAsia="黑体" w:cs="黑体"/>
          <w:sz w:val="56"/>
          <w:szCs w:val="72"/>
        </w:rPr>
      </w:pPr>
    </w:p>
    <w:p>
      <w:pPr>
        <w:jc w:val="center"/>
        <w:rPr>
          <w:rFonts w:ascii="黑体" w:hAnsi="黑体" w:eastAsia="黑体" w:cs="黑体"/>
          <w:sz w:val="56"/>
          <w:szCs w:val="72"/>
        </w:rPr>
      </w:pPr>
    </w:p>
    <w:p>
      <w:pPr>
        <w:jc w:val="center"/>
        <w:rPr>
          <w:rFonts w:ascii="黑体" w:hAnsi="黑体" w:eastAsia="黑体" w:cs="黑体"/>
          <w:sz w:val="56"/>
          <w:szCs w:val="72"/>
        </w:rPr>
      </w:pPr>
    </w:p>
    <w:p>
      <w:pPr>
        <w:jc w:val="center"/>
        <w:rPr>
          <w:sz w:val="72"/>
        </w:rPr>
      </w:pPr>
      <w:r>
        <w:pict>
          <v:shape id="_x0000_s1088" o:spid="_x0000_s1088" o:spt="202" type="#_x0000_t202" style="position:absolute;left:0pt;margin-left:-80.45pt;margin-top:34.8pt;height:263.1pt;width:613.65pt;z-index:251673600;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pPr>
                  <w:r>
                    <w:rPr>
                      <w:rFonts w:hint="eastAsia" w:ascii="黑体" w:hAnsi="黑体" w:eastAsia="黑体" w:cs="黑体"/>
                      <w:color w:val="000000"/>
                      <w:sz w:val="90"/>
                      <w:szCs w:val="90"/>
                    </w:rPr>
                    <w:t>第三部分</w:t>
                  </w:r>
                  <w:r>
                    <w:rPr>
                      <w:rFonts w:ascii="黑体" w:hAnsi="黑体" w:eastAsia="黑体" w:cs="黑体"/>
                      <w:color w:val="000000"/>
                      <w:sz w:val="90"/>
                      <w:szCs w:val="90"/>
                    </w:rPr>
                    <w:t xml:space="preserve"> </w:t>
                  </w:r>
                  <w:r>
                    <w:rPr>
                      <w:rFonts w:hint="eastAsia" w:ascii="黑体" w:hAnsi="黑体" w:eastAsia="黑体" w:cs="黑体"/>
                      <w:color w:val="000000"/>
                      <w:sz w:val="90"/>
                      <w:szCs w:val="90"/>
                    </w:rPr>
                    <w:t>相关名词解释</w:t>
                  </w:r>
                </w:p>
              </w:txbxContent>
            </v:textbox>
          </v:shape>
        </w:pict>
      </w:r>
    </w:p>
    <w:p/>
    <w:p/>
    <w:p/>
    <w:p/>
    <w:p/>
    <w:p/>
    <w:p/>
    <w:p/>
    <w:p/>
    <w:p/>
    <w:p/>
    <w:p/>
    <w:p/>
    <w:p>
      <w:pPr>
        <w:tabs>
          <w:tab w:val="left" w:pos="886"/>
        </w:tabs>
        <w:jc w:val="left"/>
        <w:sectPr>
          <w:headerReference r:id="rId11" w:type="first"/>
          <w:pgSz w:w="11906" w:h="16838"/>
          <w:pgMar w:top="2041" w:right="1531" w:bottom="2041" w:left="1531" w:header="851" w:footer="992" w:gutter="0"/>
          <w:pgNumType w:fmt="numberInDash"/>
          <w:cols w:space="0" w:num="1"/>
          <w:titlePg/>
          <w:docGrid w:type="lines" w:linePitch="312" w:charSpace="0"/>
        </w:sectPr>
      </w:pPr>
    </w:p>
    <w:p>
      <w:pPr>
        <w:rPr>
          <w:rFonts w:ascii="仿宋_GB2312" w:hAnsi="宋体" w:eastAsia="仿宋_GB2312" w:cs="ArialUnicodeMS"/>
          <w:sz w:val="32"/>
          <w:szCs w:val="32"/>
          <w:highlight w:val="yellow"/>
        </w:rPr>
      </w:pP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（一）财政拨款收入：</w:t>
      </w:r>
      <w:r>
        <w:rPr>
          <w:rFonts w:hint="eastAsia" w:ascii="仿宋_GB2312" w:hAnsi="宋体" w:eastAsia="仿宋_GB2312"/>
          <w:color w:val="000000"/>
          <w:kern w:val="0"/>
          <w:sz w:val="32"/>
          <w:szCs w:val="32"/>
        </w:rPr>
        <w:t>本年度从本级财政部门取得的财政拨款，包括一般公共预算财政拨款和政府性基金预算财政拨款。</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（二）事业收入：</w:t>
      </w:r>
      <w:r>
        <w:rPr>
          <w:rFonts w:hint="eastAsia" w:ascii="仿宋_GB2312" w:hAnsi="宋体" w:eastAsia="仿宋_GB2312"/>
          <w:color w:val="000000"/>
          <w:kern w:val="0"/>
          <w:sz w:val="32"/>
          <w:szCs w:val="32"/>
        </w:rPr>
        <w:t>指事业单位开展专业业务活动及辅助活动所取得的收入。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（三）其他收入：</w:t>
      </w:r>
      <w:r>
        <w:rPr>
          <w:rFonts w:hint="eastAsia" w:ascii="仿宋_GB2312" w:hAnsi="宋体" w:eastAsia="仿宋_GB2312"/>
          <w:color w:val="000000"/>
          <w:kern w:val="0"/>
          <w:sz w:val="32"/>
          <w:szCs w:val="32"/>
        </w:rPr>
        <w:t>指除上述“财政拨款收入”“事业收入”“经营收入”等以外的收入。</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（四）用事业基金弥补收支差额：</w:t>
      </w:r>
      <w:r>
        <w:rPr>
          <w:rFonts w:hint="eastAsia" w:ascii="仿宋_GB2312" w:hAnsi="宋体" w:eastAsia="仿宋_GB2312"/>
          <w:color w:val="000000"/>
          <w:kern w:val="0"/>
          <w:sz w:val="32"/>
          <w:szCs w:val="32"/>
        </w:rPr>
        <w:t>指事业单位在用当年的“财政拨款收入”“财政拨款结转和结余资金”“事业收入”“经营收入”“其他收入”不足以安排当年支出的情况下，使用以前年度积累的事业基金（事业单位当年收支相抵后按国家规定提取、用于弥补以后年度收支差额的基金）弥补本年度收支缺口的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（五）年初结转和结余：</w:t>
      </w:r>
      <w:r>
        <w:rPr>
          <w:rFonts w:hint="eastAsia" w:ascii="仿宋_GB2312" w:hAnsi="宋体" w:eastAsia="仿宋_GB2312"/>
          <w:color w:val="000000"/>
          <w:kern w:val="0"/>
          <w:sz w:val="32"/>
          <w:szCs w:val="32"/>
        </w:rPr>
        <w:t>指以前年度尚未完成、结转到本年仍按原规定用途继续使用的资金，或项目已完成等产生的结余资金。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（六）结余分配：</w:t>
      </w:r>
      <w:r>
        <w:rPr>
          <w:rFonts w:hint="eastAsia" w:ascii="仿宋_GB2312" w:hAnsi="宋体" w:eastAsia="仿宋_GB2312"/>
          <w:color w:val="000000"/>
          <w:kern w:val="0"/>
          <w:sz w:val="32"/>
          <w:szCs w:val="32"/>
        </w:rPr>
        <w:t>指事业单位按照事业单位会计制度的规定从非财政补助结余中分配的事业基金和职工福利基金等。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（七）年末结转和结余：</w:t>
      </w:r>
      <w:r>
        <w:rPr>
          <w:rFonts w:hint="eastAsia" w:ascii="仿宋_GB2312" w:hAnsi="宋体" w:eastAsia="仿宋_GB2312"/>
          <w:color w:val="000000"/>
          <w:kern w:val="0"/>
          <w:sz w:val="32"/>
          <w:szCs w:val="32"/>
        </w:rPr>
        <w:t>指单位按有关规定结转到下年或以后年度继续使用的资金，或项目已完成等产生的结余资金。</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（八）基本支出：</w:t>
      </w:r>
      <w:r>
        <w:rPr>
          <w:rFonts w:hint="eastAsia" w:ascii="仿宋_GB2312" w:hAnsi="宋体" w:eastAsia="仿宋_GB2312"/>
          <w:color w:val="000000"/>
          <w:kern w:val="0"/>
          <w:sz w:val="32"/>
          <w:szCs w:val="32"/>
        </w:rPr>
        <w:t>填列单位为保障机构正常运转、完成日常工作任务而发生的各项支出。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（九）项目支出：</w:t>
      </w:r>
      <w:r>
        <w:rPr>
          <w:rFonts w:hint="eastAsia" w:ascii="仿宋_GB2312" w:hAnsi="宋体" w:eastAsia="仿宋_GB2312"/>
          <w:color w:val="000000"/>
          <w:kern w:val="0"/>
          <w:sz w:val="32"/>
          <w:szCs w:val="32"/>
        </w:rPr>
        <w:t>填列单位为完成特定的行政工作任务或事业发展目标，在基本支出之外发生的各项支出</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（十）基本建设支出：</w:t>
      </w:r>
      <w:r>
        <w:rPr>
          <w:rFonts w:hint="eastAsia" w:ascii="仿宋_GB2312" w:hAnsi="宋体" w:eastAsia="仿宋_GB2312"/>
          <w:color w:val="000000"/>
          <w:kern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（十一）其他资本性支出：</w:t>
      </w:r>
      <w:r>
        <w:rPr>
          <w:rFonts w:hint="eastAsia" w:ascii="仿宋_GB2312" w:hAnsi="宋体" w:eastAsia="仿宋_GB2312"/>
          <w:color w:val="000000"/>
          <w:kern w:val="0"/>
          <w:sz w:val="32"/>
          <w:szCs w:val="32"/>
        </w:rPr>
        <w:t>填列由各级非发展与改革部门集中安排的用于购置固定资产、战备性和应急性储备、土地和无形资产，以及购建基础设施、大型修缮和财政支持企业更新改造所发生的支出。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（十二）“三公”经费：</w:t>
      </w:r>
      <w:r>
        <w:rPr>
          <w:rFonts w:hint="eastAsia" w:ascii="仿宋_GB2312" w:hAnsi="宋体" w:eastAsia="仿宋_GB2312"/>
          <w:color w:val="000000"/>
          <w:kern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pPr>
        <w:snapToGrid w:val="0"/>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（十三）其他交通费用：</w:t>
      </w:r>
      <w:r>
        <w:rPr>
          <w:rFonts w:hint="eastAsia" w:ascii="仿宋_GB2312" w:hAnsi="宋体" w:eastAsia="仿宋_GB2312"/>
          <w:color w:val="000000"/>
          <w:kern w:val="0"/>
          <w:sz w:val="32"/>
          <w:szCs w:val="32"/>
        </w:rPr>
        <w:t>填列单位除公务用车运行维护费以外的其他交通费用。如公务交通补贴、租车费用、出租车费用，飞机、船舶等燃料费、维修费、保险费等。</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（十四）公务用车购置：</w:t>
      </w:r>
      <w:r>
        <w:rPr>
          <w:rFonts w:hint="eastAsia" w:ascii="仿宋_GB2312" w:hAnsi="宋体" w:eastAsia="仿宋_GB2312"/>
          <w:color w:val="000000"/>
          <w:kern w:val="0"/>
          <w:sz w:val="32"/>
          <w:szCs w:val="32"/>
        </w:rPr>
        <w:t>填列单位公务用车车辆购置支出（含车辆购置税、牌照费）。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（十五）其他交通工具购置：</w:t>
      </w:r>
      <w:r>
        <w:rPr>
          <w:rFonts w:hint="eastAsia" w:ascii="仿宋_GB2312" w:hAnsi="宋体" w:eastAsia="仿宋_GB2312"/>
          <w:color w:val="000000"/>
          <w:kern w:val="0"/>
          <w:sz w:val="32"/>
          <w:szCs w:val="32"/>
        </w:rPr>
        <w:t>填列单位除公务用车外的其他各类交通工具（如船舶、飞机等）购置支出（含车辆购置税、牌照费）。</w:t>
      </w:r>
    </w:p>
    <w:p>
      <w:pPr>
        <w:widowControl/>
        <w:spacing w:line="560" w:lineRule="exact"/>
        <w:ind w:firstLine="643" w:firstLineChars="200"/>
        <w:rPr>
          <w:rFonts w:ascii="仿宋_GB2312" w:hAnsi="宋体" w:eastAsia="仿宋_GB2312"/>
          <w:color w:val="000000"/>
          <w:kern w:val="0"/>
          <w:sz w:val="32"/>
          <w:szCs w:val="32"/>
        </w:rPr>
      </w:pPr>
      <w:r>
        <w:rPr>
          <w:rFonts w:hint="eastAsia" w:ascii="仿宋_GB2312" w:hAnsi="宋体" w:eastAsia="仿宋_GB2312"/>
          <w:b/>
          <w:bCs/>
          <w:color w:val="000000"/>
          <w:kern w:val="0"/>
          <w:sz w:val="32"/>
          <w:szCs w:val="32"/>
        </w:rPr>
        <w:t>（十六）机关运行经费：</w:t>
      </w:r>
      <w:r>
        <w:rPr>
          <w:rFonts w:hint="eastAsia" w:ascii="仿宋_GB2312" w:hAnsi="宋体" w:eastAsia="仿宋_GB2312"/>
          <w:color w:val="000000"/>
          <w:kern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p>
      <w:pPr>
        <w:tabs>
          <w:tab w:val="left" w:pos="235"/>
        </w:tabs>
        <w:ind w:firstLine="643" w:firstLineChars="200"/>
        <w:jc w:val="left"/>
        <w:rPr>
          <w:rFonts w:ascii="仿宋_GB2312" w:hAnsi="Cambria" w:eastAsia="仿宋_GB2312" w:cs="ArialUnicodeMS"/>
          <w:kern w:val="0"/>
          <w:sz w:val="32"/>
          <w:szCs w:val="32"/>
        </w:rPr>
      </w:pPr>
      <w:r>
        <w:rPr>
          <w:rFonts w:hint="eastAsia" w:ascii="仿宋_GB2312" w:hAnsi="宋体" w:eastAsia="仿宋_GB2312"/>
          <w:b/>
          <w:bCs/>
          <w:color w:val="000000"/>
          <w:kern w:val="0"/>
          <w:sz w:val="32"/>
          <w:szCs w:val="32"/>
        </w:rPr>
        <w:t>（十七）经费形式</w:t>
      </w:r>
      <w:r>
        <w:rPr>
          <w:rFonts w:ascii="仿宋_GB2312" w:hAnsi="宋体" w:eastAsia="仿宋_GB2312"/>
          <w:b/>
          <w:bCs/>
          <w:color w:val="000000"/>
          <w:kern w:val="0"/>
          <w:sz w:val="32"/>
          <w:szCs w:val="32"/>
        </w:rPr>
        <w:t>:</w:t>
      </w:r>
      <w:r>
        <w:rPr>
          <w:rFonts w:hint="eastAsia" w:ascii="仿宋_GB2312" w:hAnsi="宋体" w:eastAsia="仿宋_GB2312"/>
          <w:color w:val="000000"/>
          <w:kern w:val="0"/>
          <w:sz w:val="32"/>
          <w:szCs w:val="32"/>
        </w:rPr>
        <w:t>按照经费来源，</w:t>
      </w:r>
      <w:r>
        <w:rPr>
          <w:rFonts w:hint="eastAsia" w:ascii="仿宋_GB2312" w:hAnsi="Cambria" w:eastAsia="仿宋_GB2312" w:cs="ArialUnicodeMS"/>
          <w:kern w:val="0"/>
          <w:sz w:val="32"/>
          <w:szCs w:val="32"/>
        </w:rPr>
        <w:t>可分为财政拨款、财政性资金基本保证、财政性资金定额或定项补助、财政性资金零补助四类。</w:t>
      </w:r>
    </w:p>
    <w:p/>
    <w:p>
      <w:pPr>
        <w:jc w:val="left"/>
        <w:sectPr>
          <w:headerReference r:id="rId12" w:type="default"/>
          <w:type w:val="continuous"/>
          <w:pgSz w:w="11906" w:h="16838"/>
          <w:pgMar w:top="2098" w:right="1474" w:bottom="1985" w:left="1588" w:header="851" w:footer="992" w:gutter="0"/>
          <w:pgNumType w:fmt="numberInDash"/>
          <w:cols w:space="425" w:num="1"/>
          <w:docGrid w:type="lines" w:linePitch="312" w:charSpace="0"/>
        </w:sectPr>
      </w:pPr>
    </w:p>
    <w:p>
      <w:pPr>
        <w:tabs>
          <w:tab w:val="left" w:pos="235"/>
        </w:tabs>
        <w:jc w:val="left"/>
        <w:sectPr>
          <w:pgSz w:w="11906" w:h="16838"/>
          <w:pgMar w:top="2098" w:right="1474" w:bottom="1985" w:left="1588" w:header="851" w:footer="992" w:gutter="0"/>
          <w:pgNumType w:fmt="numberInDash"/>
          <w:cols w:space="425" w:num="1"/>
          <w:docGrid w:type="lines" w:linePitch="312" w:charSpace="0"/>
        </w:sectPr>
      </w:pPr>
      <w:r>
        <w:pict>
          <v:shape id="_x0000_s1089" o:spid="_x0000_s1089" o:spt="202" type="#_x0000_t202" style="position:absolute;left:0pt;margin-left:-82.05pt;margin-top:135.85pt;height:263.1pt;width:613.65pt;z-index:-251656192;v-text-anchor:middle;mso-width-relative:page;mso-height-relative:page;" fillcolor="#FFD966" filled="t" stroked="t" coordsize="21600,21600">
            <v:path/>
            <v:fill type="pattern" on="t" focussize="0,0"/>
            <v:stroke weight="0.5pt" color="#FFD966" joinstyle="round"/>
            <v:imagedata o:title=""/>
            <o:lock v:ext="edit"/>
            <v:textbox>
              <w:txbxContent>
                <w:p>
                  <w:pPr>
                    <w:widowControl/>
                    <w:jc w:val="center"/>
                    <w:rPr>
                      <w:rFonts w:ascii="黑体" w:hAnsi="黑体" w:eastAsia="黑体" w:cs="黑体"/>
                      <w:color w:val="000000"/>
                      <w:sz w:val="90"/>
                      <w:szCs w:val="90"/>
                    </w:rPr>
                  </w:pPr>
                  <w:r>
                    <w:rPr>
                      <w:rFonts w:hint="eastAsia" w:ascii="黑体" w:hAnsi="黑体" w:eastAsia="黑体" w:cs="黑体"/>
                      <w:color w:val="000000"/>
                      <w:sz w:val="90"/>
                      <w:szCs w:val="90"/>
                    </w:rPr>
                    <w:t>第四部分</w:t>
                  </w:r>
                  <w:r>
                    <w:rPr>
                      <w:rFonts w:ascii="黑体" w:hAnsi="黑体" w:eastAsia="黑体" w:cs="黑体"/>
                      <w:color w:val="000000"/>
                      <w:sz w:val="90"/>
                      <w:szCs w:val="90"/>
                    </w:rPr>
                    <w:t xml:space="preserve"> </w:t>
                  </w:r>
                </w:p>
                <w:p>
                  <w:pPr>
                    <w:widowControl/>
                    <w:jc w:val="center"/>
                  </w:pPr>
                  <w:r>
                    <w:rPr>
                      <w:rFonts w:ascii="黑体" w:hAnsi="黑体" w:eastAsia="黑体" w:cs="黑体"/>
                      <w:color w:val="000000"/>
                      <w:sz w:val="90"/>
                      <w:szCs w:val="90"/>
                    </w:rPr>
                    <w:t>2019</w:t>
                  </w:r>
                  <w:r>
                    <w:rPr>
                      <w:rFonts w:hint="eastAsia" w:ascii="黑体" w:hAnsi="黑体" w:eastAsia="黑体" w:cs="黑体"/>
                      <w:color w:val="000000"/>
                      <w:sz w:val="90"/>
                      <w:szCs w:val="90"/>
                    </w:rPr>
                    <w:t>年度部门决算报表</w:t>
                  </w:r>
                </w:p>
              </w:txbxContent>
            </v:textbox>
          </v:shape>
        </w:pict>
      </w:r>
    </w:p>
    <w:p>
      <w:pPr>
        <w:numPr>
          <w:ilvl w:val="0"/>
          <w:numId w:val="5"/>
        </w:numPr>
        <w:spacing w:line="403" w:lineRule="auto"/>
        <w:jc w:val="left"/>
        <w:rPr>
          <w:rFonts w:ascii="仿宋" w:hAnsi="仿宋" w:eastAsia="仿宋" w:cs="仿宋"/>
          <w:sz w:val="28"/>
          <w:szCs w:val="28"/>
        </w:rPr>
      </w:pPr>
      <w:r>
        <w:rPr>
          <w:rFonts w:hint="eastAsia" w:ascii="仿宋" w:hAnsi="仿宋" w:eastAsia="仿宋" w:cs="仿宋"/>
          <w:sz w:val="28"/>
          <w:szCs w:val="28"/>
        </w:rPr>
        <w:t>收入支出决算总表</w:t>
      </w:r>
    </w:p>
    <w:tbl>
      <w:tblPr>
        <w:tblStyle w:val="6"/>
        <w:tblW w:w="12966" w:type="dxa"/>
        <w:tblInd w:w="93" w:type="dxa"/>
        <w:tblLayout w:type="fixed"/>
        <w:tblCellMar>
          <w:top w:w="0" w:type="dxa"/>
          <w:left w:w="108" w:type="dxa"/>
          <w:bottom w:w="0" w:type="dxa"/>
          <w:right w:w="108" w:type="dxa"/>
        </w:tblCellMar>
      </w:tblPr>
      <w:tblGrid>
        <w:gridCol w:w="3839"/>
        <w:gridCol w:w="564"/>
        <w:gridCol w:w="2050"/>
        <w:gridCol w:w="3838"/>
        <w:gridCol w:w="564"/>
        <w:gridCol w:w="1882"/>
        <w:gridCol w:w="229"/>
      </w:tblGrid>
      <w:tr>
        <w:tblPrEx>
          <w:tblCellMar>
            <w:top w:w="0" w:type="dxa"/>
            <w:left w:w="108" w:type="dxa"/>
            <w:bottom w:w="0" w:type="dxa"/>
            <w:right w:w="108" w:type="dxa"/>
          </w:tblCellMar>
        </w:tblPrEx>
        <w:trPr>
          <w:gridAfter w:val="1"/>
          <w:wAfter w:w="234" w:type="dxa"/>
          <w:trHeight w:val="195" w:hRule="atLeast"/>
        </w:trPr>
        <w:tc>
          <w:tcPr>
            <w:tcW w:w="3911" w:type="dxa"/>
            <w:tcBorders>
              <w:top w:val="nil"/>
              <w:left w:val="nil"/>
              <w:bottom w:val="nil"/>
              <w:right w:val="nil"/>
            </w:tcBorders>
            <w:shd w:val="clear" w:color="auto" w:fill="auto"/>
            <w:noWrap/>
            <w:vAlign w:val="bottom"/>
          </w:tcPr>
          <w:p>
            <w:pPr>
              <w:widowControl/>
              <w:spacing w:line="220" w:lineRule="exact"/>
              <w:jc w:val="lef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部门：阜平县应急管理局</w:t>
            </w:r>
          </w:p>
        </w:tc>
        <w:tc>
          <w:tcPr>
            <w:tcW w:w="571" w:type="dxa"/>
            <w:tcBorders>
              <w:top w:val="nil"/>
              <w:left w:val="nil"/>
              <w:bottom w:val="nil"/>
              <w:right w:val="nil"/>
            </w:tcBorders>
            <w:shd w:val="clear" w:color="auto" w:fill="auto"/>
            <w:noWrap/>
            <w:vAlign w:val="bottom"/>
          </w:tcPr>
          <w:p>
            <w:pPr>
              <w:spacing w:line="220" w:lineRule="exact"/>
              <w:rPr>
                <w:rFonts w:ascii="Arial" w:hAnsi="Arial" w:cs="Arial"/>
                <w:color w:val="000000"/>
                <w:sz w:val="20"/>
                <w:szCs w:val="20"/>
              </w:rPr>
            </w:pPr>
          </w:p>
        </w:tc>
        <w:tc>
          <w:tcPr>
            <w:tcW w:w="2087" w:type="dxa"/>
            <w:tcBorders>
              <w:top w:val="nil"/>
              <w:left w:val="nil"/>
              <w:bottom w:val="nil"/>
              <w:right w:val="nil"/>
            </w:tcBorders>
            <w:shd w:val="clear" w:color="auto" w:fill="auto"/>
            <w:noWrap/>
            <w:vAlign w:val="bottom"/>
          </w:tcPr>
          <w:p>
            <w:pPr>
              <w:spacing w:line="220" w:lineRule="exact"/>
              <w:rPr>
                <w:rFonts w:ascii="Arial" w:hAnsi="Arial" w:cs="Arial"/>
                <w:color w:val="000000"/>
                <w:sz w:val="20"/>
                <w:szCs w:val="20"/>
              </w:rPr>
            </w:pPr>
          </w:p>
        </w:tc>
        <w:tc>
          <w:tcPr>
            <w:tcW w:w="3911" w:type="dxa"/>
            <w:tcBorders>
              <w:top w:val="nil"/>
              <w:left w:val="nil"/>
              <w:bottom w:val="nil"/>
              <w:right w:val="nil"/>
            </w:tcBorders>
            <w:shd w:val="clear" w:color="auto" w:fill="auto"/>
            <w:noWrap/>
            <w:vAlign w:val="bottom"/>
          </w:tcPr>
          <w:p>
            <w:pPr>
              <w:spacing w:line="220" w:lineRule="exact"/>
              <w:rPr>
                <w:rFonts w:ascii="Arial" w:hAnsi="Arial" w:cs="Arial"/>
                <w:color w:val="000000"/>
                <w:sz w:val="20"/>
                <w:szCs w:val="20"/>
              </w:rPr>
            </w:pPr>
          </w:p>
        </w:tc>
        <w:tc>
          <w:tcPr>
            <w:tcW w:w="571" w:type="dxa"/>
            <w:tcBorders>
              <w:top w:val="nil"/>
              <w:left w:val="nil"/>
              <w:bottom w:val="nil"/>
              <w:right w:val="nil"/>
            </w:tcBorders>
            <w:shd w:val="clear" w:color="auto" w:fill="auto"/>
            <w:noWrap/>
            <w:vAlign w:val="bottom"/>
          </w:tcPr>
          <w:p>
            <w:pPr>
              <w:spacing w:line="220" w:lineRule="exact"/>
              <w:rPr>
                <w:rFonts w:ascii="Arial" w:hAnsi="Arial" w:cs="Arial"/>
                <w:color w:val="000000"/>
                <w:sz w:val="20"/>
                <w:szCs w:val="20"/>
              </w:rPr>
            </w:pPr>
          </w:p>
        </w:tc>
        <w:tc>
          <w:tcPr>
            <w:tcW w:w="1915" w:type="dxa"/>
            <w:tcBorders>
              <w:top w:val="nil"/>
              <w:left w:val="nil"/>
              <w:bottom w:val="nil"/>
              <w:right w:val="nil"/>
            </w:tcBorders>
            <w:shd w:val="clear" w:color="auto" w:fill="auto"/>
            <w:noWrap/>
            <w:vAlign w:val="bottom"/>
          </w:tcPr>
          <w:p>
            <w:pPr>
              <w:widowControl/>
              <w:spacing w:line="220" w:lineRule="exact"/>
              <w:jc w:val="right"/>
              <w:textAlignment w:val="bottom"/>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金额单位：万元</w:t>
            </w:r>
          </w:p>
        </w:tc>
      </w:tr>
      <w:tr>
        <w:tblPrEx>
          <w:tblCellMar>
            <w:top w:w="0" w:type="dxa"/>
            <w:left w:w="108" w:type="dxa"/>
            <w:bottom w:w="0" w:type="dxa"/>
            <w:right w:w="108" w:type="dxa"/>
          </w:tblCellMar>
        </w:tblPrEx>
        <w:trPr>
          <w:gridAfter w:val="1"/>
          <w:wAfter w:w="234" w:type="dxa"/>
          <w:trHeight w:val="201" w:hRule="atLeast"/>
        </w:trPr>
        <w:tc>
          <w:tcPr>
            <w:tcW w:w="6569"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收入</w:t>
            </w:r>
          </w:p>
        </w:tc>
        <w:tc>
          <w:tcPr>
            <w:tcW w:w="6397" w:type="dxa"/>
            <w:gridSpan w:val="3"/>
            <w:tcBorders>
              <w:top w:val="single" w:color="000000" w:sz="4" w:space="0"/>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支出</w:t>
            </w:r>
          </w:p>
        </w:tc>
      </w:tr>
      <w:tr>
        <w:tblPrEx>
          <w:tblCellMar>
            <w:top w:w="0" w:type="dxa"/>
            <w:left w:w="108" w:type="dxa"/>
            <w:bottom w:w="0" w:type="dxa"/>
            <w:right w:w="108" w:type="dxa"/>
          </w:tblCellMar>
        </w:tblPrEx>
        <w:trPr>
          <w:gridAfter w:val="1"/>
          <w:wAfter w:w="234" w:type="dxa"/>
          <w:trHeight w:val="279"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项目</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2087"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w:t>
            </w: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项目</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行次</w:t>
            </w:r>
          </w:p>
        </w:tc>
        <w:tc>
          <w:tcPr>
            <w:tcW w:w="1915"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金额</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栏次</w:t>
            </w:r>
          </w:p>
        </w:tc>
        <w:tc>
          <w:tcPr>
            <w:tcW w:w="571" w:type="dxa"/>
            <w:tcBorders>
              <w:top w:val="nil"/>
              <w:left w:val="nil"/>
              <w:bottom w:val="single" w:color="000000" w:sz="4" w:space="0"/>
              <w:right w:val="single" w:color="000000" w:sz="4" w:space="0"/>
            </w:tcBorders>
            <w:shd w:val="clear" w:color="FFFFFF" w:fill="C0C0C0"/>
            <w:noWrap/>
            <w:vAlign w:val="center"/>
          </w:tcPr>
          <w:p>
            <w:pPr>
              <w:spacing w:line="220" w:lineRule="exact"/>
              <w:jc w:val="center"/>
              <w:rPr>
                <w:rFonts w:ascii="宋体" w:hAnsi="宋体" w:eastAsia="宋体" w:cs="宋体"/>
                <w:color w:val="000000"/>
                <w:sz w:val="20"/>
                <w:szCs w:val="20"/>
              </w:rPr>
            </w:pPr>
          </w:p>
        </w:tc>
        <w:tc>
          <w:tcPr>
            <w:tcW w:w="2087"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栏次</w:t>
            </w:r>
          </w:p>
        </w:tc>
        <w:tc>
          <w:tcPr>
            <w:tcW w:w="571" w:type="dxa"/>
            <w:tcBorders>
              <w:top w:val="nil"/>
              <w:left w:val="nil"/>
              <w:bottom w:val="single" w:color="000000" w:sz="4" w:space="0"/>
              <w:right w:val="single" w:color="000000" w:sz="4" w:space="0"/>
            </w:tcBorders>
            <w:shd w:val="clear" w:color="FFFFFF" w:fill="C0C0C0"/>
            <w:noWrap/>
            <w:vAlign w:val="center"/>
          </w:tcPr>
          <w:p>
            <w:pPr>
              <w:spacing w:line="220" w:lineRule="exact"/>
              <w:jc w:val="center"/>
              <w:rPr>
                <w:rFonts w:ascii="宋体" w:hAnsi="宋体" w:eastAsia="宋体" w:cs="宋体"/>
                <w:color w:val="000000"/>
                <w:sz w:val="20"/>
                <w:szCs w:val="20"/>
              </w:rPr>
            </w:pPr>
          </w:p>
        </w:tc>
        <w:tc>
          <w:tcPr>
            <w:tcW w:w="1915"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一、一般公共预算财政拨款收入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620.43</w:t>
            </w: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一、一般公共服务支出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29</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二、政府性基金预算财政拨款收入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二、外交支出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30</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三、上级补助收入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三、国防支出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31</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四、事业收入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四、公共安全支出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32</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五、经营收入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五、教育支出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33</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六、附属单位上缴收入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六、科学技术支出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34</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七、其他收入</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7</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七、文化旅游体育与传媒支出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35</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8</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八、社会保障和就业支出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36</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36.97</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9</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九、卫生健康支出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37</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10.60</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10</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十、节能环保支出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38</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11</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十一、城乡社区支出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39</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12</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十二、农林水支出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40</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13</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十三、交通运输支出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41</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14</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十四、资源勘探信息等支出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42</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15</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十五、商业服务业等支出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43</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16</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十六、金融支出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44</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17</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十七、援助其他地区支出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45</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18</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十八、自然资源海洋气象等支出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46</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19</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十九、住房保障支出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47</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19.22</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20</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二十、粮油物资储备支出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48</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21</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二十一、灾害防治及应急管理支出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49</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553.63</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22</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二十二、其他支出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50</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23</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二十四、债务付息支出</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51</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本年收入合计</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24</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620.43</w:t>
            </w: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本年支出合计</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52</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620.43</w:t>
            </w: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用事业基金弥补收支差额</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25</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结余分配</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53</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年初结转和结余</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26</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lef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年末结转和结余</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54</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1"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27</w:t>
            </w:r>
          </w:p>
        </w:tc>
        <w:tc>
          <w:tcPr>
            <w:tcW w:w="2087" w:type="dxa"/>
            <w:tcBorders>
              <w:top w:val="nil"/>
              <w:left w:val="nil"/>
              <w:bottom w:val="single" w:color="000000" w:sz="4" w:space="0"/>
              <w:right w:val="single" w:color="000000" w:sz="4" w:space="0"/>
            </w:tcBorders>
            <w:shd w:val="clear" w:color="auto" w:fill="auto"/>
            <w:noWrap/>
            <w:vAlign w:val="center"/>
          </w:tcPr>
          <w:p>
            <w:pPr>
              <w:spacing w:line="220" w:lineRule="exact"/>
              <w:jc w:val="right"/>
              <w:rPr>
                <w:rFonts w:ascii="宋体" w:hAnsi="宋体" w:eastAsia="宋体" w:cs="宋体"/>
                <w:color w:val="000000"/>
                <w:sz w:val="20"/>
                <w:szCs w:val="20"/>
              </w:rPr>
            </w:pPr>
          </w:p>
        </w:tc>
        <w:tc>
          <w:tcPr>
            <w:tcW w:w="3911" w:type="dxa"/>
            <w:tcBorders>
              <w:top w:val="nil"/>
              <w:left w:val="nil"/>
              <w:bottom w:val="single" w:color="000000" w:sz="4" w:space="0"/>
              <w:right w:val="single" w:color="000000" w:sz="4" w:space="0"/>
            </w:tcBorders>
            <w:shd w:val="clear" w:color="FFFFFF" w:fill="C0C0C0"/>
            <w:noWrap/>
            <w:vAlign w:val="center"/>
          </w:tcPr>
          <w:p>
            <w:pPr>
              <w:spacing w:line="220" w:lineRule="exact"/>
              <w:jc w:val="left"/>
              <w:rPr>
                <w:rFonts w:ascii="宋体" w:hAnsi="宋体" w:eastAsia="宋体" w:cs="宋体"/>
                <w:color w:val="000000"/>
                <w:sz w:val="20"/>
                <w:szCs w:val="20"/>
              </w:rPr>
            </w:pP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55</w:t>
            </w:r>
          </w:p>
        </w:tc>
        <w:tc>
          <w:tcPr>
            <w:tcW w:w="1915" w:type="dxa"/>
            <w:tcBorders>
              <w:top w:val="nil"/>
              <w:left w:val="nil"/>
              <w:bottom w:val="single" w:color="000000" w:sz="4" w:space="0"/>
              <w:right w:val="single" w:color="000000" w:sz="4" w:space="0"/>
            </w:tcBorders>
            <w:shd w:val="clear" w:color="auto" w:fill="auto"/>
            <w:noWrap/>
            <w:vAlign w:val="center"/>
          </w:tcPr>
          <w:p>
            <w:pPr>
              <w:spacing w:line="220" w:lineRule="exact"/>
              <w:jc w:val="left"/>
              <w:rPr>
                <w:rFonts w:ascii="宋体" w:hAnsi="宋体" w:eastAsia="宋体" w:cs="宋体"/>
                <w:color w:val="000000"/>
                <w:sz w:val="20"/>
                <w:szCs w:val="20"/>
              </w:rPr>
            </w:pPr>
          </w:p>
        </w:tc>
      </w:tr>
      <w:tr>
        <w:tblPrEx>
          <w:tblCellMar>
            <w:top w:w="0" w:type="dxa"/>
            <w:left w:w="108" w:type="dxa"/>
            <w:bottom w:w="0" w:type="dxa"/>
            <w:right w:w="108" w:type="dxa"/>
          </w:tblCellMar>
        </w:tblPrEx>
        <w:trPr>
          <w:gridAfter w:val="1"/>
          <w:wAfter w:w="234" w:type="dxa"/>
          <w:trHeight w:val="207" w:hRule="atLeast"/>
        </w:trPr>
        <w:tc>
          <w:tcPr>
            <w:tcW w:w="3911"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总计</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28</w:t>
            </w:r>
          </w:p>
        </w:tc>
        <w:tc>
          <w:tcPr>
            <w:tcW w:w="2087"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620.43</w:t>
            </w:r>
          </w:p>
        </w:tc>
        <w:tc>
          <w:tcPr>
            <w:tcW w:w="391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b/>
                <w:bCs/>
                <w:color w:val="000000"/>
                <w:sz w:val="20"/>
                <w:szCs w:val="20"/>
              </w:rPr>
            </w:pPr>
            <w:r>
              <w:rPr>
                <w:rFonts w:hint="eastAsia" w:ascii="宋体" w:hAnsi="宋体" w:eastAsia="宋体" w:cs="宋体"/>
                <w:b/>
                <w:bCs/>
                <w:color w:val="000000"/>
                <w:kern w:val="0"/>
                <w:sz w:val="20"/>
                <w:szCs w:val="20"/>
                <w:lang w:bidi="ar"/>
              </w:rPr>
              <w:t>总计</w:t>
            </w:r>
          </w:p>
        </w:tc>
        <w:tc>
          <w:tcPr>
            <w:tcW w:w="571" w:type="dxa"/>
            <w:tcBorders>
              <w:top w:val="nil"/>
              <w:left w:val="nil"/>
              <w:bottom w:val="single" w:color="000000" w:sz="4" w:space="0"/>
              <w:right w:val="single" w:color="000000" w:sz="4" w:space="0"/>
            </w:tcBorders>
            <w:shd w:val="clear" w:color="FFFFFF" w:fill="C0C0C0"/>
            <w:noWrap/>
            <w:vAlign w:val="center"/>
          </w:tcPr>
          <w:p>
            <w:pPr>
              <w:widowControl/>
              <w:spacing w:line="220" w:lineRule="exact"/>
              <w:jc w:val="center"/>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56</w:t>
            </w:r>
          </w:p>
        </w:tc>
        <w:tc>
          <w:tcPr>
            <w:tcW w:w="1915" w:type="dxa"/>
            <w:tcBorders>
              <w:top w:val="nil"/>
              <w:left w:val="nil"/>
              <w:bottom w:val="single" w:color="000000" w:sz="4" w:space="0"/>
              <w:right w:val="single" w:color="000000" w:sz="4" w:space="0"/>
            </w:tcBorders>
            <w:shd w:val="clear" w:color="auto" w:fill="auto"/>
            <w:noWrap/>
            <w:vAlign w:val="center"/>
          </w:tcPr>
          <w:p>
            <w:pPr>
              <w:widowControl/>
              <w:spacing w:line="220" w:lineRule="exact"/>
              <w:jc w:val="right"/>
              <w:textAlignment w:val="center"/>
              <w:rPr>
                <w:rFonts w:ascii="宋体" w:hAnsi="宋体" w:eastAsia="宋体" w:cs="宋体"/>
                <w:color w:val="000000"/>
                <w:sz w:val="20"/>
                <w:szCs w:val="20"/>
              </w:rPr>
            </w:pPr>
            <w:r>
              <w:rPr>
                <w:rFonts w:hint="eastAsia" w:ascii="宋体" w:hAnsi="宋体" w:eastAsia="宋体" w:cs="宋体"/>
                <w:color w:val="000000"/>
                <w:kern w:val="0"/>
                <w:sz w:val="20"/>
                <w:szCs w:val="20"/>
                <w:lang w:bidi="ar"/>
              </w:rPr>
              <w:t>620.43</w:t>
            </w:r>
          </w:p>
        </w:tc>
      </w:tr>
      <w:tr>
        <w:tblPrEx>
          <w:tblCellMar>
            <w:top w:w="0" w:type="dxa"/>
            <w:left w:w="108" w:type="dxa"/>
            <w:bottom w:w="0" w:type="dxa"/>
            <w:right w:w="108" w:type="dxa"/>
          </w:tblCellMar>
        </w:tblPrEx>
        <w:trPr>
          <w:trHeight w:val="90" w:hRule="atLeast"/>
        </w:trPr>
        <w:tc>
          <w:tcPr>
            <w:tcW w:w="13200" w:type="dxa"/>
            <w:gridSpan w:val="7"/>
            <w:tcBorders>
              <w:top w:val="nil"/>
              <w:left w:val="nil"/>
              <w:bottom w:val="nil"/>
              <w:right w:val="nil"/>
            </w:tcBorders>
            <w:shd w:val="clear" w:color="auto" w:fill="auto"/>
            <w:noWrap/>
            <w:vAlign w:val="center"/>
          </w:tcPr>
          <w:p>
            <w:pPr>
              <w:widowControl/>
              <w:spacing w:line="22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注：本表反映部门本年度的总收支和年末结转结余情况。</w:t>
            </w:r>
          </w:p>
        </w:tc>
      </w:tr>
    </w:tbl>
    <w:p>
      <w:pPr>
        <w:spacing w:line="403" w:lineRule="auto"/>
        <w:jc w:val="left"/>
        <w:rPr>
          <w:rFonts w:ascii="仿宋" w:hAnsi="仿宋" w:eastAsia="仿宋" w:cs="仿宋"/>
          <w:sz w:val="28"/>
          <w:szCs w:val="28"/>
        </w:rPr>
      </w:pPr>
    </w:p>
    <w:p>
      <w:pPr>
        <w:numPr>
          <w:ilvl w:val="0"/>
          <w:numId w:val="5"/>
        </w:numPr>
        <w:spacing w:line="403" w:lineRule="auto"/>
        <w:jc w:val="left"/>
        <w:rPr>
          <w:rFonts w:ascii="仿宋" w:hAnsi="仿宋" w:eastAsia="仿宋" w:cs="仿宋"/>
          <w:sz w:val="28"/>
          <w:szCs w:val="28"/>
        </w:rPr>
      </w:pPr>
      <w:r>
        <w:rPr>
          <w:rFonts w:hint="eastAsia" w:ascii="仿宋" w:hAnsi="仿宋" w:eastAsia="仿宋" w:cs="仿宋"/>
          <w:sz w:val="28"/>
          <w:szCs w:val="28"/>
        </w:rPr>
        <w:t>收入决算表</w:t>
      </w:r>
    </w:p>
    <w:tbl>
      <w:tblPr>
        <w:tblStyle w:val="6"/>
        <w:tblW w:w="13979" w:type="dxa"/>
        <w:tblInd w:w="0" w:type="dxa"/>
        <w:tblLayout w:type="autofit"/>
        <w:tblCellMar>
          <w:top w:w="0" w:type="dxa"/>
          <w:left w:w="108" w:type="dxa"/>
          <w:bottom w:w="0" w:type="dxa"/>
          <w:right w:w="108" w:type="dxa"/>
        </w:tblCellMar>
      </w:tblPr>
      <w:tblGrid>
        <w:gridCol w:w="1767"/>
        <w:gridCol w:w="316"/>
        <w:gridCol w:w="317"/>
        <w:gridCol w:w="2935"/>
        <w:gridCol w:w="1388"/>
        <w:gridCol w:w="1388"/>
        <w:gridCol w:w="1203"/>
        <w:gridCol w:w="1163"/>
        <w:gridCol w:w="1176"/>
        <w:gridCol w:w="1123"/>
        <w:gridCol w:w="919"/>
        <w:gridCol w:w="284"/>
      </w:tblGrid>
      <w:tr>
        <w:tblPrEx>
          <w:tblCellMar>
            <w:top w:w="0" w:type="dxa"/>
            <w:left w:w="108" w:type="dxa"/>
            <w:bottom w:w="0" w:type="dxa"/>
            <w:right w:w="108" w:type="dxa"/>
          </w:tblCellMar>
        </w:tblPrEx>
        <w:trPr>
          <w:trHeight w:val="347" w:hRule="atLeast"/>
        </w:trPr>
        <w:tc>
          <w:tcPr>
            <w:tcW w:w="13979" w:type="dxa"/>
            <w:gridSpan w:val="12"/>
            <w:tcBorders>
              <w:top w:val="nil"/>
              <w:left w:val="nil"/>
              <w:bottom w:val="nil"/>
              <w:right w:val="nil"/>
            </w:tcBorders>
            <w:shd w:val="clear" w:color="auto" w:fill="auto"/>
            <w:noWrap/>
            <w:vAlign w:val="bottom"/>
          </w:tcPr>
          <w:p>
            <w:pPr>
              <w:widowControl/>
              <w:spacing w:line="200" w:lineRule="exact"/>
              <w:jc w:val="center"/>
              <w:rPr>
                <w:rFonts w:ascii="Arial" w:hAnsi="Arial" w:cs="Arial"/>
                <w:color w:val="000000"/>
                <w:sz w:val="16"/>
                <w:szCs w:val="16"/>
              </w:rPr>
            </w:pPr>
            <w:r>
              <w:rPr>
                <w:rFonts w:hint="eastAsia" w:ascii="宋体" w:hAnsi="宋体" w:eastAsia="宋体" w:cs="宋体"/>
                <w:color w:val="000000"/>
                <w:kern w:val="0"/>
                <w:sz w:val="16"/>
                <w:szCs w:val="16"/>
                <w:lang w:bidi="ar"/>
              </w:rPr>
              <w:t>收入决算表</w:t>
            </w:r>
          </w:p>
        </w:tc>
      </w:tr>
      <w:tr>
        <w:tblPrEx>
          <w:tblCellMar>
            <w:top w:w="0" w:type="dxa"/>
            <w:left w:w="108" w:type="dxa"/>
            <w:bottom w:w="0" w:type="dxa"/>
            <w:right w:w="108" w:type="dxa"/>
          </w:tblCellMar>
        </w:tblPrEx>
        <w:trPr>
          <w:trHeight w:val="220" w:hRule="atLeast"/>
        </w:trPr>
        <w:tc>
          <w:tcPr>
            <w:tcW w:w="1767"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316"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317"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2935"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388"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388"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20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6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76"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2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203" w:type="dxa"/>
            <w:gridSpan w:val="2"/>
            <w:tcBorders>
              <w:top w:val="nil"/>
              <w:left w:val="nil"/>
              <w:bottom w:val="nil"/>
              <w:right w:val="nil"/>
            </w:tcBorders>
            <w:shd w:val="clear" w:color="auto" w:fill="auto"/>
            <w:noWrap/>
            <w:vAlign w:val="bottom"/>
          </w:tcPr>
          <w:p>
            <w:pPr>
              <w:widowControl/>
              <w:spacing w:line="20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公开02表</w:t>
            </w:r>
          </w:p>
        </w:tc>
      </w:tr>
      <w:tr>
        <w:tblPrEx>
          <w:tblCellMar>
            <w:top w:w="0" w:type="dxa"/>
            <w:left w:w="108" w:type="dxa"/>
            <w:bottom w:w="0" w:type="dxa"/>
            <w:right w:w="108" w:type="dxa"/>
          </w:tblCellMar>
        </w:tblPrEx>
        <w:trPr>
          <w:trHeight w:val="220" w:hRule="atLeast"/>
        </w:trPr>
        <w:tc>
          <w:tcPr>
            <w:tcW w:w="1767" w:type="dxa"/>
            <w:tcBorders>
              <w:top w:val="nil"/>
              <w:left w:val="nil"/>
              <w:bottom w:val="nil"/>
              <w:right w:val="nil"/>
            </w:tcBorders>
            <w:shd w:val="clear" w:color="auto" w:fill="auto"/>
            <w:noWrap/>
            <w:vAlign w:val="bottom"/>
          </w:tcPr>
          <w:p>
            <w:pPr>
              <w:widowControl/>
              <w:spacing w:line="200" w:lineRule="exact"/>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316"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317"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2935"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388"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388"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20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6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76"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123" w:type="dxa"/>
            <w:tcBorders>
              <w:top w:val="nil"/>
              <w:left w:val="nil"/>
              <w:bottom w:val="nil"/>
              <w:right w:val="nil"/>
            </w:tcBorders>
            <w:shd w:val="clear" w:color="auto" w:fill="auto"/>
            <w:noWrap/>
            <w:vAlign w:val="bottom"/>
          </w:tcPr>
          <w:p>
            <w:pPr>
              <w:widowControl/>
              <w:spacing w:line="200" w:lineRule="exact"/>
              <w:rPr>
                <w:rFonts w:ascii="Arial" w:hAnsi="Arial" w:cs="Arial"/>
                <w:color w:val="000000"/>
                <w:sz w:val="16"/>
                <w:szCs w:val="16"/>
              </w:rPr>
            </w:pPr>
          </w:p>
        </w:tc>
        <w:tc>
          <w:tcPr>
            <w:tcW w:w="1203" w:type="dxa"/>
            <w:gridSpan w:val="2"/>
            <w:tcBorders>
              <w:top w:val="nil"/>
              <w:left w:val="nil"/>
              <w:bottom w:val="nil"/>
              <w:right w:val="nil"/>
            </w:tcBorders>
            <w:shd w:val="clear" w:color="auto" w:fill="auto"/>
            <w:noWrap/>
            <w:vAlign w:val="bottom"/>
          </w:tcPr>
          <w:p>
            <w:pPr>
              <w:widowControl/>
              <w:spacing w:line="20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220" w:hRule="atLeast"/>
        </w:trPr>
        <w:tc>
          <w:tcPr>
            <w:tcW w:w="5335"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1388"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本年收入合计</w:t>
            </w:r>
          </w:p>
        </w:tc>
        <w:tc>
          <w:tcPr>
            <w:tcW w:w="1388"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财政拨款收入</w:t>
            </w:r>
          </w:p>
        </w:tc>
        <w:tc>
          <w:tcPr>
            <w:tcW w:w="1203"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上级补助收入</w:t>
            </w:r>
          </w:p>
        </w:tc>
        <w:tc>
          <w:tcPr>
            <w:tcW w:w="1163"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事业收入</w:t>
            </w:r>
          </w:p>
        </w:tc>
        <w:tc>
          <w:tcPr>
            <w:tcW w:w="1176"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经营收入</w:t>
            </w:r>
          </w:p>
        </w:tc>
        <w:tc>
          <w:tcPr>
            <w:tcW w:w="1123"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附属单位上缴收入</w:t>
            </w:r>
          </w:p>
        </w:tc>
        <w:tc>
          <w:tcPr>
            <w:tcW w:w="1203" w:type="dxa"/>
            <w:gridSpan w:val="2"/>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其他收入</w:t>
            </w:r>
          </w:p>
        </w:tc>
      </w:tr>
      <w:tr>
        <w:tblPrEx>
          <w:tblCellMar>
            <w:top w:w="0" w:type="dxa"/>
            <w:left w:w="108" w:type="dxa"/>
            <w:bottom w:w="0" w:type="dxa"/>
            <w:right w:w="108" w:type="dxa"/>
          </w:tblCellMar>
        </w:tblPrEx>
        <w:trPr>
          <w:trHeight w:val="220" w:hRule="atLeast"/>
        </w:trPr>
        <w:tc>
          <w:tcPr>
            <w:tcW w:w="240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功能分类科目编码</w:t>
            </w:r>
          </w:p>
        </w:tc>
        <w:tc>
          <w:tcPr>
            <w:tcW w:w="2935" w:type="dxa"/>
            <w:vMerge w:val="restart"/>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6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76"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2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2935" w:type="dxa"/>
            <w:vMerge w:val="continue"/>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rPr>
                <w:rFonts w:ascii="宋体" w:hAnsi="宋体" w:eastAsia="宋体" w:cs="宋体"/>
                <w:color w:val="000000"/>
                <w:sz w:val="16"/>
                <w:szCs w:val="16"/>
              </w:rPr>
            </w:pP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6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76"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2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2935" w:type="dxa"/>
            <w:vMerge w:val="continue"/>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rPr>
                <w:rFonts w:ascii="宋体" w:hAnsi="宋体" w:eastAsia="宋体" w:cs="宋体"/>
                <w:color w:val="000000"/>
                <w:sz w:val="16"/>
                <w:szCs w:val="16"/>
              </w:rPr>
            </w:pP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388"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6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76"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123" w:type="dxa"/>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c>
          <w:tcPr>
            <w:tcW w:w="1203" w:type="dxa"/>
            <w:gridSpan w:val="2"/>
            <w:vMerge w:val="continue"/>
            <w:tcBorders>
              <w:top w:val="single" w:color="000000" w:sz="4" w:space="0"/>
              <w:left w:val="nil"/>
              <w:bottom w:val="single" w:color="000000" w:sz="4" w:space="0"/>
              <w:right w:val="single" w:color="000000" w:sz="4" w:space="0"/>
            </w:tcBorders>
            <w:shd w:val="clear" w:color="FFFFFF" w:fill="C0C0C0"/>
            <w:vAlign w:val="center"/>
          </w:tcPr>
          <w:p>
            <w:pPr>
              <w:widowControl/>
              <w:spacing w:line="20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5335"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1388"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1388"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203"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163"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c>
          <w:tcPr>
            <w:tcW w:w="1176"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w:t>
            </w:r>
          </w:p>
        </w:tc>
        <w:tc>
          <w:tcPr>
            <w:tcW w:w="1123" w:type="dxa"/>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w:t>
            </w:r>
          </w:p>
        </w:tc>
        <w:tc>
          <w:tcPr>
            <w:tcW w:w="1203" w:type="dxa"/>
            <w:gridSpan w:val="2"/>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7</w:t>
            </w:r>
          </w:p>
        </w:tc>
      </w:tr>
      <w:tr>
        <w:tblPrEx>
          <w:tblCellMar>
            <w:top w:w="0" w:type="dxa"/>
            <w:left w:w="108" w:type="dxa"/>
            <w:bottom w:w="0" w:type="dxa"/>
            <w:right w:w="108" w:type="dxa"/>
          </w:tblCellMar>
        </w:tblPrEx>
        <w:trPr>
          <w:trHeight w:val="220" w:hRule="atLeast"/>
        </w:trPr>
        <w:tc>
          <w:tcPr>
            <w:tcW w:w="5335"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620.43</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620.43</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b/>
                <w:bCs/>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社会保障和就业支出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行政事业单位离退休</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2080502</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事业单位离退休</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2080504</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未归口管理的行政单位离退休</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2080505</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机关事业单位基本养老保险缴费支出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2080506</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机关事业单位职业年金缴费支出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卫生健康支出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行政事业单位医疗</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行政单位医疗</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2101102</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事业单位医疗</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住房保障支出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住房改革支出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2210201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住房公积金</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灾害防治及应急管理支出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应急管理事务</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512.33</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512.33</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2240101</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行政运行</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391.06</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391.06</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2240104</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灾害风险防治</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2240106</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安全监管</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2240107</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安全生产基础</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2240108</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应急救援</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2240109</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应急管理</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2240150</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事业运行</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自然灾害救灾及恢复重建支出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20" w:hRule="atLeast"/>
        </w:trPr>
        <w:tc>
          <w:tcPr>
            <w:tcW w:w="2400" w:type="dxa"/>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2240799</w:t>
            </w:r>
          </w:p>
        </w:tc>
        <w:tc>
          <w:tcPr>
            <w:tcW w:w="2935"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其他自然灾害生活救助支出</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1388"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120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6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76"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123"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203" w:type="dxa"/>
            <w:gridSpan w:val="2"/>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gridAfter w:val="1"/>
          <w:wAfter w:w="284" w:type="dxa"/>
          <w:trHeight w:val="308" w:hRule="atLeast"/>
        </w:trPr>
        <w:tc>
          <w:tcPr>
            <w:tcW w:w="13695" w:type="dxa"/>
            <w:gridSpan w:val="11"/>
            <w:tcBorders>
              <w:top w:val="nil"/>
              <w:left w:val="nil"/>
              <w:bottom w:val="nil"/>
              <w:right w:val="nil"/>
            </w:tcBorders>
            <w:shd w:val="clear" w:color="auto" w:fill="auto"/>
            <w:noWrap/>
            <w:vAlign w:val="center"/>
          </w:tcPr>
          <w:p>
            <w:pPr>
              <w:widowControl/>
              <w:spacing w:line="20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注：本表反映部门本年度取得的各项收入情况。</w:t>
            </w:r>
          </w:p>
        </w:tc>
      </w:tr>
    </w:tbl>
    <w:p>
      <w:pPr>
        <w:spacing w:line="180" w:lineRule="exact"/>
        <w:jc w:val="left"/>
        <w:rPr>
          <w:rFonts w:ascii="仿宋" w:hAnsi="仿宋" w:eastAsia="仿宋" w:cs="仿宋"/>
          <w:sz w:val="28"/>
          <w:szCs w:val="28"/>
        </w:rPr>
      </w:pPr>
    </w:p>
    <w:p>
      <w:pPr>
        <w:numPr>
          <w:ilvl w:val="0"/>
          <w:numId w:val="5"/>
        </w:numPr>
        <w:spacing w:line="180" w:lineRule="exact"/>
        <w:rPr>
          <w:rFonts w:ascii="仿宋" w:hAnsi="仿宋" w:eastAsia="仿宋" w:cs="仿宋"/>
          <w:sz w:val="28"/>
          <w:szCs w:val="28"/>
        </w:rPr>
      </w:pPr>
      <w:r>
        <w:rPr>
          <w:rFonts w:hint="eastAsia" w:ascii="仿宋" w:hAnsi="仿宋" w:eastAsia="仿宋" w:cs="仿宋"/>
          <w:sz w:val="28"/>
          <w:szCs w:val="28"/>
        </w:rPr>
        <w:t>支出决算表</w:t>
      </w:r>
    </w:p>
    <w:tbl>
      <w:tblPr>
        <w:tblStyle w:val="6"/>
        <w:tblW w:w="13335" w:type="dxa"/>
        <w:tblInd w:w="93" w:type="dxa"/>
        <w:tblLayout w:type="autofit"/>
        <w:tblCellMar>
          <w:top w:w="0" w:type="dxa"/>
          <w:left w:w="108" w:type="dxa"/>
          <w:bottom w:w="0" w:type="dxa"/>
          <w:right w:w="108" w:type="dxa"/>
        </w:tblCellMar>
      </w:tblPr>
      <w:tblGrid>
        <w:gridCol w:w="1976"/>
        <w:gridCol w:w="2940"/>
        <w:gridCol w:w="1335"/>
        <w:gridCol w:w="1575"/>
        <w:gridCol w:w="1380"/>
        <w:gridCol w:w="1380"/>
        <w:gridCol w:w="1020"/>
        <w:gridCol w:w="1800"/>
      </w:tblGrid>
      <w:tr>
        <w:tblPrEx>
          <w:tblCellMar>
            <w:top w:w="0" w:type="dxa"/>
            <w:left w:w="108" w:type="dxa"/>
            <w:bottom w:w="0" w:type="dxa"/>
            <w:right w:w="108" w:type="dxa"/>
          </w:tblCellMar>
        </w:tblPrEx>
        <w:trPr>
          <w:trHeight w:val="270" w:hRule="atLeast"/>
        </w:trPr>
        <w:tc>
          <w:tcPr>
            <w:tcW w:w="1905"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294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335"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575" w:type="dxa"/>
            <w:tcBorders>
              <w:top w:val="nil"/>
              <w:left w:val="nil"/>
              <w:bottom w:val="nil"/>
              <w:right w:val="nil"/>
            </w:tcBorders>
            <w:shd w:val="clear" w:color="auto" w:fill="auto"/>
            <w:noWrap/>
            <w:vAlign w:val="bottom"/>
          </w:tcPr>
          <w:p>
            <w:pPr>
              <w:widowControl/>
              <w:spacing w:line="180" w:lineRule="exact"/>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支出决算表</w:t>
            </w:r>
          </w:p>
        </w:tc>
        <w:tc>
          <w:tcPr>
            <w:tcW w:w="138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38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02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nil"/>
              <w:bottom w:val="nil"/>
              <w:right w:val="nil"/>
            </w:tcBorders>
            <w:shd w:val="clear" w:color="auto" w:fill="auto"/>
            <w:noWrap/>
            <w:vAlign w:val="bottom"/>
          </w:tcPr>
          <w:p>
            <w:pPr>
              <w:widowControl/>
              <w:spacing w:line="180" w:lineRule="exact"/>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widowControl/>
              <w:spacing w:line="18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90" w:hRule="atLeast"/>
        </w:trPr>
        <w:tc>
          <w:tcPr>
            <w:tcW w:w="0" w:type="auto"/>
            <w:gridSpan w:val="2"/>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1335"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本年支出合计</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基本支出</w:t>
            </w:r>
          </w:p>
        </w:tc>
        <w:tc>
          <w:tcPr>
            <w:tcW w:w="138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项目支出</w:t>
            </w:r>
          </w:p>
        </w:tc>
        <w:tc>
          <w:tcPr>
            <w:tcW w:w="138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上缴上级支出</w:t>
            </w:r>
          </w:p>
        </w:tc>
        <w:tc>
          <w:tcPr>
            <w:tcW w:w="102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经营支出</w:t>
            </w:r>
          </w:p>
        </w:tc>
        <w:tc>
          <w:tcPr>
            <w:tcW w:w="180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对附属单位补助支出</w:t>
            </w:r>
          </w:p>
        </w:tc>
      </w:tr>
      <w:tr>
        <w:tblPrEx>
          <w:tblCellMar>
            <w:top w:w="0" w:type="dxa"/>
            <w:left w:w="108" w:type="dxa"/>
            <w:bottom w:w="0" w:type="dxa"/>
            <w:right w:w="108" w:type="dxa"/>
          </w:tblCellMar>
        </w:tblPrEx>
        <w:trPr>
          <w:trHeight w:val="190" w:hRule="atLeast"/>
        </w:trPr>
        <w:tc>
          <w:tcPr>
            <w:tcW w:w="1905"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功能分类科目编码</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133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02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80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1905" w:type="dxa"/>
            <w:vMerge w:val="continue"/>
            <w:tcBorders>
              <w:top w:val="nil"/>
              <w:left w:val="single" w:color="000000" w:sz="4" w:space="0"/>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spacing w:line="180" w:lineRule="exact"/>
              <w:jc w:val="center"/>
              <w:rPr>
                <w:rFonts w:ascii="宋体" w:hAnsi="宋体" w:eastAsia="宋体" w:cs="宋体"/>
                <w:color w:val="000000"/>
                <w:sz w:val="16"/>
                <w:szCs w:val="16"/>
              </w:rPr>
            </w:pPr>
          </w:p>
        </w:tc>
        <w:tc>
          <w:tcPr>
            <w:tcW w:w="133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02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80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1905" w:type="dxa"/>
            <w:vMerge w:val="continue"/>
            <w:tcBorders>
              <w:top w:val="nil"/>
              <w:left w:val="single" w:color="000000" w:sz="4" w:space="0"/>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spacing w:line="180" w:lineRule="exact"/>
              <w:jc w:val="center"/>
              <w:rPr>
                <w:rFonts w:ascii="宋体" w:hAnsi="宋体" w:eastAsia="宋体" w:cs="宋体"/>
                <w:color w:val="000000"/>
                <w:sz w:val="16"/>
                <w:szCs w:val="16"/>
              </w:rPr>
            </w:pPr>
          </w:p>
        </w:tc>
        <w:tc>
          <w:tcPr>
            <w:tcW w:w="133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8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02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800" w:type="dxa"/>
            <w:vMerge w:val="continue"/>
            <w:tcBorders>
              <w:top w:val="single" w:color="000000" w:sz="4" w:space="0"/>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2"/>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1335"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1575"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380"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380"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c>
          <w:tcPr>
            <w:tcW w:w="1020"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w:t>
            </w:r>
          </w:p>
        </w:tc>
        <w:tc>
          <w:tcPr>
            <w:tcW w:w="1800" w:type="dxa"/>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w:t>
            </w:r>
          </w:p>
        </w:tc>
      </w:tr>
      <w:tr>
        <w:tblPrEx>
          <w:tblCellMar>
            <w:top w:w="0" w:type="dxa"/>
            <w:left w:w="108" w:type="dxa"/>
            <w:bottom w:w="0" w:type="dxa"/>
            <w:right w:w="108" w:type="dxa"/>
          </w:tblCellMar>
        </w:tblPrEx>
        <w:trPr>
          <w:trHeight w:val="190" w:hRule="atLeast"/>
        </w:trPr>
        <w:tc>
          <w:tcPr>
            <w:tcW w:w="0" w:type="auto"/>
            <w:gridSpan w:val="2"/>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620.43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511.01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109.41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未归口管理的行政单位离退休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机关事业单位职业年金缴费支出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444.22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109.41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512.33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444.22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68.11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391.06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386.66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灾害风险防治</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安全监管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安全生产基础</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应急救援</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应急管理</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2240150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事业运行</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2240799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其他自然灾害生活救助支出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bl>
    <w:p>
      <w:pPr>
        <w:spacing w:line="180" w:lineRule="exact"/>
        <w:rPr>
          <w:rFonts w:ascii="仿宋" w:hAnsi="仿宋" w:eastAsia="仿宋" w:cs="仿宋"/>
          <w:sz w:val="28"/>
          <w:szCs w:val="28"/>
        </w:rPr>
      </w:pPr>
    </w:p>
    <w:tbl>
      <w:tblPr>
        <w:tblStyle w:val="6"/>
        <w:tblW w:w="17366" w:type="dxa"/>
        <w:tblInd w:w="93" w:type="dxa"/>
        <w:tblLayout w:type="autofit"/>
        <w:tblCellMar>
          <w:top w:w="0" w:type="dxa"/>
          <w:left w:w="108" w:type="dxa"/>
          <w:bottom w:w="0" w:type="dxa"/>
          <w:right w:w="108" w:type="dxa"/>
        </w:tblCellMar>
      </w:tblPr>
      <w:tblGrid>
        <w:gridCol w:w="17366"/>
      </w:tblGrid>
      <w:tr>
        <w:tblPrEx>
          <w:tblCellMar>
            <w:top w:w="0" w:type="dxa"/>
            <w:left w:w="108" w:type="dxa"/>
            <w:bottom w:w="0" w:type="dxa"/>
            <w:right w:w="108" w:type="dxa"/>
          </w:tblCellMar>
        </w:tblPrEx>
        <w:trPr>
          <w:trHeight w:val="308" w:hRule="atLeast"/>
        </w:trPr>
        <w:tc>
          <w:tcPr>
            <w:tcW w:w="15720" w:type="dxa"/>
            <w:tcBorders>
              <w:top w:val="nil"/>
              <w:left w:val="nil"/>
              <w:bottom w:val="nil"/>
              <w:right w:val="nil"/>
            </w:tcBorders>
            <w:shd w:val="clear" w:color="auto" w:fill="auto"/>
            <w:noWrap/>
            <w:vAlign w:val="center"/>
          </w:tcPr>
          <w:p>
            <w:pPr>
              <w:widowControl/>
              <w:spacing w:line="18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注：本表反映部门本年度各项支出情况。</w:t>
            </w:r>
          </w:p>
        </w:tc>
      </w:tr>
    </w:tbl>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numPr>
          <w:ilvl w:val="0"/>
          <w:numId w:val="5"/>
        </w:numPr>
        <w:rPr>
          <w:rFonts w:ascii="仿宋" w:hAnsi="仿宋" w:eastAsia="仿宋" w:cs="仿宋"/>
          <w:sz w:val="28"/>
          <w:szCs w:val="28"/>
        </w:rPr>
      </w:pPr>
      <w:r>
        <w:rPr>
          <w:rFonts w:hint="eastAsia" w:ascii="仿宋" w:hAnsi="仿宋" w:eastAsia="仿宋" w:cs="仿宋"/>
          <w:sz w:val="28"/>
          <w:szCs w:val="28"/>
        </w:rPr>
        <w:t>财政拨款收入支出决算总表</w:t>
      </w:r>
    </w:p>
    <w:tbl>
      <w:tblPr>
        <w:tblStyle w:val="6"/>
        <w:tblW w:w="14790" w:type="dxa"/>
        <w:tblInd w:w="93" w:type="dxa"/>
        <w:tblLayout w:type="autofit"/>
        <w:tblCellMar>
          <w:top w:w="0" w:type="dxa"/>
          <w:left w:w="108" w:type="dxa"/>
          <w:bottom w:w="0" w:type="dxa"/>
          <w:right w:w="108" w:type="dxa"/>
        </w:tblCellMar>
      </w:tblPr>
      <w:tblGrid>
        <w:gridCol w:w="3270"/>
        <w:gridCol w:w="570"/>
        <w:gridCol w:w="1680"/>
        <w:gridCol w:w="3660"/>
        <w:gridCol w:w="570"/>
        <w:gridCol w:w="1680"/>
        <w:gridCol w:w="1680"/>
        <w:gridCol w:w="1680"/>
      </w:tblGrid>
      <w:tr>
        <w:tblPrEx>
          <w:tblCellMar>
            <w:top w:w="0" w:type="dxa"/>
            <w:left w:w="108" w:type="dxa"/>
            <w:bottom w:w="0" w:type="dxa"/>
            <w:right w:w="108" w:type="dxa"/>
          </w:tblCellMar>
        </w:tblPrEx>
        <w:trPr>
          <w:trHeight w:val="190" w:hRule="atLeast"/>
        </w:trPr>
        <w:tc>
          <w:tcPr>
            <w:tcW w:w="327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57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3660" w:type="dxa"/>
            <w:tcBorders>
              <w:top w:val="nil"/>
              <w:left w:val="nil"/>
              <w:bottom w:val="nil"/>
              <w:right w:val="nil"/>
            </w:tcBorders>
            <w:shd w:val="clear" w:color="auto" w:fill="auto"/>
            <w:noWrap/>
            <w:vAlign w:val="bottom"/>
          </w:tcPr>
          <w:p>
            <w:pPr>
              <w:widowControl/>
              <w:spacing w:line="200" w:lineRule="exact"/>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财政拨款收入支出决算总表</w:t>
            </w:r>
          </w:p>
        </w:tc>
        <w:tc>
          <w:tcPr>
            <w:tcW w:w="57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nil"/>
              <w:bottom w:val="nil"/>
              <w:right w:val="nil"/>
            </w:tcBorders>
            <w:shd w:val="clear" w:color="auto" w:fill="auto"/>
            <w:noWrap/>
            <w:vAlign w:val="bottom"/>
          </w:tcPr>
          <w:p>
            <w:pPr>
              <w:widowControl/>
              <w:spacing w:line="200" w:lineRule="exact"/>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57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366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57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spacing w:line="200" w:lineRule="exact"/>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widowControl/>
              <w:spacing w:line="20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90" w:hRule="atLeast"/>
        </w:trPr>
        <w:tc>
          <w:tcPr>
            <w:tcW w:w="5520"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收     入</w:t>
            </w:r>
          </w:p>
        </w:tc>
        <w:tc>
          <w:tcPr>
            <w:tcW w:w="9270" w:type="dxa"/>
            <w:gridSpan w:val="5"/>
            <w:tcBorders>
              <w:top w:val="single" w:color="000000" w:sz="4" w:space="0"/>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支     出</w:t>
            </w:r>
          </w:p>
        </w:tc>
      </w:tr>
      <w:tr>
        <w:tblPrEx>
          <w:tblCellMar>
            <w:top w:w="0" w:type="dxa"/>
            <w:left w:w="108" w:type="dxa"/>
            <w:bottom w:w="0" w:type="dxa"/>
            <w:right w:w="108" w:type="dxa"/>
          </w:tblCellMar>
        </w:tblPrEx>
        <w:trPr>
          <w:trHeight w:val="200" w:hRule="atLeast"/>
        </w:trPr>
        <w:tc>
          <w:tcPr>
            <w:tcW w:w="3270"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57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行次</w:t>
            </w:r>
          </w:p>
        </w:tc>
        <w:tc>
          <w:tcPr>
            <w:tcW w:w="168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w:t>
            </w:r>
          </w:p>
        </w:tc>
        <w:tc>
          <w:tcPr>
            <w:tcW w:w="366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57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行次</w:t>
            </w:r>
          </w:p>
        </w:tc>
        <w:tc>
          <w:tcPr>
            <w:tcW w:w="1680" w:type="dxa"/>
            <w:vMerge w:val="restart"/>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168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一般公共预算财政拨款</w:t>
            </w:r>
          </w:p>
        </w:tc>
        <w:tc>
          <w:tcPr>
            <w:tcW w:w="1680" w:type="dxa"/>
            <w:vMerge w:val="restart"/>
            <w:tcBorders>
              <w:top w:val="nil"/>
              <w:left w:val="nil"/>
              <w:bottom w:val="single" w:color="000000" w:sz="4" w:space="0"/>
              <w:right w:val="single" w:color="000000" w:sz="4" w:space="0"/>
            </w:tcBorders>
            <w:shd w:val="clear" w:color="FFFFFF" w:fill="C0C0C0"/>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政府性基金预算财政拨款</w:t>
            </w:r>
          </w:p>
        </w:tc>
      </w:tr>
      <w:tr>
        <w:tblPrEx>
          <w:tblCellMar>
            <w:top w:w="0" w:type="dxa"/>
            <w:left w:w="108" w:type="dxa"/>
            <w:bottom w:w="0" w:type="dxa"/>
            <w:right w:w="108" w:type="dxa"/>
          </w:tblCellMar>
        </w:tblPrEx>
        <w:trPr>
          <w:trHeight w:val="200" w:hRule="atLeast"/>
        </w:trPr>
        <w:tc>
          <w:tcPr>
            <w:tcW w:w="3270" w:type="dxa"/>
            <w:vMerge w:val="continue"/>
            <w:tcBorders>
              <w:top w:val="nil"/>
              <w:left w:val="single" w:color="000000" w:sz="4" w:space="0"/>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57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168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366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57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1680" w:type="dxa"/>
            <w:vMerge w:val="continue"/>
            <w:tcBorders>
              <w:top w:val="nil"/>
              <w:left w:val="nil"/>
              <w:bottom w:val="single" w:color="000000" w:sz="4" w:space="0"/>
              <w:right w:val="single" w:color="000000" w:sz="4" w:space="0"/>
            </w:tcBorders>
            <w:shd w:val="clear" w:color="FFFFFF" w:fill="C0C0C0"/>
            <w:noWrap/>
            <w:vAlign w:val="center"/>
          </w:tcPr>
          <w:p>
            <w:pPr>
              <w:spacing w:line="200" w:lineRule="exact"/>
              <w:jc w:val="center"/>
              <w:rPr>
                <w:rFonts w:ascii="宋体" w:hAnsi="宋体" w:eastAsia="宋体" w:cs="宋体"/>
                <w:color w:val="000000"/>
                <w:sz w:val="16"/>
                <w:szCs w:val="16"/>
              </w:rPr>
            </w:pPr>
          </w:p>
        </w:tc>
        <w:tc>
          <w:tcPr>
            <w:tcW w:w="168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c>
          <w:tcPr>
            <w:tcW w:w="1680" w:type="dxa"/>
            <w:vMerge w:val="continue"/>
            <w:tcBorders>
              <w:top w:val="nil"/>
              <w:left w:val="nil"/>
              <w:bottom w:val="single" w:color="000000" w:sz="4" w:space="0"/>
              <w:right w:val="single" w:color="000000" w:sz="4" w:space="0"/>
            </w:tcBorders>
            <w:shd w:val="clear" w:color="FFFFFF" w:fill="C0C0C0"/>
            <w:vAlign w:val="center"/>
          </w:tcPr>
          <w:p>
            <w:pPr>
              <w:spacing w:line="20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570" w:type="dxa"/>
            <w:tcBorders>
              <w:top w:val="nil"/>
              <w:left w:val="nil"/>
              <w:bottom w:val="single" w:color="000000" w:sz="4" w:space="0"/>
              <w:right w:val="single" w:color="000000" w:sz="4" w:space="0"/>
            </w:tcBorders>
            <w:shd w:val="clear" w:color="FFFFFF" w:fill="C0C0C0"/>
            <w:noWrap/>
            <w:vAlign w:val="center"/>
          </w:tcPr>
          <w:p>
            <w:pPr>
              <w:spacing w:line="200" w:lineRule="exact"/>
              <w:jc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570" w:type="dxa"/>
            <w:tcBorders>
              <w:top w:val="nil"/>
              <w:left w:val="nil"/>
              <w:bottom w:val="single" w:color="000000" w:sz="4" w:space="0"/>
              <w:right w:val="single" w:color="000000" w:sz="4" w:space="0"/>
            </w:tcBorders>
            <w:shd w:val="clear" w:color="FFFFFF" w:fill="C0C0C0"/>
            <w:noWrap/>
            <w:vAlign w:val="center"/>
          </w:tcPr>
          <w:p>
            <w:pPr>
              <w:spacing w:line="200" w:lineRule="exact"/>
              <w:jc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68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68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一、一般公共预算财政拨款</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一、一般公共服务支出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二、政府性基金预算财政拨款</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二、外交支出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三、国防支出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四、公共安全支出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五、教育支出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34</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六、科学技术支出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35</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7</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七、文化旅游体育与传媒支出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8</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八、社会保障和就业支出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37</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九、卫生健康支出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38</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十、节能环保支出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11</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十一、城乡社区支出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40</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12</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十二、农林水支出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13</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十三、交通运输支出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14</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十四、资源勘探信息等支出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15</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十五、商业服务业等支出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16</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十六、金融支出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45</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17</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十七、援助其他地区支出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46</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18</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十八、自然资源海洋气象等支出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十九、住房保障支出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48</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二十、粮油物资储备支出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49</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二十一、灾害防治及应急管理支出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50</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二十二、其他支出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51</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23</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二十四、债务付息支出</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52</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本年收入合计</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本年支出合计</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年初财政拨款结转和结余</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25</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年末财政拨款结转和结余</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54</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7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一、一般公共预算财政拨款</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26</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二、政府性基金预算财政拨款</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27</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56</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28</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3660" w:type="dxa"/>
            <w:tcBorders>
              <w:top w:val="nil"/>
              <w:left w:val="nil"/>
              <w:bottom w:val="single" w:color="000000" w:sz="4" w:space="0"/>
              <w:right w:val="single" w:color="000000" w:sz="4" w:space="0"/>
            </w:tcBorders>
            <w:shd w:val="clear" w:color="FFFFFF" w:fill="C0C0C0"/>
            <w:noWrap/>
            <w:vAlign w:val="center"/>
          </w:tcPr>
          <w:p>
            <w:pPr>
              <w:spacing w:line="200" w:lineRule="exact"/>
              <w:jc w:val="left"/>
              <w:rPr>
                <w:rFonts w:ascii="宋体" w:hAnsi="宋体" w:eastAsia="宋体" w:cs="宋体"/>
                <w:color w:val="000000"/>
                <w:sz w:val="16"/>
                <w:szCs w:val="16"/>
              </w:rPr>
            </w:pP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w:t>
            </w: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spacing w:line="20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3270"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总计</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29</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366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总计</w:t>
            </w:r>
          </w:p>
        </w:tc>
        <w:tc>
          <w:tcPr>
            <w:tcW w:w="570" w:type="dxa"/>
            <w:tcBorders>
              <w:top w:val="nil"/>
              <w:left w:val="nil"/>
              <w:bottom w:val="single" w:color="000000" w:sz="4" w:space="0"/>
              <w:right w:val="single" w:color="000000" w:sz="4" w:space="0"/>
            </w:tcBorders>
            <w:shd w:val="clear" w:color="FFFFFF" w:fill="C0C0C0"/>
            <w:noWrap/>
            <w:vAlign w:val="center"/>
          </w:tcPr>
          <w:p>
            <w:pPr>
              <w:widowControl/>
              <w:spacing w:line="20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58</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620.43</w:t>
            </w:r>
          </w:p>
        </w:tc>
        <w:tc>
          <w:tcPr>
            <w:tcW w:w="1680" w:type="dxa"/>
            <w:tcBorders>
              <w:top w:val="nil"/>
              <w:left w:val="nil"/>
              <w:bottom w:val="single" w:color="000000" w:sz="4" w:space="0"/>
              <w:right w:val="single" w:color="000000" w:sz="4" w:space="0"/>
            </w:tcBorders>
            <w:shd w:val="clear" w:color="auto" w:fill="auto"/>
            <w:noWrap/>
            <w:vAlign w:val="center"/>
          </w:tcPr>
          <w:p>
            <w:pPr>
              <w:widowControl/>
              <w:spacing w:line="20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308" w:hRule="atLeast"/>
        </w:trPr>
        <w:tc>
          <w:tcPr>
            <w:tcW w:w="14790" w:type="dxa"/>
            <w:gridSpan w:val="8"/>
            <w:tcBorders>
              <w:top w:val="nil"/>
              <w:left w:val="nil"/>
              <w:bottom w:val="nil"/>
              <w:right w:val="nil"/>
            </w:tcBorders>
            <w:shd w:val="clear" w:color="auto" w:fill="auto"/>
            <w:noWrap/>
            <w:vAlign w:val="center"/>
          </w:tcPr>
          <w:p>
            <w:pPr>
              <w:widowControl/>
              <w:spacing w:line="20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注：本表反映部门本年度一般公共预算财政拨款和政府性基金预算财政拨款的总收支和年末结转结余情况。</w:t>
            </w:r>
          </w:p>
        </w:tc>
      </w:tr>
    </w:tbl>
    <w:p>
      <w:pPr>
        <w:rPr>
          <w:rFonts w:ascii="仿宋" w:hAnsi="仿宋" w:eastAsia="仿宋" w:cs="仿宋"/>
          <w:sz w:val="28"/>
          <w:szCs w:val="28"/>
        </w:rPr>
      </w:pPr>
    </w:p>
    <w:p>
      <w:pPr>
        <w:rPr>
          <w:rFonts w:ascii="仿宋" w:hAnsi="仿宋" w:eastAsia="仿宋" w:cs="仿宋"/>
          <w:sz w:val="28"/>
          <w:szCs w:val="28"/>
        </w:rPr>
      </w:pPr>
    </w:p>
    <w:p>
      <w:pPr>
        <w:numPr>
          <w:ilvl w:val="0"/>
          <w:numId w:val="5"/>
        </w:numPr>
        <w:rPr>
          <w:rFonts w:ascii="仿宋" w:hAnsi="仿宋" w:eastAsia="仿宋" w:cs="仿宋"/>
          <w:sz w:val="28"/>
          <w:szCs w:val="28"/>
        </w:rPr>
      </w:pPr>
      <w:r>
        <w:rPr>
          <w:rFonts w:hint="eastAsia" w:ascii="仿宋" w:hAnsi="仿宋" w:eastAsia="仿宋" w:cs="仿宋"/>
          <w:sz w:val="28"/>
          <w:szCs w:val="28"/>
        </w:rPr>
        <w:t>一般公共预算财政拨款支出决算表</w:t>
      </w:r>
    </w:p>
    <w:tbl>
      <w:tblPr>
        <w:tblStyle w:val="6"/>
        <w:tblW w:w="12630" w:type="dxa"/>
        <w:tblInd w:w="93" w:type="dxa"/>
        <w:tblLayout w:type="autofit"/>
        <w:tblCellMar>
          <w:top w:w="0" w:type="dxa"/>
          <w:left w:w="108" w:type="dxa"/>
          <w:bottom w:w="0" w:type="dxa"/>
          <w:right w:w="108" w:type="dxa"/>
        </w:tblCellMar>
      </w:tblPr>
      <w:tblGrid>
        <w:gridCol w:w="1935"/>
        <w:gridCol w:w="327"/>
        <w:gridCol w:w="327"/>
        <w:gridCol w:w="4122"/>
        <w:gridCol w:w="2320"/>
        <w:gridCol w:w="2188"/>
        <w:gridCol w:w="2760"/>
      </w:tblGrid>
      <w:tr>
        <w:tblPrEx>
          <w:tblCellMar>
            <w:top w:w="0" w:type="dxa"/>
            <w:left w:w="108" w:type="dxa"/>
            <w:bottom w:w="0" w:type="dxa"/>
            <w:right w:w="108" w:type="dxa"/>
          </w:tblCellMar>
        </w:tblPrEx>
        <w:trPr>
          <w:trHeight w:val="190" w:hRule="atLeast"/>
        </w:trPr>
        <w:tc>
          <w:tcPr>
            <w:tcW w:w="330"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c>
          <w:tcPr>
            <w:tcW w:w="330"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c>
          <w:tcPr>
            <w:tcW w:w="330"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c>
          <w:tcPr>
            <w:tcW w:w="4215"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c>
          <w:tcPr>
            <w:tcW w:w="2370" w:type="dxa"/>
            <w:tcBorders>
              <w:top w:val="nil"/>
              <w:left w:val="nil"/>
              <w:bottom w:val="nil"/>
              <w:right w:val="nil"/>
            </w:tcBorders>
            <w:shd w:val="clear" w:color="auto" w:fill="auto"/>
            <w:noWrap/>
            <w:vAlign w:val="bottom"/>
          </w:tcPr>
          <w:p>
            <w:pPr>
              <w:widowControl/>
              <w:spacing w:line="180" w:lineRule="exact"/>
              <w:jc w:val="center"/>
              <w:textAlignment w:val="bottom"/>
              <w:rPr>
                <w:rFonts w:ascii="宋体" w:hAnsi="宋体" w:eastAsia="宋体" w:cs="宋体"/>
                <w:color w:val="000000"/>
                <w:sz w:val="12"/>
                <w:szCs w:val="12"/>
              </w:rPr>
            </w:pPr>
            <w:r>
              <w:rPr>
                <w:rFonts w:hint="eastAsia" w:ascii="宋体" w:hAnsi="宋体" w:eastAsia="宋体" w:cs="宋体"/>
                <w:color w:val="000000"/>
                <w:kern w:val="0"/>
                <w:sz w:val="12"/>
                <w:szCs w:val="12"/>
                <w:lang w:bidi="ar"/>
              </w:rPr>
              <w:t>一般公共预算财政拨款支出决算表</w:t>
            </w:r>
          </w:p>
        </w:tc>
        <w:tc>
          <w:tcPr>
            <w:tcW w:w="2235"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c>
          <w:tcPr>
            <w:tcW w:w="2820" w:type="dxa"/>
            <w:tcBorders>
              <w:top w:val="nil"/>
              <w:left w:val="nil"/>
              <w:bottom w:val="nil"/>
              <w:right w:val="nil"/>
            </w:tcBorders>
            <w:shd w:val="clear" w:color="auto" w:fill="auto"/>
            <w:noWrap/>
            <w:vAlign w:val="bottom"/>
          </w:tcPr>
          <w:p>
            <w:pPr>
              <w:spacing w:line="180" w:lineRule="exact"/>
              <w:rPr>
                <w:rFonts w:ascii="Arial" w:hAnsi="Arial" w:cs="Arial"/>
                <w:color w:val="000000"/>
                <w:sz w:val="12"/>
                <w:szCs w:val="12"/>
              </w:rPr>
            </w:pPr>
          </w:p>
        </w:tc>
      </w:tr>
      <w:tr>
        <w:tblPrEx>
          <w:tblCellMar>
            <w:top w:w="0" w:type="dxa"/>
            <w:left w:w="108" w:type="dxa"/>
            <w:bottom w:w="0" w:type="dxa"/>
            <w:right w:w="108" w:type="dxa"/>
          </w:tblCellMar>
        </w:tblPrEx>
        <w:trPr>
          <w:trHeight w:val="190" w:hRule="atLeast"/>
        </w:trPr>
        <w:tc>
          <w:tcPr>
            <w:tcW w:w="0" w:type="auto"/>
            <w:tcBorders>
              <w:top w:val="nil"/>
              <w:left w:val="nil"/>
              <w:bottom w:val="nil"/>
              <w:right w:val="nil"/>
            </w:tcBorders>
            <w:shd w:val="clear" w:color="auto" w:fill="auto"/>
            <w:noWrap/>
            <w:vAlign w:val="bottom"/>
          </w:tcPr>
          <w:p>
            <w:pPr>
              <w:widowControl/>
              <w:spacing w:line="180" w:lineRule="exact"/>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0" w:type="auto"/>
            <w:tcBorders>
              <w:top w:val="nil"/>
              <w:left w:val="nil"/>
              <w:bottom w:val="nil"/>
              <w:right w:val="nil"/>
            </w:tcBorders>
            <w:shd w:val="clear" w:color="auto" w:fill="auto"/>
            <w:noWrap/>
            <w:vAlign w:val="bottom"/>
          </w:tcPr>
          <w:p>
            <w:pPr>
              <w:widowControl/>
              <w:spacing w:line="18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9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7425" w:type="dxa"/>
            <w:gridSpan w:val="3"/>
            <w:tcBorders>
              <w:top w:val="single" w:color="000000" w:sz="4" w:space="0"/>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本年支出</w:t>
            </w:r>
          </w:p>
        </w:tc>
      </w:tr>
      <w:tr>
        <w:tblPrEx>
          <w:tblCellMar>
            <w:top w:w="0" w:type="dxa"/>
            <w:left w:w="108" w:type="dxa"/>
            <w:bottom w:w="0" w:type="dxa"/>
            <w:right w:w="108" w:type="dxa"/>
          </w:tblCellMar>
        </w:tblPrEx>
        <w:trPr>
          <w:trHeight w:val="190" w:hRule="atLeast"/>
        </w:trPr>
        <w:tc>
          <w:tcPr>
            <w:tcW w:w="990"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功能分类科目编码</w:t>
            </w:r>
          </w:p>
        </w:tc>
        <w:tc>
          <w:tcPr>
            <w:tcW w:w="0" w:type="auto"/>
            <w:vMerge w:val="restart"/>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2370"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小计</w:t>
            </w:r>
          </w:p>
        </w:tc>
        <w:tc>
          <w:tcPr>
            <w:tcW w:w="2235"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基本支出</w:t>
            </w:r>
          </w:p>
        </w:tc>
        <w:tc>
          <w:tcPr>
            <w:tcW w:w="2820"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项目支出</w:t>
            </w:r>
          </w:p>
        </w:tc>
      </w:tr>
      <w:tr>
        <w:trPr>
          <w:trHeight w:val="190" w:hRule="atLeast"/>
        </w:trPr>
        <w:tc>
          <w:tcPr>
            <w:tcW w:w="99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spacing w:line="180" w:lineRule="exact"/>
              <w:jc w:val="center"/>
              <w:rPr>
                <w:rFonts w:ascii="宋体" w:hAnsi="宋体" w:eastAsia="宋体" w:cs="宋体"/>
                <w:color w:val="000000"/>
                <w:sz w:val="16"/>
                <w:szCs w:val="16"/>
              </w:rPr>
            </w:pPr>
          </w:p>
        </w:tc>
        <w:tc>
          <w:tcPr>
            <w:tcW w:w="2370"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235"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820"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990"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0" w:type="auto"/>
            <w:vMerge w:val="continue"/>
            <w:tcBorders>
              <w:top w:val="nil"/>
              <w:left w:val="nil"/>
              <w:bottom w:val="single" w:color="000000" w:sz="4" w:space="0"/>
              <w:right w:val="single" w:color="000000" w:sz="4" w:space="0"/>
            </w:tcBorders>
            <w:shd w:val="clear" w:color="FFFFFF" w:fill="C0C0C0"/>
            <w:noWrap/>
            <w:vAlign w:val="center"/>
          </w:tcPr>
          <w:p>
            <w:pPr>
              <w:spacing w:line="180" w:lineRule="exact"/>
              <w:jc w:val="center"/>
              <w:rPr>
                <w:rFonts w:ascii="宋体" w:hAnsi="宋体" w:eastAsia="宋体" w:cs="宋体"/>
                <w:color w:val="000000"/>
                <w:sz w:val="16"/>
                <w:szCs w:val="16"/>
              </w:rPr>
            </w:pPr>
          </w:p>
        </w:tc>
        <w:tc>
          <w:tcPr>
            <w:tcW w:w="2370"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235"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820"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0" w:type="auto"/>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0" w:type="auto"/>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0" w:type="auto"/>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r>
      <w:tr>
        <w:tblPrEx>
          <w:tblCellMar>
            <w:top w:w="0" w:type="dxa"/>
            <w:left w:w="108" w:type="dxa"/>
            <w:bottom w:w="0" w:type="dxa"/>
            <w:right w:w="108" w:type="dxa"/>
          </w:tblCellMar>
        </w:tblPrEx>
        <w:trPr>
          <w:trHeight w:val="190" w:hRule="atLeast"/>
        </w:trPr>
        <w:tc>
          <w:tcPr>
            <w:tcW w:w="0" w:type="auto"/>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620.43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511.01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b/>
                <w:bCs/>
                <w:color w:val="000000"/>
                <w:sz w:val="16"/>
                <w:szCs w:val="16"/>
              </w:rPr>
            </w:pPr>
            <w:r>
              <w:rPr>
                <w:rFonts w:hint="eastAsia" w:ascii="宋体" w:hAnsi="宋体" w:eastAsia="宋体" w:cs="宋体"/>
                <w:b/>
                <w:bCs/>
                <w:color w:val="000000"/>
                <w:kern w:val="0"/>
                <w:sz w:val="16"/>
                <w:szCs w:val="16"/>
                <w:lang w:bidi="ar"/>
              </w:rPr>
              <w:t>109.41</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社会保障和就业支出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36.97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未归口管理的行政单位离退休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2080505</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机关事业单位基本养老保险缴费支出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2080506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机关事业单位职业年金缴费支出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卫生健康支出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行政事业单位医疗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9.88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2101102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事业单位医疗</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住房保障支出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住房改革支出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2210201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住房公积金</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灾害防治及应急管理支出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553.63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444.22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109.41</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应急管理事务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512.33</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444.22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68.11</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2240101</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行政运行</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391.06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386.66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4.40</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2240104</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灾害风险防治</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安全监管</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2.09</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安全生产基础</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47.00</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2240108</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应急救援</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2240109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应急管理</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9.62</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2240150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事业运行</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57.56</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235"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自然灾害救灾及恢复重建支出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r>
      <w:tr>
        <w:tblPrEx>
          <w:tblCellMar>
            <w:top w:w="0" w:type="dxa"/>
            <w:left w:w="108" w:type="dxa"/>
            <w:bottom w:w="0" w:type="dxa"/>
            <w:right w:w="108" w:type="dxa"/>
          </w:tblCellMar>
        </w:tblPrEx>
        <w:trPr>
          <w:trHeight w:val="190" w:hRule="atLeast"/>
        </w:trPr>
        <w:tc>
          <w:tcPr>
            <w:tcW w:w="0" w:type="auto"/>
            <w:gridSpan w:val="3"/>
            <w:tcBorders>
              <w:top w:val="nil"/>
              <w:left w:val="single" w:color="000000" w:sz="4" w:space="0"/>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2240799</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其他自然灾害生活救助支出</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0" w:type="auto"/>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41.30</w:t>
            </w:r>
          </w:p>
        </w:tc>
      </w:tr>
    </w:tbl>
    <w:p>
      <w:pPr>
        <w:spacing w:line="180" w:lineRule="exact"/>
        <w:rPr>
          <w:rFonts w:ascii="仿宋" w:hAnsi="仿宋" w:eastAsia="仿宋" w:cs="仿宋"/>
          <w:sz w:val="28"/>
          <w:szCs w:val="28"/>
        </w:rPr>
      </w:pPr>
    </w:p>
    <w:tbl>
      <w:tblPr>
        <w:tblStyle w:val="6"/>
        <w:tblW w:w="15671" w:type="dxa"/>
        <w:tblInd w:w="93" w:type="dxa"/>
        <w:tblLayout w:type="autofit"/>
        <w:tblCellMar>
          <w:top w:w="0" w:type="dxa"/>
          <w:left w:w="108" w:type="dxa"/>
          <w:bottom w:w="0" w:type="dxa"/>
          <w:right w:w="108" w:type="dxa"/>
        </w:tblCellMar>
      </w:tblPr>
      <w:tblGrid>
        <w:gridCol w:w="15671"/>
      </w:tblGrid>
      <w:tr>
        <w:tblPrEx>
          <w:tblCellMar>
            <w:top w:w="0" w:type="dxa"/>
            <w:left w:w="108" w:type="dxa"/>
            <w:bottom w:w="0" w:type="dxa"/>
            <w:right w:w="108" w:type="dxa"/>
          </w:tblCellMar>
        </w:tblPrEx>
        <w:trPr>
          <w:trHeight w:val="308" w:hRule="atLeast"/>
        </w:trPr>
        <w:tc>
          <w:tcPr>
            <w:tcW w:w="14025" w:type="dxa"/>
            <w:tcBorders>
              <w:top w:val="nil"/>
              <w:left w:val="nil"/>
              <w:bottom w:val="nil"/>
              <w:right w:val="nil"/>
            </w:tcBorders>
            <w:shd w:val="clear" w:color="auto" w:fill="auto"/>
            <w:vAlign w:val="center"/>
          </w:tcPr>
          <w:p>
            <w:pPr>
              <w:widowControl/>
              <w:spacing w:line="18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注：本表反映部门本年度一般公共预算财政拨款支出情况。</w:t>
            </w:r>
          </w:p>
        </w:tc>
      </w:tr>
    </w:tbl>
    <w:p>
      <w:pPr>
        <w:rPr>
          <w:rFonts w:ascii="仿宋" w:hAnsi="仿宋" w:eastAsia="仿宋" w:cs="仿宋"/>
          <w:b/>
          <w:bCs/>
          <w:sz w:val="32"/>
          <w:szCs w:val="32"/>
        </w:rPr>
      </w:pPr>
    </w:p>
    <w:p>
      <w:pPr>
        <w:rPr>
          <w:rFonts w:ascii="仿宋" w:hAnsi="仿宋" w:eastAsia="仿宋" w:cs="仿宋"/>
          <w:b/>
          <w:bCs/>
          <w:sz w:val="32"/>
          <w:szCs w:val="32"/>
        </w:rPr>
      </w:pPr>
      <w:r>
        <w:rPr>
          <w:rFonts w:hint="eastAsia" w:ascii="仿宋" w:hAnsi="仿宋" w:eastAsia="仿宋" w:cs="仿宋"/>
          <w:b/>
          <w:bCs/>
          <w:sz w:val="32"/>
          <w:szCs w:val="32"/>
        </w:rPr>
        <w:t xml:space="preserve"> </w:t>
      </w:r>
      <w:r>
        <w:rPr>
          <w:rFonts w:hint="eastAsia" w:ascii="仿宋" w:hAnsi="仿宋" w:eastAsia="仿宋" w:cs="仿宋"/>
          <w:sz w:val="28"/>
          <w:szCs w:val="28"/>
        </w:rPr>
        <w:t>六、一般公共预算财政拨款基本支出决算表</w:t>
      </w:r>
    </w:p>
    <w:tbl>
      <w:tblPr>
        <w:tblStyle w:val="6"/>
        <w:tblW w:w="13979" w:type="dxa"/>
        <w:tblInd w:w="93" w:type="dxa"/>
        <w:tblLayout w:type="fixed"/>
        <w:tblCellMar>
          <w:top w:w="0" w:type="dxa"/>
          <w:left w:w="108" w:type="dxa"/>
          <w:bottom w:w="0" w:type="dxa"/>
          <w:right w:w="108" w:type="dxa"/>
        </w:tblCellMar>
      </w:tblPr>
      <w:tblGrid>
        <w:gridCol w:w="1845"/>
        <w:gridCol w:w="2438"/>
        <w:gridCol w:w="960"/>
        <w:gridCol w:w="418"/>
        <w:gridCol w:w="279"/>
        <w:gridCol w:w="2166"/>
        <w:gridCol w:w="570"/>
        <w:gridCol w:w="240"/>
        <w:gridCol w:w="697"/>
        <w:gridCol w:w="3031"/>
        <w:gridCol w:w="1335"/>
      </w:tblGrid>
      <w:tr>
        <w:tblPrEx>
          <w:tblCellMar>
            <w:top w:w="0" w:type="dxa"/>
            <w:left w:w="108" w:type="dxa"/>
            <w:bottom w:w="0" w:type="dxa"/>
            <w:right w:w="108" w:type="dxa"/>
          </w:tblCellMar>
        </w:tblPrEx>
        <w:trPr>
          <w:trHeight w:val="170" w:hRule="atLeast"/>
        </w:trPr>
        <w:tc>
          <w:tcPr>
            <w:tcW w:w="1845"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2438"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96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418"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3015" w:type="dxa"/>
            <w:gridSpan w:val="3"/>
            <w:tcBorders>
              <w:top w:val="nil"/>
              <w:left w:val="nil"/>
              <w:bottom w:val="nil"/>
              <w:right w:val="nil"/>
            </w:tcBorders>
            <w:shd w:val="clear" w:color="auto" w:fill="auto"/>
            <w:noWrap/>
            <w:vAlign w:val="bottom"/>
          </w:tcPr>
          <w:p>
            <w:pPr>
              <w:widowControl/>
              <w:spacing w:line="180" w:lineRule="exact"/>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一般公共预算财政拨款基本支出决算表</w:t>
            </w:r>
          </w:p>
        </w:tc>
        <w:tc>
          <w:tcPr>
            <w:tcW w:w="24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697"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3031"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335"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nil"/>
              <w:bottom w:val="nil"/>
              <w:right w:val="nil"/>
            </w:tcBorders>
            <w:shd w:val="clear" w:color="auto" w:fill="auto"/>
            <w:noWrap/>
            <w:vAlign w:val="bottom"/>
          </w:tcPr>
          <w:p>
            <w:pPr>
              <w:widowControl/>
              <w:spacing w:line="180" w:lineRule="exact"/>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2438"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96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418"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3015" w:type="dxa"/>
            <w:gridSpan w:val="3"/>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240"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697"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3031" w:type="dxa"/>
            <w:tcBorders>
              <w:top w:val="nil"/>
              <w:left w:val="nil"/>
              <w:bottom w:val="nil"/>
              <w:right w:val="nil"/>
            </w:tcBorders>
            <w:shd w:val="clear" w:color="auto" w:fill="auto"/>
            <w:noWrap/>
            <w:vAlign w:val="bottom"/>
          </w:tcPr>
          <w:p>
            <w:pPr>
              <w:spacing w:line="180" w:lineRule="exact"/>
              <w:rPr>
                <w:rFonts w:ascii="Arial" w:hAnsi="Arial" w:cs="Arial"/>
                <w:color w:val="000000"/>
                <w:sz w:val="16"/>
                <w:szCs w:val="16"/>
              </w:rPr>
            </w:pPr>
          </w:p>
        </w:tc>
        <w:tc>
          <w:tcPr>
            <w:tcW w:w="1335" w:type="dxa"/>
            <w:tcBorders>
              <w:top w:val="nil"/>
              <w:left w:val="nil"/>
              <w:bottom w:val="nil"/>
              <w:right w:val="nil"/>
            </w:tcBorders>
            <w:shd w:val="clear" w:color="auto" w:fill="auto"/>
            <w:noWrap/>
            <w:vAlign w:val="bottom"/>
          </w:tcPr>
          <w:p>
            <w:pPr>
              <w:widowControl/>
              <w:spacing w:line="180" w:lineRule="exact"/>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70" w:hRule="atLeast"/>
        </w:trPr>
        <w:tc>
          <w:tcPr>
            <w:tcW w:w="5243" w:type="dxa"/>
            <w:gridSpan w:val="3"/>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人员经费</w:t>
            </w:r>
          </w:p>
        </w:tc>
        <w:tc>
          <w:tcPr>
            <w:tcW w:w="8736" w:type="dxa"/>
            <w:gridSpan w:val="8"/>
            <w:tcBorders>
              <w:top w:val="single" w:color="000000" w:sz="4" w:space="0"/>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公用经费</w:t>
            </w:r>
          </w:p>
        </w:tc>
      </w:tr>
      <w:tr>
        <w:tblPrEx>
          <w:tblCellMar>
            <w:top w:w="0" w:type="dxa"/>
            <w:left w:w="108" w:type="dxa"/>
            <w:bottom w:w="0" w:type="dxa"/>
            <w:right w:w="108" w:type="dxa"/>
          </w:tblCellMar>
        </w:tblPrEx>
        <w:trPr>
          <w:trHeight w:val="180" w:hRule="atLeast"/>
        </w:trPr>
        <w:tc>
          <w:tcPr>
            <w:tcW w:w="1845"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科目编码</w:t>
            </w:r>
          </w:p>
        </w:tc>
        <w:tc>
          <w:tcPr>
            <w:tcW w:w="2438"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960"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决算数</w:t>
            </w:r>
          </w:p>
        </w:tc>
        <w:tc>
          <w:tcPr>
            <w:tcW w:w="697" w:type="dxa"/>
            <w:gridSpan w:val="2"/>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科目编码</w:t>
            </w:r>
          </w:p>
        </w:tc>
        <w:tc>
          <w:tcPr>
            <w:tcW w:w="2166"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810" w:type="dxa"/>
            <w:gridSpan w:val="2"/>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决算数</w:t>
            </w:r>
          </w:p>
        </w:tc>
        <w:tc>
          <w:tcPr>
            <w:tcW w:w="697"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科目编码</w:t>
            </w:r>
          </w:p>
        </w:tc>
        <w:tc>
          <w:tcPr>
            <w:tcW w:w="3031"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1335" w:type="dxa"/>
            <w:vMerge w:val="restart"/>
            <w:tcBorders>
              <w:top w:val="nil"/>
              <w:left w:val="nil"/>
              <w:bottom w:val="single" w:color="000000" w:sz="4" w:space="0"/>
              <w:right w:val="single" w:color="000000" w:sz="4" w:space="0"/>
            </w:tcBorders>
            <w:shd w:val="clear" w:color="FFFFFF" w:fill="C0C0C0"/>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决算数</w:t>
            </w:r>
          </w:p>
        </w:tc>
      </w:tr>
      <w:tr>
        <w:trPr>
          <w:trHeight w:val="180" w:hRule="atLeast"/>
        </w:trPr>
        <w:tc>
          <w:tcPr>
            <w:tcW w:w="1845" w:type="dxa"/>
            <w:vMerge w:val="continue"/>
            <w:tcBorders>
              <w:top w:val="nil"/>
              <w:left w:val="single" w:color="000000" w:sz="4" w:space="0"/>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438"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960"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697" w:type="dxa"/>
            <w:gridSpan w:val="2"/>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2166"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810" w:type="dxa"/>
            <w:gridSpan w:val="2"/>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697"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3031"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c>
          <w:tcPr>
            <w:tcW w:w="1335" w:type="dxa"/>
            <w:vMerge w:val="continue"/>
            <w:tcBorders>
              <w:top w:val="nil"/>
              <w:left w:val="nil"/>
              <w:bottom w:val="single" w:color="000000" w:sz="4" w:space="0"/>
              <w:right w:val="single" w:color="000000" w:sz="4" w:space="0"/>
            </w:tcBorders>
            <w:shd w:val="clear" w:color="FFFFFF" w:fill="C0C0C0"/>
            <w:vAlign w:val="center"/>
          </w:tcPr>
          <w:p>
            <w:pPr>
              <w:spacing w:line="180" w:lineRule="exact"/>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工资福利支出</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424.57</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商品和服务支出</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82.86</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307</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债务利息及费用支出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30101</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基本工资</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138.51</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30201</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办公费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14.58</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30701</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国内债务付息</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30102</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津贴补贴</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67.64</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30202</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印刷费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3.00</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30702</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国外债务付息</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30103</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奖金</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17.44</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30203</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咨询费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2.00</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资本性支出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0.56</w:t>
            </w: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30106</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伙食补助费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30204</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手续费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31001</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房屋建筑物购建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30107</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绩效工资</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30205</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水费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1.50</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31002</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办公设备购置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0.56</w:t>
            </w: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30108</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机关事业单位基本养老保险缴费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33.02</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30206</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电费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1.35</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31003</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专用设备购置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30109</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职业年金缴费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0.92</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30207</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邮电费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16.17</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31005</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基础设施建设</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30110</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职工基本医疗保险缴费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10.60</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30208</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取暖费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2.33</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31006</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大型修缮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30111</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公务员医疗补助缴费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30209</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物业管理费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31007</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信息网络及软件购置更新</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30112</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其他社会保障缴费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2.89</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30211</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差旅费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0.99</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31008</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物资储备</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30113</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住房公积金</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19.22</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30212</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因公出国（境）费用</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31009</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土地补偿</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30114</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医疗费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30213</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维修（护）费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3.39</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31010</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安置补助</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30199</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其他工资福利支出</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134.32</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30214</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租赁费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31011</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地上附着物和青苗补偿</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对个人和家庭的补助</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w:t>
            </w: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30215</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会议费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0.91</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31012</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拆迁补偿</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30301</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离休费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30216</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培训费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0.12</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31013</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公务用车购置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30302</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退休费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w:t>
            </w:r>
          </w:p>
        </w:tc>
        <w:tc>
          <w:tcPr>
            <w:tcW w:w="697" w:type="dxa"/>
            <w:gridSpan w:val="2"/>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公务接待费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0.76</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31019</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其他交通工具购置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30303</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退职（役）费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30218</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专用材料费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0.89</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31021</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文物和陈列品购置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30304</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抚恤金</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30224</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被装购置费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31022</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无形资产购置</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30305</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生活补助</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30225</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专用燃料费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31099</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其他资本性支出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30306</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救济费</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30226</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劳务费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399</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其他支出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30307</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医疗费补助</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30227</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委托业务费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0.80</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39906</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赠与</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30308</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助学金</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30228</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工会经费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39907</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国家赔偿费用支出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30309</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奖励金</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30229</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福利费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39908</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对民间非营利组织和群众性自治组织补贴</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89"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30310</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个人农业生产补贴</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30231</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公务用车运行维护费</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14.59</w:t>
            </w:r>
          </w:p>
        </w:tc>
        <w:tc>
          <w:tcPr>
            <w:tcW w:w="697"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39999</w:t>
            </w:r>
          </w:p>
        </w:tc>
        <w:tc>
          <w:tcPr>
            <w:tcW w:w="3031"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其他支出</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30399</w:t>
            </w:r>
          </w:p>
        </w:tc>
        <w:tc>
          <w:tcPr>
            <w:tcW w:w="2438"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其他对个人和家庭的补助</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30239</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其他交通费用</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18.25</w:t>
            </w:r>
          </w:p>
        </w:tc>
        <w:tc>
          <w:tcPr>
            <w:tcW w:w="697"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3031"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1335" w:type="dxa"/>
            <w:tcBorders>
              <w:top w:val="nil"/>
              <w:left w:val="nil"/>
              <w:bottom w:val="single" w:color="000000" w:sz="4" w:space="0"/>
              <w:right w:val="single" w:color="000000" w:sz="4" w:space="0"/>
            </w:tcBorders>
            <w:shd w:val="clear" w:color="auto" w:fill="auto"/>
            <w:noWrap/>
            <w:vAlign w:val="center"/>
          </w:tcPr>
          <w:p>
            <w:pPr>
              <w:spacing w:line="18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92"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2438"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960" w:type="dxa"/>
            <w:tcBorders>
              <w:top w:val="nil"/>
              <w:left w:val="nil"/>
              <w:bottom w:val="single" w:color="000000" w:sz="4" w:space="0"/>
              <w:right w:val="single" w:color="000000" w:sz="4" w:space="0"/>
            </w:tcBorders>
            <w:shd w:val="clear" w:color="auto" w:fill="auto"/>
            <w:noWrap/>
            <w:vAlign w:val="center"/>
          </w:tcPr>
          <w:p>
            <w:pPr>
              <w:spacing w:line="180" w:lineRule="exact"/>
              <w:jc w:val="right"/>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30240</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税金及附加费用</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p>
        </w:tc>
        <w:tc>
          <w:tcPr>
            <w:tcW w:w="697"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3031"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1335" w:type="dxa"/>
            <w:tcBorders>
              <w:top w:val="nil"/>
              <w:left w:val="nil"/>
              <w:bottom w:val="single" w:color="000000" w:sz="4" w:space="0"/>
              <w:right w:val="single" w:color="000000" w:sz="4" w:space="0"/>
            </w:tcBorders>
            <w:shd w:val="clear" w:color="auto" w:fill="auto"/>
            <w:noWrap/>
            <w:vAlign w:val="center"/>
          </w:tcPr>
          <w:p>
            <w:pPr>
              <w:spacing w:line="18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309" w:hRule="atLeast"/>
        </w:trPr>
        <w:tc>
          <w:tcPr>
            <w:tcW w:w="1845" w:type="dxa"/>
            <w:tcBorders>
              <w:top w:val="nil"/>
              <w:left w:val="single" w:color="000000" w:sz="4" w:space="0"/>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2438"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960" w:type="dxa"/>
            <w:tcBorders>
              <w:top w:val="nil"/>
              <w:left w:val="nil"/>
              <w:bottom w:val="single" w:color="000000" w:sz="4" w:space="0"/>
              <w:right w:val="single" w:color="000000" w:sz="4" w:space="0"/>
            </w:tcBorders>
            <w:shd w:val="clear" w:color="auto" w:fill="auto"/>
            <w:noWrap/>
            <w:vAlign w:val="center"/>
          </w:tcPr>
          <w:p>
            <w:pPr>
              <w:spacing w:line="180" w:lineRule="exact"/>
              <w:jc w:val="right"/>
              <w:rPr>
                <w:rFonts w:ascii="宋体" w:hAnsi="宋体" w:eastAsia="宋体" w:cs="宋体"/>
                <w:color w:val="000000"/>
                <w:sz w:val="16"/>
                <w:szCs w:val="16"/>
              </w:rPr>
            </w:pPr>
          </w:p>
        </w:tc>
        <w:tc>
          <w:tcPr>
            <w:tcW w:w="697" w:type="dxa"/>
            <w:gridSpan w:val="2"/>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30299</w:t>
            </w:r>
          </w:p>
        </w:tc>
        <w:tc>
          <w:tcPr>
            <w:tcW w:w="2166" w:type="dxa"/>
            <w:tcBorders>
              <w:top w:val="nil"/>
              <w:left w:val="nil"/>
              <w:bottom w:val="single" w:color="000000" w:sz="4" w:space="0"/>
              <w:right w:val="single" w:color="000000" w:sz="4" w:space="0"/>
            </w:tcBorders>
            <w:shd w:val="clear" w:color="FFFFFF" w:fill="C0C0C0"/>
            <w:noWrap/>
            <w:vAlign w:val="center"/>
          </w:tcPr>
          <w:p>
            <w:pPr>
              <w:widowControl/>
              <w:spacing w:line="180" w:lineRule="exact"/>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 xml:space="preserve">  其他商品和服务支出</w:t>
            </w:r>
          </w:p>
        </w:tc>
        <w:tc>
          <w:tcPr>
            <w:tcW w:w="810" w:type="dxa"/>
            <w:gridSpan w:val="2"/>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1.23</w:t>
            </w:r>
          </w:p>
        </w:tc>
        <w:tc>
          <w:tcPr>
            <w:tcW w:w="697"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3031" w:type="dxa"/>
            <w:tcBorders>
              <w:top w:val="nil"/>
              <w:left w:val="nil"/>
              <w:bottom w:val="single" w:color="000000" w:sz="4" w:space="0"/>
              <w:right w:val="single" w:color="000000" w:sz="4" w:space="0"/>
            </w:tcBorders>
            <w:shd w:val="clear" w:color="FFFFFF" w:fill="C0C0C0"/>
            <w:noWrap/>
            <w:vAlign w:val="center"/>
          </w:tcPr>
          <w:p>
            <w:pPr>
              <w:spacing w:line="180" w:lineRule="exact"/>
              <w:jc w:val="left"/>
              <w:rPr>
                <w:rFonts w:ascii="宋体" w:hAnsi="宋体" w:eastAsia="宋体" w:cs="宋体"/>
                <w:color w:val="000000"/>
                <w:sz w:val="16"/>
                <w:szCs w:val="16"/>
              </w:rPr>
            </w:pPr>
          </w:p>
        </w:tc>
        <w:tc>
          <w:tcPr>
            <w:tcW w:w="1335" w:type="dxa"/>
            <w:tcBorders>
              <w:top w:val="nil"/>
              <w:left w:val="nil"/>
              <w:bottom w:val="single" w:color="000000" w:sz="4" w:space="0"/>
              <w:right w:val="single" w:color="000000" w:sz="4" w:space="0"/>
            </w:tcBorders>
            <w:shd w:val="clear" w:color="auto" w:fill="auto"/>
            <w:noWrap/>
            <w:vAlign w:val="center"/>
          </w:tcPr>
          <w:p>
            <w:pPr>
              <w:spacing w:line="180" w:lineRule="exact"/>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4283" w:type="dxa"/>
            <w:gridSpan w:val="2"/>
            <w:tcBorders>
              <w:top w:val="nil"/>
              <w:left w:val="single" w:color="000000" w:sz="4" w:space="0"/>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人员经费合计</w:t>
            </w:r>
          </w:p>
        </w:tc>
        <w:tc>
          <w:tcPr>
            <w:tcW w:w="960"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427.60</w:t>
            </w:r>
          </w:p>
        </w:tc>
        <w:tc>
          <w:tcPr>
            <w:tcW w:w="7401" w:type="dxa"/>
            <w:gridSpan w:val="7"/>
            <w:tcBorders>
              <w:top w:val="nil"/>
              <w:left w:val="nil"/>
              <w:bottom w:val="single" w:color="000000" w:sz="4" w:space="0"/>
              <w:right w:val="single" w:color="000000" w:sz="4" w:space="0"/>
            </w:tcBorders>
            <w:shd w:val="clear" w:color="FFFFFF" w:fill="C0C0C0"/>
            <w:noWrap/>
            <w:vAlign w:val="center"/>
          </w:tcPr>
          <w:p>
            <w:pPr>
              <w:widowControl/>
              <w:spacing w:line="180" w:lineRule="exact"/>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公用经费合计</w:t>
            </w:r>
          </w:p>
        </w:tc>
        <w:tc>
          <w:tcPr>
            <w:tcW w:w="1335" w:type="dxa"/>
            <w:tcBorders>
              <w:top w:val="nil"/>
              <w:left w:val="nil"/>
              <w:bottom w:val="single" w:color="000000" w:sz="4" w:space="0"/>
              <w:right w:val="single" w:color="000000" w:sz="4" w:space="0"/>
            </w:tcBorders>
            <w:shd w:val="clear" w:color="auto" w:fill="auto"/>
            <w:noWrap/>
            <w:vAlign w:val="center"/>
          </w:tcPr>
          <w:p>
            <w:pPr>
              <w:widowControl/>
              <w:spacing w:line="180" w:lineRule="exact"/>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83.41</w:t>
            </w:r>
          </w:p>
        </w:tc>
      </w:tr>
      <w:tr>
        <w:tblPrEx>
          <w:tblCellMar>
            <w:top w:w="0" w:type="dxa"/>
            <w:left w:w="108" w:type="dxa"/>
            <w:bottom w:w="0" w:type="dxa"/>
            <w:right w:w="108" w:type="dxa"/>
          </w:tblCellMar>
        </w:tblPrEx>
        <w:trPr>
          <w:trHeight w:val="308" w:hRule="atLeast"/>
        </w:trPr>
        <w:tc>
          <w:tcPr>
            <w:tcW w:w="13979" w:type="dxa"/>
            <w:gridSpan w:val="11"/>
            <w:tcBorders>
              <w:top w:val="nil"/>
              <w:left w:val="nil"/>
              <w:bottom w:val="nil"/>
              <w:right w:val="nil"/>
            </w:tcBorders>
            <w:shd w:val="clear" w:color="auto" w:fill="auto"/>
            <w:vAlign w:val="center"/>
          </w:tcPr>
          <w:p>
            <w:pPr>
              <w:widowControl/>
              <w:spacing w:line="180" w:lineRule="exact"/>
              <w:jc w:val="left"/>
              <w:textAlignment w:val="center"/>
              <w:rPr>
                <w:rFonts w:ascii="宋体" w:hAnsi="宋体" w:eastAsia="宋体" w:cs="宋体"/>
                <w:color w:val="000000"/>
                <w:sz w:val="18"/>
                <w:szCs w:val="18"/>
              </w:rPr>
            </w:pPr>
            <w:r>
              <w:rPr>
                <w:rFonts w:hint="eastAsia" w:ascii="宋体" w:hAnsi="宋体" w:eastAsia="宋体" w:cs="宋体"/>
                <w:color w:val="000000"/>
                <w:kern w:val="0"/>
                <w:sz w:val="18"/>
                <w:szCs w:val="18"/>
                <w:lang w:bidi="ar"/>
              </w:rPr>
              <w:t>注：本表反映部门本年度一般公共预算财政拨款基本支出明细情况。</w:t>
            </w:r>
          </w:p>
        </w:tc>
      </w:tr>
    </w:tbl>
    <w:p>
      <w:pPr>
        <w:rPr>
          <w:rFonts w:ascii="仿宋" w:hAnsi="仿宋" w:eastAsia="仿宋" w:cs="仿宋"/>
          <w:b/>
          <w:bCs/>
          <w:sz w:val="32"/>
          <w:szCs w:val="32"/>
        </w:rPr>
      </w:pPr>
    </w:p>
    <w:p>
      <w:pPr>
        <w:rPr>
          <w:rFonts w:ascii="仿宋" w:hAnsi="仿宋" w:eastAsia="仿宋" w:cs="仿宋"/>
          <w:sz w:val="28"/>
          <w:szCs w:val="28"/>
        </w:rPr>
      </w:pPr>
      <w:r>
        <w:rPr>
          <w:rFonts w:hint="eastAsia" w:ascii="仿宋" w:hAnsi="仿宋" w:eastAsia="仿宋" w:cs="仿宋"/>
          <w:sz w:val="28"/>
          <w:szCs w:val="28"/>
        </w:rPr>
        <w:t>七、一般公共预算财政拨款“三公”经费支出决算表</w:t>
      </w:r>
    </w:p>
    <w:tbl>
      <w:tblPr>
        <w:tblStyle w:val="6"/>
        <w:tblW w:w="15507" w:type="dxa"/>
        <w:tblInd w:w="93" w:type="dxa"/>
        <w:tblLayout w:type="fixed"/>
        <w:tblCellMar>
          <w:top w:w="0" w:type="dxa"/>
          <w:left w:w="108" w:type="dxa"/>
          <w:bottom w:w="0" w:type="dxa"/>
          <w:right w:w="108" w:type="dxa"/>
        </w:tblCellMar>
      </w:tblPr>
      <w:tblGrid>
        <w:gridCol w:w="1401"/>
        <w:gridCol w:w="1365"/>
        <w:gridCol w:w="1125"/>
        <w:gridCol w:w="1365"/>
        <w:gridCol w:w="1350"/>
        <w:gridCol w:w="1920"/>
        <w:gridCol w:w="635"/>
        <w:gridCol w:w="880"/>
        <w:gridCol w:w="1310"/>
        <w:gridCol w:w="1410"/>
        <w:gridCol w:w="1410"/>
        <w:gridCol w:w="1336"/>
      </w:tblGrid>
      <w:tr>
        <w:tblPrEx>
          <w:tblCellMar>
            <w:top w:w="0" w:type="dxa"/>
            <w:left w:w="108" w:type="dxa"/>
            <w:bottom w:w="0" w:type="dxa"/>
            <w:right w:w="108" w:type="dxa"/>
          </w:tblCellMar>
        </w:tblPrEx>
        <w:trPr>
          <w:trHeight w:val="180" w:hRule="atLeast"/>
        </w:trPr>
        <w:tc>
          <w:tcPr>
            <w:tcW w:w="1401"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1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920" w:type="dxa"/>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一般公共预算财政拨款“三公”经费支出决算表</w:t>
            </w:r>
          </w:p>
        </w:tc>
        <w:tc>
          <w:tcPr>
            <w:tcW w:w="63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88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36" w:type="dxa"/>
            <w:tcBorders>
              <w:top w:val="nil"/>
              <w:left w:val="nil"/>
              <w:bottom w:val="nil"/>
              <w:right w:val="nil"/>
            </w:tcBorders>
            <w:shd w:val="clear" w:color="auto" w:fill="auto"/>
            <w:noWrap/>
            <w:vAlign w:val="bottom"/>
          </w:tcPr>
          <w:p>
            <w:pPr>
              <w:rPr>
                <w:rFonts w:ascii="Arial" w:hAnsi="Arial" w:cs="Arial"/>
                <w:color w:val="000000"/>
                <w:sz w:val="16"/>
                <w:szCs w:val="16"/>
              </w:rPr>
            </w:pPr>
          </w:p>
        </w:tc>
      </w:tr>
      <w:tr>
        <w:tblPrEx>
          <w:tblCellMar>
            <w:top w:w="0" w:type="dxa"/>
            <w:left w:w="108" w:type="dxa"/>
            <w:bottom w:w="0" w:type="dxa"/>
            <w:right w:w="108" w:type="dxa"/>
          </w:tblCellMar>
        </w:tblPrEx>
        <w:trPr>
          <w:trHeight w:val="180" w:hRule="atLeast"/>
        </w:trPr>
        <w:tc>
          <w:tcPr>
            <w:tcW w:w="1401"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1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92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3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88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36"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公开07表</w:t>
            </w:r>
          </w:p>
        </w:tc>
      </w:tr>
      <w:tr>
        <w:tblPrEx>
          <w:tblCellMar>
            <w:top w:w="0" w:type="dxa"/>
            <w:left w:w="108" w:type="dxa"/>
            <w:bottom w:w="0" w:type="dxa"/>
            <w:right w:w="108" w:type="dxa"/>
          </w:tblCellMar>
        </w:tblPrEx>
        <w:trPr>
          <w:trHeight w:val="180" w:hRule="atLeast"/>
        </w:trPr>
        <w:tc>
          <w:tcPr>
            <w:tcW w:w="1401" w:type="dxa"/>
            <w:tcBorders>
              <w:top w:val="nil"/>
              <w:left w:val="nil"/>
              <w:bottom w:val="nil"/>
              <w:right w:val="nil"/>
            </w:tcBorders>
            <w:shd w:val="clear" w:color="auto" w:fill="auto"/>
            <w:noWrap/>
            <w:vAlign w:val="bottom"/>
          </w:tcPr>
          <w:p>
            <w:pPr>
              <w:widowControl/>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1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6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92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3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88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1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36"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80" w:hRule="atLeast"/>
        </w:trPr>
        <w:tc>
          <w:tcPr>
            <w:tcW w:w="8526" w:type="dxa"/>
            <w:gridSpan w:val="6"/>
            <w:tcBorders>
              <w:top w:val="single" w:color="000000" w:sz="4" w:space="0"/>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预算数</w:t>
            </w:r>
          </w:p>
        </w:tc>
        <w:tc>
          <w:tcPr>
            <w:tcW w:w="6981" w:type="dxa"/>
            <w:gridSpan w:val="6"/>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决算数</w:t>
            </w:r>
          </w:p>
        </w:tc>
      </w:tr>
      <w:tr>
        <w:tblPrEx>
          <w:tblCellMar>
            <w:top w:w="0" w:type="dxa"/>
            <w:left w:w="108" w:type="dxa"/>
            <w:bottom w:w="0" w:type="dxa"/>
            <w:right w:w="108" w:type="dxa"/>
          </w:tblCellMar>
        </w:tblPrEx>
        <w:trPr>
          <w:trHeight w:val="180" w:hRule="atLeast"/>
        </w:trPr>
        <w:tc>
          <w:tcPr>
            <w:tcW w:w="1401" w:type="dxa"/>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136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因公出国（境）费</w:t>
            </w:r>
          </w:p>
        </w:tc>
        <w:tc>
          <w:tcPr>
            <w:tcW w:w="3840" w:type="dxa"/>
            <w:gridSpan w:val="3"/>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公务用车购置及运行费</w:t>
            </w:r>
          </w:p>
        </w:tc>
        <w:tc>
          <w:tcPr>
            <w:tcW w:w="192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公务接待费</w:t>
            </w:r>
          </w:p>
        </w:tc>
        <w:tc>
          <w:tcPr>
            <w:tcW w:w="63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88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因公出国（境）费</w:t>
            </w:r>
          </w:p>
        </w:tc>
        <w:tc>
          <w:tcPr>
            <w:tcW w:w="4130" w:type="dxa"/>
            <w:gridSpan w:val="3"/>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公务用车购置及运行费</w:t>
            </w:r>
          </w:p>
        </w:tc>
        <w:tc>
          <w:tcPr>
            <w:tcW w:w="1336"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公务接待费</w:t>
            </w:r>
          </w:p>
        </w:tc>
      </w:tr>
      <w:tr>
        <w:tblPrEx>
          <w:tblCellMar>
            <w:top w:w="0" w:type="dxa"/>
            <w:left w:w="108" w:type="dxa"/>
            <w:bottom w:w="0" w:type="dxa"/>
            <w:right w:w="108" w:type="dxa"/>
          </w:tblCellMar>
        </w:tblPrEx>
        <w:trPr>
          <w:trHeight w:val="180" w:hRule="atLeast"/>
        </w:trPr>
        <w:tc>
          <w:tcPr>
            <w:tcW w:w="1401" w:type="dxa"/>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365"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12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小计</w:t>
            </w:r>
          </w:p>
        </w:tc>
        <w:tc>
          <w:tcPr>
            <w:tcW w:w="136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公务用车购置费</w:t>
            </w:r>
          </w:p>
        </w:tc>
        <w:tc>
          <w:tcPr>
            <w:tcW w:w="135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公务用车运行费</w:t>
            </w:r>
          </w:p>
        </w:tc>
        <w:tc>
          <w:tcPr>
            <w:tcW w:w="192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635"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88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3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小计</w:t>
            </w:r>
          </w:p>
        </w:tc>
        <w:tc>
          <w:tcPr>
            <w:tcW w:w="14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公务用车购置费</w:t>
            </w:r>
          </w:p>
        </w:tc>
        <w:tc>
          <w:tcPr>
            <w:tcW w:w="14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公务用车运行费</w:t>
            </w:r>
          </w:p>
        </w:tc>
        <w:tc>
          <w:tcPr>
            <w:tcW w:w="1336"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1401" w:type="dxa"/>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136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12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36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c>
          <w:tcPr>
            <w:tcW w:w="135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w:t>
            </w:r>
          </w:p>
        </w:tc>
        <w:tc>
          <w:tcPr>
            <w:tcW w:w="192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w:t>
            </w:r>
          </w:p>
        </w:tc>
        <w:tc>
          <w:tcPr>
            <w:tcW w:w="635"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7</w:t>
            </w:r>
          </w:p>
        </w:tc>
        <w:tc>
          <w:tcPr>
            <w:tcW w:w="88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8</w:t>
            </w:r>
          </w:p>
        </w:tc>
        <w:tc>
          <w:tcPr>
            <w:tcW w:w="13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9</w:t>
            </w:r>
          </w:p>
        </w:tc>
        <w:tc>
          <w:tcPr>
            <w:tcW w:w="14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10</w:t>
            </w:r>
          </w:p>
        </w:tc>
        <w:tc>
          <w:tcPr>
            <w:tcW w:w="1410"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11</w:t>
            </w:r>
          </w:p>
        </w:tc>
        <w:tc>
          <w:tcPr>
            <w:tcW w:w="1336" w:type="dxa"/>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12</w:t>
            </w:r>
          </w:p>
        </w:tc>
      </w:tr>
      <w:tr>
        <w:tblPrEx>
          <w:tblCellMar>
            <w:top w:w="0" w:type="dxa"/>
            <w:left w:w="108" w:type="dxa"/>
            <w:bottom w:w="0" w:type="dxa"/>
            <w:right w:w="108" w:type="dxa"/>
          </w:tblCellMar>
        </w:tblPrEx>
        <w:trPr>
          <w:trHeight w:val="180" w:hRule="atLeast"/>
        </w:trPr>
        <w:tc>
          <w:tcPr>
            <w:tcW w:w="1401" w:type="dxa"/>
            <w:tcBorders>
              <w:top w:val="nil"/>
              <w:left w:val="single" w:color="000000" w:sz="4" w:space="0"/>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25.20</w:t>
            </w:r>
          </w:p>
        </w:tc>
        <w:tc>
          <w:tcPr>
            <w:tcW w:w="136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p>
        </w:tc>
        <w:tc>
          <w:tcPr>
            <w:tcW w:w="112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24.00</w:t>
            </w:r>
          </w:p>
        </w:tc>
        <w:tc>
          <w:tcPr>
            <w:tcW w:w="136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24.00</w:t>
            </w:r>
          </w:p>
        </w:tc>
        <w:tc>
          <w:tcPr>
            <w:tcW w:w="192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1.20</w:t>
            </w:r>
          </w:p>
        </w:tc>
        <w:tc>
          <w:tcPr>
            <w:tcW w:w="63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15.35</w:t>
            </w:r>
          </w:p>
        </w:tc>
        <w:tc>
          <w:tcPr>
            <w:tcW w:w="88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p>
        </w:tc>
        <w:tc>
          <w:tcPr>
            <w:tcW w:w="131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14.59</w:t>
            </w:r>
          </w:p>
        </w:tc>
        <w:tc>
          <w:tcPr>
            <w:tcW w:w="141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p>
        </w:tc>
        <w:tc>
          <w:tcPr>
            <w:tcW w:w="141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14.59</w:t>
            </w:r>
          </w:p>
        </w:tc>
        <w:tc>
          <w:tcPr>
            <w:tcW w:w="1336"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0.76</w:t>
            </w:r>
          </w:p>
        </w:tc>
      </w:tr>
      <w:tr>
        <w:tblPrEx>
          <w:tblCellMar>
            <w:top w:w="0" w:type="dxa"/>
            <w:left w:w="108" w:type="dxa"/>
            <w:bottom w:w="0" w:type="dxa"/>
            <w:right w:w="108" w:type="dxa"/>
          </w:tblCellMar>
        </w:tblPrEx>
        <w:trPr>
          <w:trHeight w:val="615" w:hRule="atLeast"/>
        </w:trPr>
        <w:tc>
          <w:tcPr>
            <w:tcW w:w="15507" w:type="dxa"/>
            <w:gridSpan w:val="12"/>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注：本表反映部门本年度“三公”经费支出预决算情况。其中：预算数为“三公”经费全年预算数，反映按规定程序调整后的预算数；决算数是包括当年一般公共预算财政拨款和以前年度结转资金安排的实际支出。</w:t>
            </w:r>
          </w:p>
        </w:tc>
      </w:tr>
    </w:tbl>
    <w:p>
      <w:pPr>
        <w:rPr>
          <w:rFonts w:ascii="仿宋" w:hAnsi="仿宋" w:eastAsia="仿宋" w:cs="仿宋"/>
          <w:b/>
          <w:bCs/>
          <w:sz w:val="32"/>
          <w:szCs w:val="32"/>
        </w:rPr>
      </w:pPr>
    </w:p>
    <w:p>
      <w:pPr>
        <w:rPr>
          <w:rFonts w:ascii="仿宋" w:hAnsi="仿宋" w:eastAsia="仿宋" w:cs="仿宋"/>
          <w:b/>
          <w:bCs/>
          <w:sz w:val="32"/>
          <w:szCs w:val="32"/>
        </w:rPr>
      </w:pPr>
    </w:p>
    <w:p>
      <w:pPr>
        <w:rPr>
          <w:rFonts w:ascii="仿宋" w:hAnsi="仿宋" w:eastAsia="仿宋" w:cs="仿宋"/>
          <w:b/>
          <w:bCs/>
          <w:sz w:val="32"/>
          <w:szCs w:val="32"/>
        </w:rPr>
      </w:pPr>
    </w:p>
    <w:p>
      <w:pPr>
        <w:rPr>
          <w:rFonts w:ascii="仿宋" w:hAnsi="仿宋" w:eastAsia="仿宋" w:cs="仿宋"/>
          <w:b/>
          <w:bCs/>
          <w:sz w:val="32"/>
          <w:szCs w:val="32"/>
        </w:rPr>
      </w:pPr>
    </w:p>
    <w:p>
      <w:pPr>
        <w:rPr>
          <w:rFonts w:ascii="仿宋" w:hAnsi="仿宋" w:eastAsia="仿宋" w:cs="仿宋"/>
          <w:b/>
          <w:bCs/>
          <w:sz w:val="32"/>
          <w:szCs w:val="32"/>
        </w:rPr>
      </w:pPr>
    </w:p>
    <w:p>
      <w:pPr>
        <w:rPr>
          <w:rFonts w:ascii="仿宋" w:hAnsi="仿宋" w:eastAsia="仿宋" w:cs="仿宋"/>
          <w:b/>
          <w:bCs/>
          <w:sz w:val="32"/>
          <w:szCs w:val="32"/>
        </w:rPr>
      </w:pPr>
    </w:p>
    <w:p>
      <w:pPr>
        <w:rPr>
          <w:rFonts w:ascii="仿宋" w:hAnsi="仿宋" w:eastAsia="仿宋" w:cs="仿宋"/>
          <w:b/>
          <w:bCs/>
          <w:sz w:val="32"/>
          <w:szCs w:val="32"/>
        </w:rPr>
      </w:pPr>
    </w:p>
    <w:p>
      <w:pPr>
        <w:numPr>
          <w:ilvl w:val="0"/>
          <w:numId w:val="6"/>
        </w:numPr>
        <w:rPr>
          <w:rFonts w:ascii="仿宋" w:hAnsi="仿宋" w:eastAsia="仿宋" w:cs="仿宋"/>
          <w:sz w:val="28"/>
          <w:szCs w:val="28"/>
        </w:rPr>
      </w:pPr>
      <w:r>
        <w:rPr>
          <w:rFonts w:hint="eastAsia" w:ascii="仿宋" w:hAnsi="仿宋" w:eastAsia="仿宋" w:cs="仿宋"/>
          <w:sz w:val="28"/>
          <w:szCs w:val="28"/>
        </w:rPr>
        <w:t>政府性基金预算财政拨款收入支出决算表</w:t>
      </w:r>
    </w:p>
    <w:tbl>
      <w:tblPr>
        <w:tblStyle w:val="6"/>
        <w:tblW w:w="13856" w:type="dxa"/>
        <w:tblInd w:w="93" w:type="dxa"/>
        <w:tblLayout w:type="fixed"/>
        <w:tblCellMar>
          <w:top w:w="0" w:type="dxa"/>
          <w:left w:w="108" w:type="dxa"/>
          <w:bottom w:w="0" w:type="dxa"/>
          <w:right w:w="108" w:type="dxa"/>
        </w:tblCellMar>
      </w:tblPr>
      <w:tblGrid>
        <w:gridCol w:w="1976"/>
        <w:gridCol w:w="330"/>
        <w:gridCol w:w="330"/>
        <w:gridCol w:w="1450"/>
        <w:gridCol w:w="1575"/>
        <w:gridCol w:w="3270"/>
        <w:gridCol w:w="695"/>
        <w:gridCol w:w="1350"/>
        <w:gridCol w:w="1200"/>
        <w:gridCol w:w="1680"/>
      </w:tblGrid>
      <w:tr>
        <w:tblPrEx>
          <w:tblCellMar>
            <w:top w:w="0" w:type="dxa"/>
            <w:left w:w="108" w:type="dxa"/>
            <w:bottom w:w="0" w:type="dxa"/>
            <w:right w:w="108" w:type="dxa"/>
          </w:tblCellMar>
        </w:tblPrEx>
        <w:trPr>
          <w:trHeight w:val="170" w:hRule="atLeast"/>
        </w:trPr>
        <w:tc>
          <w:tcPr>
            <w:tcW w:w="1976"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57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270" w:type="dxa"/>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政府性基金预算财政拨款收入支出决算表</w:t>
            </w:r>
          </w:p>
        </w:tc>
        <w:tc>
          <w:tcPr>
            <w:tcW w:w="69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2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rPr>
                <w:rFonts w:ascii="Arial" w:hAnsi="Arial" w:cs="Arial"/>
                <w:color w:val="000000"/>
                <w:sz w:val="16"/>
                <w:szCs w:val="16"/>
              </w:rPr>
            </w:pPr>
          </w:p>
        </w:tc>
      </w:tr>
      <w:tr>
        <w:tblPrEx>
          <w:tblCellMar>
            <w:top w:w="0" w:type="dxa"/>
            <w:left w:w="108" w:type="dxa"/>
            <w:bottom w:w="0" w:type="dxa"/>
            <w:right w:w="108" w:type="dxa"/>
          </w:tblCellMar>
        </w:tblPrEx>
        <w:trPr>
          <w:trHeight w:val="170" w:hRule="atLeast"/>
        </w:trPr>
        <w:tc>
          <w:tcPr>
            <w:tcW w:w="1976"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57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27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9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2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公开08表</w:t>
            </w:r>
          </w:p>
        </w:tc>
      </w:tr>
      <w:tr>
        <w:tblPrEx>
          <w:tblCellMar>
            <w:top w:w="0" w:type="dxa"/>
            <w:left w:w="108" w:type="dxa"/>
            <w:bottom w:w="0" w:type="dxa"/>
            <w:right w:w="108" w:type="dxa"/>
          </w:tblCellMar>
        </w:tblPrEx>
        <w:trPr>
          <w:trHeight w:val="170" w:hRule="atLeast"/>
        </w:trPr>
        <w:tc>
          <w:tcPr>
            <w:tcW w:w="1976" w:type="dxa"/>
            <w:tcBorders>
              <w:top w:val="nil"/>
              <w:left w:val="nil"/>
              <w:bottom w:val="nil"/>
              <w:right w:val="nil"/>
            </w:tcBorders>
            <w:shd w:val="clear" w:color="auto" w:fill="auto"/>
            <w:noWrap/>
            <w:vAlign w:val="bottom"/>
          </w:tcPr>
          <w:p>
            <w:pPr>
              <w:widowControl/>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3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4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57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327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9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35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2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680"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70" w:hRule="atLeast"/>
        </w:trPr>
        <w:tc>
          <w:tcPr>
            <w:tcW w:w="4086"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w:t>
            </w:r>
          </w:p>
        </w:tc>
        <w:tc>
          <w:tcPr>
            <w:tcW w:w="1575"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年初结转和结余</w:t>
            </w:r>
          </w:p>
        </w:tc>
        <w:tc>
          <w:tcPr>
            <w:tcW w:w="327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本年收入</w:t>
            </w:r>
          </w:p>
        </w:tc>
        <w:tc>
          <w:tcPr>
            <w:tcW w:w="3245" w:type="dxa"/>
            <w:gridSpan w:val="3"/>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本年支出</w:t>
            </w:r>
          </w:p>
        </w:tc>
        <w:tc>
          <w:tcPr>
            <w:tcW w:w="1680" w:type="dxa"/>
            <w:vMerge w:val="restart"/>
            <w:tcBorders>
              <w:top w:val="single" w:color="000000" w:sz="4" w:space="0"/>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年末结转和结余</w:t>
            </w:r>
          </w:p>
        </w:tc>
      </w:tr>
      <w:tr>
        <w:tblPrEx>
          <w:tblCellMar>
            <w:top w:w="0" w:type="dxa"/>
            <w:left w:w="108" w:type="dxa"/>
            <w:bottom w:w="0" w:type="dxa"/>
            <w:right w:w="108" w:type="dxa"/>
          </w:tblCellMar>
        </w:tblPrEx>
        <w:trPr>
          <w:trHeight w:val="312" w:hRule="atLeast"/>
        </w:trPr>
        <w:tc>
          <w:tcPr>
            <w:tcW w:w="2636" w:type="dxa"/>
            <w:gridSpan w:val="3"/>
            <w:vMerge w:val="restart"/>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功能分类科目编码</w:t>
            </w:r>
          </w:p>
        </w:tc>
        <w:tc>
          <w:tcPr>
            <w:tcW w:w="1450" w:type="dxa"/>
            <w:vMerge w:val="restart"/>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327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695"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小计</w:t>
            </w:r>
          </w:p>
        </w:tc>
        <w:tc>
          <w:tcPr>
            <w:tcW w:w="135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基本支出</w:t>
            </w:r>
          </w:p>
        </w:tc>
        <w:tc>
          <w:tcPr>
            <w:tcW w:w="1200" w:type="dxa"/>
            <w:vMerge w:val="restart"/>
            <w:tcBorders>
              <w:top w:val="nil"/>
              <w:left w:val="nil"/>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项目支出</w:t>
            </w:r>
          </w:p>
        </w:tc>
        <w:tc>
          <w:tcPr>
            <w:tcW w:w="16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312" w:hRule="atLeast"/>
        </w:trPr>
        <w:tc>
          <w:tcPr>
            <w:tcW w:w="2636"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45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color w:val="000000"/>
                <w:sz w:val="16"/>
                <w:szCs w:val="16"/>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327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695"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35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20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6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312" w:hRule="atLeast"/>
        </w:trPr>
        <w:tc>
          <w:tcPr>
            <w:tcW w:w="2636" w:type="dxa"/>
            <w:gridSpan w:val="3"/>
            <w:vMerge w:val="continue"/>
            <w:tcBorders>
              <w:top w:val="nil"/>
              <w:left w:val="single" w:color="000000" w:sz="4" w:space="0"/>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450" w:type="dxa"/>
            <w:vMerge w:val="continue"/>
            <w:tcBorders>
              <w:top w:val="nil"/>
              <w:left w:val="nil"/>
              <w:bottom w:val="single" w:color="000000" w:sz="4" w:space="0"/>
              <w:right w:val="single" w:color="000000" w:sz="4" w:space="0"/>
            </w:tcBorders>
            <w:shd w:val="clear" w:color="FFFFFF" w:fill="C0C0C0"/>
            <w:noWrap/>
            <w:vAlign w:val="center"/>
          </w:tcPr>
          <w:p>
            <w:pPr>
              <w:jc w:val="center"/>
              <w:rPr>
                <w:rFonts w:ascii="宋体" w:hAnsi="宋体" w:eastAsia="宋体" w:cs="宋体"/>
                <w:color w:val="000000"/>
                <w:sz w:val="16"/>
                <w:szCs w:val="16"/>
              </w:rPr>
            </w:pPr>
          </w:p>
        </w:tc>
        <w:tc>
          <w:tcPr>
            <w:tcW w:w="1575"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327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695"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35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200" w:type="dxa"/>
            <w:vMerge w:val="continue"/>
            <w:tcBorders>
              <w:top w:val="nil"/>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c>
          <w:tcPr>
            <w:tcW w:w="1680" w:type="dxa"/>
            <w:vMerge w:val="continue"/>
            <w:tcBorders>
              <w:top w:val="single" w:color="000000" w:sz="4" w:space="0"/>
              <w:left w:val="nil"/>
              <w:bottom w:val="single" w:color="000000" w:sz="4" w:space="0"/>
              <w:right w:val="single" w:color="000000" w:sz="4" w:space="0"/>
            </w:tcBorders>
            <w:shd w:val="clear" w:color="FFFFFF" w:fill="C0C0C0"/>
            <w:vAlign w:val="center"/>
          </w:tcPr>
          <w:p>
            <w:pPr>
              <w:jc w:val="center"/>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408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157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327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69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c>
          <w:tcPr>
            <w:tcW w:w="135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4</w:t>
            </w:r>
          </w:p>
        </w:tc>
        <w:tc>
          <w:tcPr>
            <w:tcW w:w="12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5</w:t>
            </w:r>
          </w:p>
        </w:tc>
        <w:tc>
          <w:tcPr>
            <w:tcW w:w="168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6</w:t>
            </w:r>
          </w:p>
        </w:tc>
      </w:tr>
      <w:tr>
        <w:tblPrEx>
          <w:tblCellMar>
            <w:top w:w="0" w:type="dxa"/>
            <w:left w:w="108" w:type="dxa"/>
            <w:bottom w:w="0" w:type="dxa"/>
            <w:right w:w="108" w:type="dxa"/>
          </w:tblCellMar>
        </w:tblPrEx>
        <w:trPr>
          <w:trHeight w:val="170" w:hRule="atLeast"/>
        </w:trPr>
        <w:tc>
          <w:tcPr>
            <w:tcW w:w="408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157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70" w:hRule="atLeast"/>
        </w:trPr>
        <w:tc>
          <w:tcPr>
            <w:tcW w:w="2636"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450" w:type="dxa"/>
            <w:tcBorders>
              <w:top w:val="nil"/>
              <w:left w:val="nil"/>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157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327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695"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35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2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68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308" w:hRule="atLeast"/>
        </w:trPr>
        <w:tc>
          <w:tcPr>
            <w:tcW w:w="13856" w:type="dxa"/>
            <w:gridSpan w:val="10"/>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注：本表反映部门本年度政府性基金预算财政拨款收入、支出及结转和结余情况。本部门本年度无收支及结转结余情况，按要求以空表列示。</w:t>
            </w:r>
          </w:p>
        </w:tc>
      </w:tr>
    </w:tbl>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p>
    <w:p>
      <w:pPr>
        <w:rPr>
          <w:rFonts w:ascii="仿宋" w:hAnsi="仿宋" w:eastAsia="仿宋" w:cs="仿宋"/>
          <w:sz w:val="28"/>
          <w:szCs w:val="28"/>
        </w:rPr>
      </w:pPr>
      <w:r>
        <w:rPr>
          <w:rFonts w:hint="eastAsia" w:ascii="仿宋" w:hAnsi="仿宋" w:eastAsia="仿宋" w:cs="仿宋"/>
          <w:sz w:val="28"/>
          <w:szCs w:val="28"/>
        </w:rPr>
        <w:t xml:space="preserve">  九、国有资本经营预算财政拨款支出决算表</w:t>
      </w:r>
    </w:p>
    <w:tbl>
      <w:tblPr>
        <w:tblStyle w:val="6"/>
        <w:tblW w:w="13136" w:type="dxa"/>
        <w:tblInd w:w="93" w:type="dxa"/>
        <w:tblLayout w:type="autofit"/>
        <w:tblCellMar>
          <w:top w:w="0" w:type="dxa"/>
          <w:left w:w="108" w:type="dxa"/>
          <w:bottom w:w="0" w:type="dxa"/>
          <w:right w:w="108" w:type="dxa"/>
        </w:tblCellMar>
      </w:tblPr>
      <w:tblGrid>
        <w:gridCol w:w="1976"/>
        <w:gridCol w:w="600"/>
        <w:gridCol w:w="525"/>
        <w:gridCol w:w="4635"/>
        <w:gridCol w:w="1800"/>
        <w:gridCol w:w="1800"/>
        <w:gridCol w:w="1800"/>
      </w:tblGrid>
      <w:tr>
        <w:tblPrEx>
          <w:tblCellMar>
            <w:top w:w="0" w:type="dxa"/>
            <w:left w:w="108" w:type="dxa"/>
            <w:bottom w:w="0" w:type="dxa"/>
            <w:right w:w="108" w:type="dxa"/>
          </w:tblCellMar>
        </w:tblPrEx>
        <w:trPr>
          <w:trHeight w:val="180" w:hRule="atLeast"/>
        </w:trPr>
        <w:tc>
          <w:tcPr>
            <w:tcW w:w="1976"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5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4635" w:type="dxa"/>
            <w:tcBorders>
              <w:top w:val="nil"/>
              <w:left w:val="nil"/>
              <w:bottom w:val="nil"/>
              <w:right w:val="nil"/>
            </w:tcBorders>
            <w:shd w:val="clear" w:color="auto" w:fill="auto"/>
            <w:noWrap/>
            <w:vAlign w:val="bottom"/>
          </w:tcPr>
          <w:p>
            <w:pPr>
              <w:widowControl/>
              <w:jc w:val="center"/>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国有资本经营预算财政拨款支出决算表</w:t>
            </w: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r>
      <w:tr>
        <w:tblPrEx>
          <w:tblCellMar>
            <w:top w:w="0" w:type="dxa"/>
            <w:left w:w="108" w:type="dxa"/>
            <w:bottom w:w="0" w:type="dxa"/>
            <w:right w:w="108" w:type="dxa"/>
          </w:tblCellMar>
        </w:tblPrEx>
        <w:trPr>
          <w:trHeight w:val="180" w:hRule="atLeast"/>
        </w:trPr>
        <w:tc>
          <w:tcPr>
            <w:tcW w:w="1976"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6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5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463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公开09表</w:t>
            </w:r>
          </w:p>
        </w:tc>
      </w:tr>
      <w:tr>
        <w:tblPrEx>
          <w:tblCellMar>
            <w:top w:w="0" w:type="dxa"/>
            <w:left w:w="108" w:type="dxa"/>
            <w:bottom w:w="0" w:type="dxa"/>
            <w:right w:w="108" w:type="dxa"/>
          </w:tblCellMar>
        </w:tblPrEx>
        <w:trPr>
          <w:trHeight w:val="180" w:hRule="atLeast"/>
        </w:trPr>
        <w:tc>
          <w:tcPr>
            <w:tcW w:w="1976" w:type="dxa"/>
            <w:tcBorders>
              <w:top w:val="nil"/>
              <w:left w:val="nil"/>
              <w:bottom w:val="nil"/>
              <w:right w:val="nil"/>
            </w:tcBorders>
            <w:shd w:val="clear" w:color="auto" w:fill="auto"/>
            <w:noWrap/>
            <w:vAlign w:val="bottom"/>
          </w:tcPr>
          <w:p>
            <w:pPr>
              <w:widowControl/>
              <w:jc w:val="lef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部门：阜平县应急管理局</w:t>
            </w:r>
          </w:p>
        </w:tc>
        <w:tc>
          <w:tcPr>
            <w:tcW w:w="6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52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4635"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rPr>
                <w:rFonts w:ascii="Arial" w:hAnsi="Arial" w:cs="Arial"/>
                <w:color w:val="000000"/>
                <w:sz w:val="16"/>
                <w:szCs w:val="16"/>
              </w:rPr>
            </w:pPr>
          </w:p>
        </w:tc>
        <w:tc>
          <w:tcPr>
            <w:tcW w:w="1800" w:type="dxa"/>
            <w:tcBorders>
              <w:top w:val="nil"/>
              <w:left w:val="nil"/>
              <w:bottom w:val="nil"/>
              <w:right w:val="nil"/>
            </w:tcBorders>
            <w:shd w:val="clear" w:color="auto" w:fill="auto"/>
            <w:noWrap/>
            <w:vAlign w:val="bottom"/>
          </w:tcPr>
          <w:p>
            <w:pPr>
              <w:widowControl/>
              <w:jc w:val="right"/>
              <w:textAlignment w:val="bottom"/>
              <w:rPr>
                <w:rFonts w:ascii="宋体" w:hAnsi="宋体" w:eastAsia="宋体" w:cs="宋体"/>
                <w:color w:val="000000"/>
                <w:sz w:val="16"/>
                <w:szCs w:val="16"/>
              </w:rPr>
            </w:pPr>
            <w:r>
              <w:rPr>
                <w:rFonts w:hint="eastAsia" w:ascii="宋体" w:hAnsi="宋体" w:eastAsia="宋体" w:cs="宋体"/>
                <w:color w:val="000000"/>
                <w:kern w:val="0"/>
                <w:sz w:val="16"/>
                <w:szCs w:val="16"/>
                <w:lang w:bidi="ar"/>
              </w:rPr>
              <w:t>金额单位：万元</w:t>
            </w:r>
          </w:p>
        </w:tc>
      </w:tr>
      <w:tr>
        <w:tblPrEx>
          <w:tblCellMar>
            <w:top w:w="0" w:type="dxa"/>
            <w:left w:w="108" w:type="dxa"/>
            <w:bottom w:w="0" w:type="dxa"/>
            <w:right w:w="108" w:type="dxa"/>
          </w:tblCellMar>
        </w:tblPrEx>
        <w:trPr>
          <w:trHeight w:val="180" w:hRule="atLeast"/>
        </w:trPr>
        <w:tc>
          <w:tcPr>
            <w:tcW w:w="7736" w:type="dxa"/>
            <w:gridSpan w:val="4"/>
            <w:tcBorders>
              <w:top w:val="single" w:color="000000" w:sz="4" w:space="0"/>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w:t>
            </w:r>
          </w:p>
        </w:tc>
        <w:tc>
          <w:tcPr>
            <w:tcW w:w="5400" w:type="dxa"/>
            <w:gridSpan w:val="3"/>
            <w:tcBorders>
              <w:top w:val="single" w:color="000000" w:sz="4" w:space="0"/>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本年支出</w:t>
            </w: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FFFFFF" w:fill="C0C0C0"/>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功能分类科目编码</w:t>
            </w:r>
          </w:p>
        </w:tc>
        <w:tc>
          <w:tcPr>
            <w:tcW w:w="4635"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科目名称</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小计</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基本支出</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项目支出</w:t>
            </w:r>
          </w:p>
        </w:tc>
      </w:tr>
      <w:tr>
        <w:tblPrEx>
          <w:tblCellMar>
            <w:top w:w="0" w:type="dxa"/>
            <w:left w:w="108" w:type="dxa"/>
            <w:bottom w:w="0" w:type="dxa"/>
            <w:right w:w="108" w:type="dxa"/>
          </w:tblCellMar>
        </w:tblPrEx>
        <w:trPr>
          <w:trHeight w:val="180" w:hRule="atLeast"/>
        </w:trPr>
        <w:tc>
          <w:tcPr>
            <w:tcW w:w="773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栏次</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1</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2</w:t>
            </w:r>
          </w:p>
        </w:tc>
        <w:tc>
          <w:tcPr>
            <w:tcW w:w="1800" w:type="dxa"/>
            <w:tcBorders>
              <w:top w:val="nil"/>
              <w:left w:val="nil"/>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3</w:t>
            </w:r>
          </w:p>
        </w:tc>
      </w:tr>
      <w:tr>
        <w:tblPrEx>
          <w:tblCellMar>
            <w:top w:w="0" w:type="dxa"/>
            <w:left w:w="108" w:type="dxa"/>
            <w:bottom w:w="0" w:type="dxa"/>
            <w:right w:w="108" w:type="dxa"/>
          </w:tblCellMar>
        </w:tblPrEx>
        <w:trPr>
          <w:trHeight w:val="180" w:hRule="atLeast"/>
        </w:trPr>
        <w:tc>
          <w:tcPr>
            <w:tcW w:w="7736" w:type="dxa"/>
            <w:gridSpan w:val="4"/>
            <w:tcBorders>
              <w:top w:val="nil"/>
              <w:left w:val="single" w:color="000000" w:sz="4" w:space="0"/>
              <w:bottom w:val="single" w:color="000000" w:sz="4" w:space="0"/>
              <w:right w:val="single" w:color="000000" w:sz="4" w:space="0"/>
            </w:tcBorders>
            <w:shd w:val="clear" w:color="FFFFFF" w:fill="C0C0C0"/>
            <w:noWrap/>
            <w:vAlign w:val="center"/>
          </w:tcPr>
          <w:p>
            <w:pPr>
              <w:widowControl/>
              <w:jc w:val="center"/>
              <w:textAlignment w:val="center"/>
              <w:rPr>
                <w:rFonts w:ascii="宋体" w:hAnsi="宋体" w:eastAsia="宋体" w:cs="宋体"/>
                <w:color w:val="000000"/>
                <w:sz w:val="16"/>
                <w:szCs w:val="16"/>
              </w:rPr>
            </w:pPr>
            <w:r>
              <w:rPr>
                <w:rFonts w:hint="eastAsia" w:ascii="宋体" w:hAnsi="宋体" w:eastAsia="宋体" w:cs="宋体"/>
                <w:color w:val="000000"/>
                <w:kern w:val="0"/>
                <w:sz w:val="16"/>
                <w:szCs w:val="16"/>
                <w:lang w:bidi="ar"/>
              </w:rPr>
              <w:t>合计</w:t>
            </w:r>
          </w:p>
        </w:tc>
        <w:tc>
          <w:tcPr>
            <w:tcW w:w="180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widowControl/>
              <w:jc w:val="right"/>
              <w:textAlignment w:val="center"/>
              <w:rPr>
                <w:rFonts w:ascii="宋体" w:hAnsi="宋体" w:eastAsia="宋体" w:cs="宋体"/>
                <w:b/>
                <w:bCs/>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180" w:hRule="atLeast"/>
        </w:trPr>
        <w:tc>
          <w:tcPr>
            <w:tcW w:w="3101" w:type="dxa"/>
            <w:gridSpan w:val="3"/>
            <w:tcBorders>
              <w:top w:val="nil"/>
              <w:left w:val="single" w:color="000000" w:sz="4" w:space="0"/>
              <w:bottom w:val="single" w:color="000000" w:sz="4" w:space="0"/>
              <w:right w:val="single" w:color="000000" w:sz="4" w:space="0"/>
            </w:tcBorders>
            <w:shd w:val="clear" w:color="auto" w:fill="auto"/>
            <w:noWrap/>
            <w:vAlign w:val="center"/>
          </w:tcPr>
          <w:p>
            <w:pPr>
              <w:jc w:val="left"/>
              <w:rPr>
                <w:rFonts w:ascii="宋体" w:hAnsi="宋体" w:eastAsia="宋体" w:cs="宋体"/>
                <w:color w:val="000000"/>
                <w:sz w:val="16"/>
                <w:szCs w:val="16"/>
              </w:rPr>
            </w:pPr>
          </w:p>
        </w:tc>
        <w:tc>
          <w:tcPr>
            <w:tcW w:w="4635" w:type="dxa"/>
            <w:tcBorders>
              <w:top w:val="nil"/>
              <w:left w:val="nil"/>
              <w:bottom w:val="single" w:color="000000" w:sz="4" w:space="0"/>
              <w:right w:val="single" w:color="000000" w:sz="4" w:space="0"/>
            </w:tcBorders>
            <w:shd w:val="clear" w:color="auto" w:fill="auto"/>
            <w:vAlign w:val="center"/>
          </w:tcPr>
          <w:p>
            <w:pPr>
              <w:jc w:val="lef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c>
          <w:tcPr>
            <w:tcW w:w="1800" w:type="dxa"/>
            <w:tcBorders>
              <w:top w:val="nil"/>
              <w:left w:val="nil"/>
              <w:bottom w:val="single" w:color="000000" w:sz="4" w:space="0"/>
              <w:right w:val="single" w:color="000000" w:sz="4" w:space="0"/>
            </w:tcBorders>
            <w:shd w:val="clear" w:color="auto" w:fill="auto"/>
            <w:noWrap/>
            <w:vAlign w:val="center"/>
          </w:tcPr>
          <w:p>
            <w:pPr>
              <w:jc w:val="right"/>
              <w:rPr>
                <w:rFonts w:ascii="宋体" w:hAnsi="宋体" w:eastAsia="宋体" w:cs="宋体"/>
                <w:color w:val="000000"/>
                <w:sz w:val="16"/>
                <w:szCs w:val="16"/>
              </w:rPr>
            </w:pPr>
          </w:p>
        </w:tc>
      </w:tr>
      <w:tr>
        <w:tblPrEx>
          <w:tblCellMar>
            <w:top w:w="0" w:type="dxa"/>
            <w:left w:w="108" w:type="dxa"/>
            <w:bottom w:w="0" w:type="dxa"/>
            <w:right w:w="108" w:type="dxa"/>
          </w:tblCellMar>
        </w:tblPrEx>
        <w:trPr>
          <w:trHeight w:val="308" w:hRule="atLeast"/>
        </w:trPr>
        <w:tc>
          <w:tcPr>
            <w:tcW w:w="11745" w:type="dxa"/>
            <w:gridSpan w:val="7"/>
            <w:tcBorders>
              <w:top w:val="nil"/>
              <w:left w:val="nil"/>
              <w:bottom w:val="nil"/>
              <w:right w:val="nil"/>
            </w:tcBorders>
            <w:shd w:val="clear" w:color="auto" w:fill="auto"/>
            <w:vAlign w:val="center"/>
          </w:tcPr>
          <w:p>
            <w:pPr>
              <w:widowControl/>
              <w:jc w:val="left"/>
              <w:textAlignment w:val="center"/>
              <w:rPr>
                <w:rFonts w:ascii="宋体" w:hAnsi="宋体" w:eastAsia="宋体" w:cs="宋体"/>
                <w:color w:val="000000"/>
                <w:sz w:val="22"/>
              </w:rPr>
            </w:pPr>
            <w:r>
              <w:rPr>
                <w:rFonts w:hint="eastAsia" w:ascii="宋体" w:hAnsi="宋体" w:eastAsia="宋体" w:cs="宋体"/>
                <w:color w:val="000000"/>
                <w:kern w:val="0"/>
                <w:sz w:val="22"/>
                <w:lang w:bidi="ar"/>
              </w:rPr>
              <w:t>注：本表反映部门本年度国有资本经营预算财政拨款支出情况。本部门本年度无相关支出情况，按要求以空表列示。</w:t>
            </w:r>
          </w:p>
        </w:tc>
      </w:tr>
    </w:tbl>
    <w:p>
      <w:pPr>
        <w:tabs>
          <w:tab w:val="left" w:pos="886"/>
        </w:tabs>
        <w:jc w:val="left"/>
      </w:pPr>
    </w:p>
    <w:p>
      <w:pPr>
        <w:jc w:val="left"/>
      </w:pPr>
    </w:p>
    <w:p>
      <w:r>
        <w:br w:type="page"/>
      </w:r>
      <w:r>
        <w:pict>
          <v:rect id="_x0000_s1105" o:spid="_x0000_s1105" o:spt="1" style="position:absolute;left:0pt;margin-left:7.55pt;margin-top:8.9pt;height:426.45pt;width:661pt;z-index:251674624;v-text-anchor:middle;mso-width-relative:page;mso-height-relative:page;" fillcolor="#FFC000" filled="t" stroked="f" coordsize="21600,21600">
            <v:path/>
            <v:fill on="t" focussize="0,0"/>
            <v:stroke on="f" weight="1pt"/>
            <v:imagedata o:title=""/>
            <o:lock v:ext="edit"/>
          </v:rect>
        </w:pict>
      </w:r>
    </w:p>
    <w:p/>
    <w:sectPr>
      <w:pgSz w:w="16838" w:h="11906" w:orient="landscape"/>
      <w:pgMar w:top="1417" w:right="1701" w:bottom="1417" w:left="1281"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等线">
    <w:altName w:val="微软雅黑"/>
    <w:panose1 w:val="02010600030101010101"/>
    <w:charset w:val="86"/>
    <w:family w:val="auto"/>
    <w:pitch w:val="default"/>
    <w:sig w:usb0="00000000" w:usb1="00000000" w:usb2="00000016" w:usb3="00000000" w:csb0="0004000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Yu Gothic UI Semibold">
    <w:altName w:val="Meiryo UI"/>
    <w:panose1 w:val="020B0700000000000000"/>
    <w:charset w:val="80"/>
    <w:family w:val="swiss"/>
    <w:pitch w:val="default"/>
    <w:sig w:usb0="00000000" w:usb1="00000000" w:usb2="00000016" w:usb3="00000000" w:csb0="2002009F" w:csb1="00000000"/>
  </w:font>
  <w:font w:name="Meiryo UI">
    <w:panose1 w:val="020B0604030504040204"/>
    <w:charset w:val="80"/>
    <w:family w:val="auto"/>
    <w:pitch w:val="default"/>
    <w:sig w:usb0="E10102FF" w:usb1="EAC7FFFF" w:usb2="00010012" w:usb3="00000000" w:csb0="6002009F" w:csb1="DFD70000"/>
  </w:font>
  <w:font w:name="思源黑体 HW Bold">
    <w:altName w:val="宋体"/>
    <w:panose1 w:val="00000000000000000000"/>
    <w:charset w:val="86"/>
    <w:family w:val="swiss"/>
    <w:pitch w:val="default"/>
    <w:sig w:usb0="00000000" w:usb1="00000000" w:usb2="00000010" w:usb3="00000000" w:csb0="00040000" w:csb1="00000000"/>
  </w:font>
  <w:font w:name="ArialUnicodeMS">
    <w:altName w:val="Malgun Gothic"/>
    <w:panose1 w:val="00000000000000000000"/>
    <w:charset w:val="81"/>
    <w:family w:val="auto"/>
    <w:pitch w:val="default"/>
    <w:sig w:usb0="00000000" w:usb1="00000000" w:usb2="00000010" w:usb3="00000000" w:csb0="00080000" w:csb1="00000000"/>
  </w:font>
  <w:font w:name="Malgun Gothic">
    <w:panose1 w:val="020B0503020000020004"/>
    <w:charset w:val="81"/>
    <w:family w:val="auto"/>
    <w:pitch w:val="default"/>
    <w:sig w:usb0="900002AF" w:usb1="01D77CFB" w:usb2="00000012" w:usb3="00000000" w:csb0="00080001" w:csb1="00000000"/>
  </w:font>
  <w:font w:name="Cambria">
    <w:panose1 w:val="02040503050406030204"/>
    <w:charset w:val="00"/>
    <w:family w:val="roman"/>
    <w:pitch w:val="default"/>
    <w:sig w:usb0="A00002EF" w:usb1="4000004B" w:usb2="00000000" w:usb3="00000000" w:csb0="2000019F" w:csb1="00000000"/>
  </w:font>
  <w:font w:name="DengXian-Regular">
    <w:altName w:val="宋体"/>
    <w:panose1 w:val="00000000000000000000"/>
    <w:charset w:val="86"/>
    <w:family w:val="auto"/>
    <w:pitch w:val="default"/>
    <w:sig w:usb0="00000000" w:usb1="00000000" w:usb2="00000010" w:usb3="00000000" w:csb0="00040000" w:csb1="00000000"/>
  </w:font>
  <w:font w:name="DengXian-Bold">
    <w:altName w:val="宋体"/>
    <w:panose1 w:val="00000000000000000000"/>
    <w:charset w:val="86"/>
    <w:family w:val="auto"/>
    <w:pitch w:val="default"/>
    <w:sig w:usb0="00000000" w:usb1="00000000" w:usb2="00000010" w:usb3="00000000" w:csb0="00040000" w:csb1="00000000"/>
  </w:font>
  <w:font w:name="MS-UIGothic,Bold">
    <w:altName w:val="Malgun Gothic"/>
    <w:panose1 w:val="00000000000000000000"/>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top w:val="none" w:color="auto" w:sz="0" w:space="0"/>
        <w:left w:val="none" w:color="auto" w:sz="0" w:space="0"/>
        <w:bottom w:val="none" w:color="auto" w:sz="0" w:space="0"/>
        <w:right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23F94C7"/>
    <w:multiLevelType w:val="singleLevel"/>
    <w:tmpl w:val="823F94C7"/>
    <w:lvl w:ilvl="0" w:tentative="0">
      <w:start w:val="1"/>
      <w:numFmt w:val="chineseCounting"/>
      <w:suff w:val="nothing"/>
      <w:lvlText w:val="%1、"/>
      <w:lvlJc w:val="left"/>
      <w:rPr>
        <w:rFonts w:hint="eastAsia"/>
      </w:rPr>
    </w:lvl>
  </w:abstractNum>
  <w:abstractNum w:abstractNumId="1">
    <w:nsid w:val="DCF22928"/>
    <w:multiLevelType w:val="singleLevel"/>
    <w:tmpl w:val="DCF22928"/>
    <w:lvl w:ilvl="0" w:tentative="0">
      <w:start w:val="8"/>
      <w:numFmt w:val="chineseCounting"/>
      <w:suff w:val="nothing"/>
      <w:lvlText w:val="%1、"/>
      <w:lvlJc w:val="left"/>
      <w:rPr>
        <w:rFonts w:hint="eastAsia"/>
      </w:rPr>
    </w:lvl>
  </w:abstractNum>
  <w:abstractNum w:abstractNumId="2">
    <w:nsid w:val="F2FB7CAC"/>
    <w:multiLevelType w:val="singleLevel"/>
    <w:tmpl w:val="F2FB7CAC"/>
    <w:lvl w:ilvl="0" w:tentative="0">
      <w:start w:val="2"/>
      <w:numFmt w:val="chineseCounting"/>
      <w:suff w:val="nothing"/>
      <w:lvlText w:val="（%1）"/>
      <w:lvlJc w:val="left"/>
      <w:rPr>
        <w:rFonts w:hint="eastAsia"/>
      </w:rPr>
    </w:lvl>
  </w:abstractNum>
  <w:abstractNum w:abstractNumId="3">
    <w:nsid w:val="0ADE0C90"/>
    <w:multiLevelType w:val="singleLevel"/>
    <w:tmpl w:val="0ADE0C90"/>
    <w:lvl w:ilvl="0" w:tentative="0">
      <w:start w:val="1"/>
      <w:numFmt w:val="chineseCounting"/>
      <w:suff w:val="nothing"/>
      <w:lvlText w:val="%1、"/>
      <w:lvlJc w:val="left"/>
      <w:pPr>
        <w:ind w:left="580" w:firstLine="0"/>
      </w:pPr>
      <w:rPr>
        <w:rFonts w:hint="eastAsia"/>
      </w:rPr>
    </w:lvl>
  </w:abstractNum>
  <w:abstractNum w:abstractNumId="4">
    <w:nsid w:val="45DB9A87"/>
    <w:multiLevelType w:val="singleLevel"/>
    <w:tmpl w:val="45DB9A87"/>
    <w:lvl w:ilvl="0" w:tentative="0">
      <w:start w:val="3"/>
      <w:numFmt w:val="chineseCounting"/>
      <w:suff w:val="nothing"/>
      <w:lvlText w:val="（%1）"/>
      <w:lvlJc w:val="left"/>
      <w:pPr>
        <w:ind w:left="-210"/>
      </w:pPr>
      <w:rPr>
        <w:rFonts w:hint="eastAsia" w:cs="Times New Roman"/>
      </w:rPr>
    </w:lvl>
  </w:abstractNum>
  <w:abstractNum w:abstractNumId="5">
    <w:nsid w:val="7DF65AB5"/>
    <w:multiLevelType w:val="singleLevel"/>
    <w:tmpl w:val="7DF65AB5"/>
    <w:lvl w:ilvl="0" w:tentative="0">
      <w:start w:val="1"/>
      <w:numFmt w:val="decimal"/>
      <w:suff w:val="nothing"/>
      <w:lvlText w:val="（%1）"/>
      <w:lvlJc w:val="left"/>
    </w:lvl>
  </w:abstractNum>
  <w:num w:numId="1">
    <w:abstractNumId w:val="3"/>
  </w:num>
  <w:num w:numId="2">
    <w:abstractNumId w:val="4"/>
  </w:num>
  <w:num w:numId="3">
    <w:abstractNumId w:val="5"/>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drawingGridVerticalSpacing w:val="156"/>
  <w:noPunctuationKerning w:val="1"/>
  <w:characterSpacingControl w:val="compressPunctuation"/>
  <w:noLineBreaksAfter w:lang="zh-CN" w:val="$([{£¥·‘“〈《「『【〔〖〝﹙﹛﹝＄（．［｛￡￥"/>
  <w:noLineBreaksBefore w:lang="zh-CN" w:val="!%),.:;&gt;?]}¢¨°·ˇˉ―‖’”…‰′″›℃∶、。〃〉》」』】〕〗〞︶︺︾﹀﹄﹚﹜﹞！＂％＇），．：；？］｀｜｝～￠"/>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6AAF1C96"/>
    <w:rsid w:val="0007063E"/>
    <w:rsid w:val="00071ADD"/>
    <w:rsid w:val="00073392"/>
    <w:rsid w:val="00073F4E"/>
    <w:rsid w:val="00086C89"/>
    <w:rsid w:val="000A39FB"/>
    <w:rsid w:val="00117746"/>
    <w:rsid w:val="00163F95"/>
    <w:rsid w:val="00180A9A"/>
    <w:rsid w:val="001829C0"/>
    <w:rsid w:val="00184809"/>
    <w:rsid w:val="00192112"/>
    <w:rsid w:val="001B0127"/>
    <w:rsid w:val="001C12D5"/>
    <w:rsid w:val="001C69F7"/>
    <w:rsid w:val="001E45D3"/>
    <w:rsid w:val="001F1F11"/>
    <w:rsid w:val="00222FFE"/>
    <w:rsid w:val="002650EC"/>
    <w:rsid w:val="002A6C46"/>
    <w:rsid w:val="002C19B5"/>
    <w:rsid w:val="00371224"/>
    <w:rsid w:val="003A4EE8"/>
    <w:rsid w:val="00442CC2"/>
    <w:rsid w:val="00446244"/>
    <w:rsid w:val="00473C20"/>
    <w:rsid w:val="004D61CB"/>
    <w:rsid w:val="005011D6"/>
    <w:rsid w:val="00503F2E"/>
    <w:rsid w:val="00533FF9"/>
    <w:rsid w:val="00552226"/>
    <w:rsid w:val="00566120"/>
    <w:rsid w:val="00582E6D"/>
    <w:rsid w:val="005954D5"/>
    <w:rsid w:val="005A53FA"/>
    <w:rsid w:val="005D1293"/>
    <w:rsid w:val="00644D5F"/>
    <w:rsid w:val="006727AD"/>
    <w:rsid w:val="00691425"/>
    <w:rsid w:val="006A516E"/>
    <w:rsid w:val="006B0830"/>
    <w:rsid w:val="006E1D2A"/>
    <w:rsid w:val="00716E2B"/>
    <w:rsid w:val="0072015C"/>
    <w:rsid w:val="00770F18"/>
    <w:rsid w:val="00773B74"/>
    <w:rsid w:val="0078290C"/>
    <w:rsid w:val="007C06CA"/>
    <w:rsid w:val="00803656"/>
    <w:rsid w:val="008163FB"/>
    <w:rsid w:val="0082605B"/>
    <w:rsid w:val="00850871"/>
    <w:rsid w:val="00855C36"/>
    <w:rsid w:val="00857DBE"/>
    <w:rsid w:val="008701BC"/>
    <w:rsid w:val="00883D92"/>
    <w:rsid w:val="008A5362"/>
    <w:rsid w:val="008F21F1"/>
    <w:rsid w:val="008F221B"/>
    <w:rsid w:val="008F5A2D"/>
    <w:rsid w:val="00905748"/>
    <w:rsid w:val="00921602"/>
    <w:rsid w:val="0093236C"/>
    <w:rsid w:val="00957EA1"/>
    <w:rsid w:val="00966E5B"/>
    <w:rsid w:val="009B4EF0"/>
    <w:rsid w:val="009D271F"/>
    <w:rsid w:val="00A4337A"/>
    <w:rsid w:val="00A929C2"/>
    <w:rsid w:val="00AD097F"/>
    <w:rsid w:val="00B844F4"/>
    <w:rsid w:val="00BA06A1"/>
    <w:rsid w:val="00BA770A"/>
    <w:rsid w:val="00BF4D15"/>
    <w:rsid w:val="00C054DE"/>
    <w:rsid w:val="00C679A9"/>
    <w:rsid w:val="00C7541C"/>
    <w:rsid w:val="00CC0FAA"/>
    <w:rsid w:val="00CD0736"/>
    <w:rsid w:val="00D12606"/>
    <w:rsid w:val="00D1570F"/>
    <w:rsid w:val="00D31539"/>
    <w:rsid w:val="00D32830"/>
    <w:rsid w:val="00D70AB5"/>
    <w:rsid w:val="00DB7153"/>
    <w:rsid w:val="00DB7F05"/>
    <w:rsid w:val="00E028C3"/>
    <w:rsid w:val="00E14F77"/>
    <w:rsid w:val="00E3076B"/>
    <w:rsid w:val="00E36978"/>
    <w:rsid w:val="00E82A1E"/>
    <w:rsid w:val="00EC06F4"/>
    <w:rsid w:val="00EE4E36"/>
    <w:rsid w:val="00F665F4"/>
    <w:rsid w:val="00FB1D00"/>
    <w:rsid w:val="00FD225F"/>
    <w:rsid w:val="04452017"/>
    <w:rsid w:val="04B00FB3"/>
    <w:rsid w:val="05206FF2"/>
    <w:rsid w:val="067B60BE"/>
    <w:rsid w:val="0D8A79D7"/>
    <w:rsid w:val="0F962E88"/>
    <w:rsid w:val="10B73068"/>
    <w:rsid w:val="14F91790"/>
    <w:rsid w:val="15BA3976"/>
    <w:rsid w:val="16C16E03"/>
    <w:rsid w:val="16D0288D"/>
    <w:rsid w:val="18F15B47"/>
    <w:rsid w:val="1D852751"/>
    <w:rsid w:val="1E883427"/>
    <w:rsid w:val="207919ED"/>
    <w:rsid w:val="20BE3F1F"/>
    <w:rsid w:val="252B0401"/>
    <w:rsid w:val="283821B2"/>
    <w:rsid w:val="28635291"/>
    <w:rsid w:val="2C5068E5"/>
    <w:rsid w:val="2F2F2F75"/>
    <w:rsid w:val="30D56CB9"/>
    <w:rsid w:val="317C1115"/>
    <w:rsid w:val="31C2036A"/>
    <w:rsid w:val="31E530EE"/>
    <w:rsid w:val="320D02A5"/>
    <w:rsid w:val="348E566F"/>
    <w:rsid w:val="39712EF5"/>
    <w:rsid w:val="3A226944"/>
    <w:rsid w:val="3A8452F4"/>
    <w:rsid w:val="3AEE6A48"/>
    <w:rsid w:val="3C1620AA"/>
    <w:rsid w:val="3D8F080F"/>
    <w:rsid w:val="3FB43688"/>
    <w:rsid w:val="401E7F96"/>
    <w:rsid w:val="40A30A78"/>
    <w:rsid w:val="41AB45F1"/>
    <w:rsid w:val="4490512C"/>
    <w:rsid w:val="44CE1FA4"/>
    <w:rsid w:val="44DD6324"/>
    <w:rsid w:val="45C57F98"/>
    <w:rsid w:val="46610483"/>
    <w:rsid w:val="46EE5316"/>
    <w:rsid w:val="487F73ED"/>
    <w:rsid w:val="497879EB"/>
    <w:rsid w:val="49B26D12"/>
    <w:rsid w:val="4A347EAE"/>
    <w:rsid w:val="4C58790C"/>
    <w:rsid w:val="4D1458FC"/>
    <w:rsid w:val="50F3696A"/>
    <w:rsid w:val="5228743F"/>
    <w:rsid w:val="52600405"/>
    <w:rsid w:val="529B4319"/>
    <w:rsid w:val="5396795E"/>
    <w:rsid w:val="569429D3"/>
    <w:rsid w:val="57773DD6"/>
    <w:rsid w:val="578B79AB"/>
    <w:rsid w:val="57E52EAC"/>
    <w:rsid w:val="5B995764"/>
    <w:rsid w:val="5C115A22"/>
    <w:rsid w:val="5CBF721F"/>
    <w:rsid w:val="5CCD3FD5"/>
    <w:rsid w:val="5F8B5DBA"/>
    <w:rsid w:val="61FA5F9D"/>
    <w:rsid w:val="61FD0404"/>
    <w:rsid w:val="64CD6910"/>
    <w:rsid w:val="64F61AC9"/>
    <w:rsid w:val="6789158D"/>
    <w:rsid w:val="67D81BA4"/>
    <w:rsid w:val="6858077C"/>
    <w:rsid w:val="6AAF1C96"/>
    <w:rsid w:val="6CB81770"/>
    <w:rsid w:val="6CDB5295"/>
    <w:rsid w:val="6E750046"/>
    <w:rsid w:val="71560359"/>
    <w:rsid w:val="73281F26"/>
    <w:rsid w:val="75681757"/>
    <w:rsid w:val="75A346A8"/>
    <w:rsid w:val="79B9382C"/>
    <w:rsid w:val="7A850C57"/>
    <w:rsid w:val="7B043B76"/>
    <w:rsid w:val="7B1E5196"/>
    <w:rsid w:val="7BBB4E59"/>
    <w:rsid w:val="7C041A6A"/>
    <w:rsid w:val="7D8A7B38"/>
    <w:rsid w:val="7E327570"/>
    <w:rsid w:val="7FD928B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paragraph" w:styleId="2">
    <w:name w:val="heading 1"/>
    <w:basedOn w:val="1"/>
    <w:next w:val="1"/>
    <w:link w:val="9"/>
    <w:qFormat/>
    <w:uiPriority w:val="99"/>
    <w:pPr>
      <w:keepNext/>
      <w:keepLines/>
      <w:spacing w:before="340" w:after="330" w:line="578" w:lineRule="auto"/>
      <w:outlineLvl w:val="0"/>
    </w:pPr>
    <w:rPr>
      <w:b/>
      <w:bCs/>
      <w:kern w:val="44"/>
      <w:sz w:val="44"/>
      <w:szCs w:val="44"/>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Body Text"/>
    <w:basedOn w:val="1"/>
    <w:link w:val="10"/>
    <w:qFormat/>
    <w:uiPriority w:val="99"/>
    <w:rPr>
      <w:rFonts w:ascii="仿宋_GB2312" w:hAnsi="仿宋_GB2312" w:eastAsia="仿宋_GB2312" w:cs="仿宋_GB2312"/>
      <w:sz w:val="32"/>
      <w:szCs w:val="32"/>
      <w:lang w:val="zh-CN"/>
    </w:rPr>
  </w:style>
  <w:style w:type="paragraph" w:styleId="4">
    <w:name w:val="footer"/>
    <w:basedOn w:val="1"/>
    <w:link w:val="11"/>
    <w:qFormat/>
    <w:uiPriority w:val="99"/>
    <w:pPr>
      <w:tabs>
        <w:tab w:val="center" w:pos="4153"/>
        <w:tab w:val="right" w:pos="8306"/>
      </w:tabs>
      <w:snapToGrid w:val="0"/>
      <w:jc w:val="left"/>
    </w:pPr>
    <w:rPr>
      <w:sz w:val="18"/>
      <w:szCs w:val="18"/>
    </w:rPr>
  </w:style>
  <w:style w:type="paragraph" w:styleId="5">
    <w:name w:val="header"/>
    <w:basedOn w:val="1"/>
    <w:link w:val="12"/>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sz w:val="18"/>
      <w:szCs w:val="18"/>
    </w:rPr>
  </w:style>
  <w:style w:type="table" w:styleId="7">
    <w:name w:val="Table Grid"/>
    <w:basedOn w:val="6"/>
    <w:qFormat/>
    <w:uiPriority w:val="99"/>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9">
    <w:name w:val="标题 1 Char"/>
    <w:basedOn w:val="8"/>
    <w:link w:val="2"/>
    <w:qFormat/>
    <w:uiPriority w:val="9"/>
    <w:rPr>
      <w:rFonts w:ascii="等线" w:hAnsi="等线" w:eastAsia="等线"/>
      <w:b/>
      <w:bCs/>
      <w:kern w:val="44"/>
      <w:sz w:val="44"/>
      <w:szCs w:val="44"/>
    </w:rPr>
  </w:style>
  <w:style w:type="character" w:customStyle="1" w:styleId="10">
    <w:name w:val="正文文本 Char"/>
    <w:basedOn w:val="8"/>
    <w:link w:val="3"/>
    <w:semiHidden/>
    <w:qFormat/>
    <w:uiPriority w:val="99"/>
    <w:rPr>
      <w:rFonts w:ascii="等线" w:hAnsi="等线" w:eastAsia="等线"/>
    </w:rPr>
  </w:style>
  <w:style w:type="character" w:customStyle="1" w:styleId="11">
    <w:name w:val="页脚 Char"/>
    <w:basedOn w:val="8"/>
    <w:link w:val="4"/>
    <w:qFormat/>
    <w:locked/>
    <w:uiPriority w:val="99"/>
    <w:rPr>
      <w:rFonts w:cs="Times New Roman"/>
      <w:sz w:val="18"/>
      <w:szCs w:val="18"/>
    </w:rPr>
  </w:style>
  <w:style w:type="character" w:customStyle="1" w:styleId="12">
    <w:name w:val="页眉 Char"/>
    <w:basedOn w:val="8"/>
    <w:link w:val="5"/>
    <w:qFormat/>
    <w:locked/>
    <w:uiPriority w:val="99"/>
    <w:rPr>
      <w:rFonts w:ascii="等线" w:hAnsi="等线" w:eastAsia="等线" w:cs="Times New Roman"/>
      <w:sz w:val="18"/>
      <w:szCs w:val="18"/>
    </w:rPr>
  </w:style>
  <w:style w:type="paragraph" w:customStyle="1" w:styleId="13">
    <w:name w:val="列出段落1"/>
    <w:basedOn w:val="1"/>
    <w:qFormat/>
    <w:uiPriority w:val="99"/>
    <w:pPr>
      <w:spacing w:before="2"/>
      <w:ind w:left="119" w:right="434" w:firstLine="643"/>
    </w:pPr>
    <w:rPr>
      <w:rFonts w:ascii="仿宋_GB2312" w:hAnsi="仿宋_GB2312" w:eastAsia="仿宋_GB2312" w:cs="仿宋_GB231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png"/><Relationship Id="rId13" Type="http://schemas.openxmlformats.org/officeDocument/2006/relationships/theme" Target="theme/theme1.xml"/><Relationship Id="rId12" Type="http://schemas.openxmlformats.org/officeDocument/2006/relationships/header" Target="header7.xml"/><Relationship Id="rId11" Type="http://schemas.openxmlformats.org/officeDocument/2006/relationships/header" Target="header6.xml"/><Relationship Id="rId10" Type="http://schemas.openxmlformats.org/officeDocument/2006/relationships/footer" Target="footer3.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gmingxin\AppData\Roaming\kingsoft\office6\templates\download\5185bd05-a416-9a0b-b3d5-d2d8db942b83\&#31616;&#32422;&#25991;&#26723;&#23553;&#38754;&#27169;&#26495;.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33"/>
    <customShpInfo spid="_x0000_s1034"/>
    <customShpInfo spid="_x0000_s1035"/>
    <customShpInfo spid="_x0000_s1036"/>
    <customShpInfo spid="_x0000_s1038"/>
    <customShpInfo spid="_x0000_s1039"/>
    <customShpInfo spid="_x0000_s1037"/>
    <customShpInfo spid="_x0000_s1043"/>
    <customShpInfo spid="_x0000_s1041"/>
    <customShpInfo spid="_x0000_s1042"/>
    <customShpInfo spid="_x0000_s1040"/>
    <customShpInfo spid="_x0000_s1053"/>
    <customShpInfo spid="_x0000_s1061"/>
    <customShpInfo spid="_x0000_s1062"/>
    <customShpInfo spid="_x0000_s1064"/>
    <customShpInfo spid="_x0000_s1065"/>
    <customShpInfo spid="_x0000_s1063"/>
    <customShpInfo spid="_x0000_s1067"/>
    <customShpInfo spid="_x0000_s1068"/>
    <customShpInfo spid="_x0000_s1066"/>
    <customShpInfo spid="_x0000_s1070"/>
    <customShpInfo spid="_x0000_s1071"/>
    <customShpInfo spid="_x0000_s1069"/>
    <customShpInfo spid="_x0000_s1088"/>
    <customShpInfo spid="_x0000_s1089"/>
    <customShpInfo spid="_x0000_s1105"/>
  </customShpExt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5B94E7A-77CD-4359-B9E7-44B53F49697D}">
  <ds:schemaRefs/>
</ds:datastoreItem>
</file>

<file path=docProps/app.xml><?xml version="1.0" encoding="utf-8"?>
<Properties xmlns="http://schemas.openxmlformats.org/officeDocument/2006/extended-properties" xmlns:vt="http://schemas.openxmlformats.org/officeDocument/2006/docPropsVTypes">
  <Template>简约文档封面模板</Template>
  <Company>MS</Company>
  <Pages>32</Pages>
  <Words>2150</Words>
  <Characters>12261</Characters>
  <Lines>102</Lines>
  <Paragraphs>28</Paragraphs>
  <TotalTime>0</TotalTime>
  <ScaleCrop>false</ScaleCrop>
  <LinksUpToDate>false</LinksUpToDate>
  <CharactersWithSpaces>14383</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2020-07-29T09:42:00Z</dcterms:created>
  <dc:creator>王明新TIAD</dc:creator>
  <cp:lastModifiedBy>Administrator</cp:lastModifiedBy>
  <cp:lastPrinted>2020-07-30T02:37:00Z</cp:lastPrinted>
  <dcterms:modified xsi:type="dcterms:W3CDTF">2021-06-25T04:01:40Z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7FCA89E8863F4E39BFC78797DE5DA66F</vt:lpwstr>
  </property>
</Properties>
</file>