
<file path=[Content_Types].xml><?xml version="1.0" encoding="utf-8"?>
<Types xmlns="http://schemas.openxmlformats.org/package/2006/content-types">
  <Default Extension="xml" ContentType="application/xml"/>
  <Default Extension="jpeg" ContentType="image/jpeg"/>
  <Default Extension="JPG" ContentType="image/.jpg"/>
  <Default Extension="gif" ContentType="image/gif"/>
  <Default Extension="bmp" ContentType="image/bmp"/>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r>
        <w:rPr>
          <w:rFonts w:ascii="Calibri" w:hAnsi="Calibri" w:eastAsia="宋体" w:cs="黑体"/>
          <w:kern w:val="2"/>
          <w:sz w:val="21"/>
          <w:szCs w:val="24"/>
          <w:lang w:val="en-US" w:eastAsia="zh-CN" w:bidi="ar-SA"/>
        </w:rPr>
        <w:pict>
          <v:shape id="Quad Arrow 4" o:spid="_x0000_s1026" o:spt="202" type="#_x0000_t202" style="position:absolute;left:0pt;margin-left:167.15pt;margin-top:593.85pt;height:44.45pt;width:148.3pt;z-index:251665408;mso-width-relative:page;mso-height-relative:page;" fillcolor="#FBFDFF" filled="t" o:preferrelative="t" stroked="f" coordsize="21600,21600">
            <v:path/>
            <v:fill on="t" focussize="0,0"/>
            <v:stroke on="f"/>
            <v:imagedata gain="65536f" blacklevel="0f" gamma="0" o:title=""/>
            <o:lock v:ext="edit" position="f" selection="f" grouping="f" rotation="f" cropping="f" text="f" aspectratio="f"/>
            <v:textbox>
              <w:txbxContent>
                <w:p>
                  <w:pPr>
                    <w:rPr>
                      <w:rFonts w:ascii="仿宋_GB2312" w:hAnsi="仿宋" w:eastAsia="仿宋_GB2312"/>
                      <w:sz w:val="44"/>
                      <w:szCs w:val="44"/>
                    </w:rPr>
                  </w:pPr>
                  <w:r>
                    <w:rPr>
                      <w:rFonts w:hint="eastAsia" w:ascii="仿宋_GB2312" w:hAnsi="仿宋" w:eastAsia="仿宋_GB2312"/>
                      <w:sz w:val="44"/>
                      <w:szCs w:val="44"/>
                      <w:lang w:val="en-US" w:eastAsia="zh-CN"/>
                    </w:rPr>
                    <w:t>2021</w:t>
                  </w:r>
                  <w:r>
                    <w:rPr>
                      <w:rFonts w:hint="eastAsia" w:ascii="仿宋_GB2312" w:hAnsi="仿宋" w:eastAsia="仿宋_GB2312"/>
                      <w:sz w:val="44"/>
                      <w:szCs w:val="44"/>
                    </w:rPr>
                    <w:t>年</w:t>
                  </w:r>
                  <w:r>
                    <w:rPr>
                      <w:rFonts w:hint="eastAsia" w:ascii="仿宋_GB2312" w:hAnsi="仿宋" w:eastAsia="仿宋_GB2312"/>
                      <w:sz w:val="44"/>
                      <w:szCs w:val="44"/>
                      <w:lang w:val="en-US" w:eastAsia="zh-CN"/>
                    </w:rPr>
                    <w:t>10</w:t>
                  </w:r>
                  <w:r>
                    <w:rPr>
                      <w:rFonts w:hint="eastAsia" w:ascii="仿宋_GB2312" w:hAnsi="仿宋" w:eastAsia="仿宋_GB2312"/>
                      <w:sz w:val="44"/>
                      <w:szCs w:val="44"/>
                    </w:rPr>
                    <w:t>月</w:t>
                  </w:r>
                </w:p>
                <w:p/>
              </w:txbxContent>
            </v:textbox>
          </v:shape>
        </w:pict>
      </w:r>
      <w:r>
        <w:rPr>
          <w:rFonts w:ascii="Calibri" w:hAnsi="Calibri" w:eastAsia="宋体" w:cs="黑体"/>
          <w:kern w:val="2"/>
          <w:sz w:val="21"/>
          <w:szCs w:val="24"/>
          <w:lang w:val="en-US" w:eastAsia="zh-CN" w:bidi="ar-SA"/>
        </w:rPr>
        <w:pict>
          <v:shape id="图片 5" o:spid="_x0000_s1027" o:spt="75" alt="公开封面2" type="#_x0000_t75" style="position:absolute;left:0pt;margin-left:-78.05pt;margin-top:-231.65pt;height:959.25pt;width:595.15pt;z-index:251664384;mso-width-relative:page;mso-height-relative:page;" fillcolor="#FFFFFF" filled="f" o:preferrelative="t" stroked="f" coordsize="21600,21600">
            <v:path/>
            <v:fill on="f" color2="#FFFFFF" focussize="0,0"/>
            <v:stroke on="f"/>
            <v:imagedata r:id="rId9" gain="65536f" blacklevel="0f" gamma="0" o:title="公开封面2"/>
            <o:lock v:ext="edit" position="f" selection="f" grouping="f" rotation="f" cropping="f" text="f" aspectratio="t"/>
          </v:shape>
        </w:pict>
      </w:r>
      <w:r>
        <w:br w:type="page"/>
      </w:r>
    </w:p>
    <w:p>
      <w:pPr>
        <w:rPr>
          <w:rFonts w:ascii="黑体" w:hAnsi="黑体" w:eastAsia="黑体" w:cs="黑体"/>
          <w:sz w:val="72"/>
          <w:szCs w:val="96"/>
        </w:rPr>
      </w:pPr>
    </w:p>
    <w:p>
      <w:pPr>
        <w:rPr>
          <w:rFonts w:ascii="黑体" w:hAnsi="黑体" w:eastAsia="黑体" w:cs="黑体"/>
          <w:sz w:val="72"/>
          <w:szCs w:val="96"/>
        </w:rPr>
      </w:pPr>
      <w:r>
        <w:rPr>
          <w:rFonts w:hint="eastAsia" w:ascii="黑体" w:hAnsi="黑体" w:eastAsia="黑体" w:cs="黑体"/>
          <w:sz w:val="72"/>
          <w:szCs w:val="96"/>
        </w:rPr>
        <w:t>2020年度部门决算公开文本</w:t>
      </w:r>
    </w:p>
    <w:p>
      <w:pPr>
        <w:spacing w:line="36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napToGrid w:val="0"/>
        <w:jc w:val="center"/>
        <w:rPr>
          <w:rFonts w:hint="eastAsia" w:ascii="楷体_GB2312" w:hAnsi="楷体_GB2312" w:eastAsia="楷体_GB2312" w:cs="楷体_GB2312"/>
          <w:color w:val="000000"/>
          <w:kern w:val="0"/>
          <w:sz w:val="44"/>
          <w:szCs w:val="44"/>
          <w:lang w:eastAsia="zh-CN"/>
        </w:rPr>
      </w:pPr>
      <w:r>
        <w:rPr>
          <w:rFonts w:hint="eastAsia" w:ascii="楷体_GB2312" w:hAnsi="楷体_GB2312" w:eastAsia="楷体_GB2312" w:cs="楷体_GB2312"/>
          <w:color w:val="000000"/>
          <w:kern w:val="0"/>
          <w:sz w:val="44"/>
          <w:szCs w:val="44"/>
          <w:lang w:eastAsia="zh-CN"/>
        </w:rPr>
        <w:t>阜平县公安局</w:t>
      </w:r>
    </w:p>
    <w:p>
      <w:pPr>
        <w:snapToGrid w:val="0"/>
        <w:jc w:val="center"/>
        <w:rPr>
          <w:rFonts w:ascii="楷体_GB2312" w:hAnsi="楷体_GB2312" w:eastAsia="楷体_GB2312" w:cs="楷体_GB2312"/>
          <w:color w:val="000000"/>
          <w:kern w:val="0"/>
          <w:sz w:val="40"/>
          <w:szCs w:val="40"/>
        </w:rPr>
      </w:pPr>
      <w:r>
        <w:rPr>
          <w:rFonts w:hint="eastAsia" w:ascii="楷体_GB2312" w:hAnsi="楷体_GB2312" w:eastAsia="楷体_GB2312" w:cs="楷体_GB2312"/>
          <w:color w:val="000000"/>
          <w:kern w:val="0"/>
          <w:sz w:val="40"/>
          <w:szCs w:val="40"/>
        </w:rPr>
        <w:t>二〇二一年</w:t>
      </w:r>
      <w:r>
        <w:rPr>
          <w:rFonts w:hint="eastAsia" w:ascii="楷体_GB2312" w:hAnsi="楷体_GB2312" w:eastAsia="楷体_GB2312" w:cs="楷体_GB2312"/>
          <w:color w:val="000000"/>
          <w:kern w:val="0"/>
          <w:sz w:val="40"/>
          <w:szCs w:val="40"/>
          <w:lang w:val="en-US" w:eastAsia="zh-CN"/>
        </w:rPr>
        <w:t>十</w:t>
      </w:r>
      <w:r>
        <w:rPr>
          <w:rFonts w:hint="eastAsia" w:ascii="楷体_GB2312" w:hAnsi="楷体_GB2312" w:eastAsia="楷体_GB2312" w:cs="楷体_GB2312"/>
          <w:color w:val="000000"/>
          <w:kern w:val="0"/>
          <w:sz w:val="40"/>
          <w:szCs w:val="40"/>
        </w:rPr>
        <w:t>月</w:t>
      </w:r>
    </w:p>
    <w:p>
      <w:pPr>
        <w:snapToGrid w:val="0"/>
        <w:jc w:val="center"/>
        <w:rPr>
          <w:rFonts w:ascii="楷体_GB2312" w:hAnsi="楷体_GB2312" w:eastAsia="楷体_GB2312" w:cs="楷体_GB2312"/>
          <w:color w:val="000000"/>
          <w:kern w:val="0"/>
          <w:sz w:val="40"/>
          <w:szCs w:val="40"/>
        </w:rPr>
      </w:pPr>
    </w:p>
    <w:p>
      <w:pPr>
        <w:jc w:val="center"/>
        <w:rPr>
          <w:rFonts w:ascii="黑体" w:hAnsi="黑体" w:eastAsia="黑体" w:cs="黑体"/>
          <w:sz w:val="72"/>
          <w:szCs w:val="96"/>
          <w:highlight w:val="yellow"/>
        </w:rPr>
      </w:pPr>
      <w:r>
        <w:rPr>
          <w:rFonts w:hint="eastAsia" w:ascii="黑体" w:hAnsi="黑体" w:eastAsia="黑体" w:cs="黑体"/>
          <w:sz w:val="72"/>
          <w:szCs w:val="96"/>
          <w:lang w:eastAsia="zh-CN"/>
        </w:rPr>
        <w:t>阜平县公安局</w:t>
      </w:r>
    </w:p>
    <w:p>
      <w:pPr>
        <w:rPr>
          <w:rFonts w:ascii="黑体" w:hAnsi="黑体" w:eastAsia="黑体" w:cs="黑体"/>
          <w:sz w:val="72"/>
          <w:szCs w:val="96"/>
        </w:rPr>
      </w:pPr>
      <w:r>
        <w:rPr>
          <w:rFonts w:hint="eastAsia" w:ascii="黑体" w:hAnsi="黑体" w:eastAsia="黑体" w:cs="黑体"/>
          <w:sz w:val="72"/>
          <w:szCs w:val="96"/>
        </w:rPr>
        <w:t>2020年度部门决算公开文本</w:t>
      </w:r>
    </w:p>
    <w:p>
      <w:pPr>
        <w:spacing w:line="36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napToGrid w:val="0"/>
        <w:jc w:val="center"/>
        <w:rPr>
          <w:rFonts w:ascii="楷体_GB2312" w:hAnsi="楷体_GB2312" w:eastAsia="楷体_GB2312" w:cs="楷体_GB2312"/>
          <w:color w:val="000000"/>
          <w:kern w:val="0"/>
          <w:sz w:val="40"/>
          <w:szCs w:val="40"/>
        </w:rPr>
      </w:pPr>
    </w:p>
    <w:p>
      <w:pPr>
        <w:snapToGrid w:val="0"/>
        <w:jc w:val="center"/>
        <w:rPr>
          <w:rFonts w:ascii="楷体_GB2312" w:hAnsi="楷体_GB2312" w:eastAsia="楷体_GB2312" w:cs="楷体_GB2312"/>
          <w:color w:val="000000"/>
          <w:kern w:val="0"/>
          <w:sz w:val="40"/>
          <w:szCs w:val="40"/>
        </w:rPr>
      </w:pPr>
    </w:p>
    <w:p>
      <w:pPr>
        <w:snapToGrid w:val="0"/>
        <w:jc w:val="center"/>
        <w:rPr>
          <w:rFonts w:ascii="楷体_GB2312" w:hAnsi="楷体_GB2312" w:eastAsia="楷体_GB2312" w:cs="楷体_GB2312"/>
          <w:color w:val="000000"/>
          <w:kern w:val="0"/>
          <w:sz w:val="40"/>
          <w:szCs w:val="40"/>
        </w:rPr>
      </w:pPr>
    </w:p>
    <w:p>
      <w:pPr>
        <w:snapToGrid w:val="0"/>
        <w:jc w:val="center"/>
        <w:rPr>
          <w:rFonts w:ascii="楷体_GB2312" w:hAnsi="楷体_GB2312" w:eastAsia="楷体_GB2312" w:cs="楷体_GB2312"/>
          <w:color w:val="000000"/>
          <w:kern w:val="0"/>
          <w:sz w:val="40"/>
          <w:szCs w:val="40"/>
        </w:rPr>
        <w:sectPr>
          <w:pgSz w:w="11906" w:h="16838"/>
          <w:pgMar w:top="2098" w:right="1531" w:bottom="1984" w:left="1531" w:header="851" w:footer="992" w:gutter="0"/>
          <w:cols w:space="720" w:num="1"/>
          <w:titlePg/>
          <w:docGrid w:type="lines" w:linePitch="312" w:charSpace="0"/>
        </w:sectPr>
      </w:pPr>
      <w:r>
        <w:rPr>
          <w:rFonts w:hint="eastAsia" w:ascii="楷体_GB2312" w:hAnsi="楷体_GB2312" w:eastAsia="楷体_GB2312" w:cs="楷体_GB2312"/>
          <w:color w:val="000000"/>
          <w:kern w:val="0"/>
          <w:sz w:val="40"/>
          <w:szCs w:val="40"/>
        </w:rPr>
        <w:t>二〇二一年</w:t>
      </w:r>
      <w:r>
        <w:rPr>
          <w:rFonts w:hint="eastAsia" w:ascii="楷体_GB2312" w:hAnsi="楷体_GB2312" w:eastAsia="楷体_GB2312" w:cs="楷体_GB2312"/>
          <w:color w:val="000000"/>
          <w:kern w:val="0"/>
          <w:sz w:val="40"/>
          <w:szCs w:val="40"/>
          <w:lang w:val="en-US" w:eastAsia="zh-CN"/>
        </w:rPr>
        <w:t>十</w:t>
      </w:r>
      <w:r>
        <w:rPr>
          <w:rFonts w:hint="eastAsia" w:ascii="楷体_GB2312" w:hAnsi="楷体_GB2312" w:eastAsia="楷体_GB2312" w:cs="楷体_GB2312"/>
          <w:color w:val="000000"/>
          <w:kern w:val="0"/>
          <w:sz w:val="40"/>
          <w:szCs w:val="40"/>
        </w:rPr>
        <w:t>月</w:t>
      </w:r>
    </w:p>
    <w:p>
      <w:pPr>
        <w:rPr>
          <w:rFonts w:ascii="黑体" w:hAnsi="Times New Roman" w:eastAsia="黑体" w:cs="Times New Roman"/>
          <w:sz w:val="48"/>
          <w:szCs w:val="48"/>
        </w:rPr>
      </w:pPr>
    </w:p>
    <w:p>
      <w:pPr>
        <w:tabs>
          <w:tab w:val="left" w:pos="2728"/>
        </w:tabs>
        <w:jc w:val="center"/>
        <w:rPr>
          <w:rFonts w:ascii="黑体" w:hAnsi="Times New Roman" w:eastAsia="黑体" w:cs="Times New Roman"/>
          <w:sz w:val="48"/>
          <w:szCs w:val="48"/>
        </w:rPr>
      </w:pPr>
      <w:r>
        <w:rPr>
          <w:rFonts w:hint="eastAsia" w:ascii="黑体" w:hAnsi="Times New Roman" w:eastAsia="黑体" w:cs="Times New Roman"/>
          <w:sz w:val="48"/>
          <w:szCs w:val="48"/>
        </w:rPr>
        <w:t>目    录</w:t>
      </w:r>
    </w:p>
    <w:p>
      <w:pPr>
        <w:widowControl/>
        <w:spacing w:after="160" w:line="580" w:lineRule="exact"/>
        <w:ind w:firstLine="640" w:firstLineChars="200"/>
        <w:rPr>
          <w:rFonts w:ascii="Times New Roman" w:hAnsi="Times New Roman" w:eastAsia="黑体" w:cs="Times New Roman"/>
          <w:sz w:val="32"/>
          <w:szCs w:val="32"/>
        </w:rPr>
      </w:pPr>
    </w:p>
    <w:p>
      <w:pPr>
        <w:widowControl/>
        <w:spacing w:line="640" w:lineRule="exact"/>
        <w:ind w:firstLine="640" w:firstLineChars="200"/>
        <w:rPr>
          <w:rFonts w:ascii="Times New Roman" w:hAnsi="Times New Roman" w:eastAsia="仿宋_GB2312" w:cs="Times New Roman"/>
          <w:sz w:val="24"/>
          <w:szCs w:val="32"/>
        </w:rPr>
      </w:pPr>
      <w:r>
        <w:rPr>
          <w:rFonts w:ascii="Times New Roman" w:hAnsi="Times New Roman" w:eastAsia="黑体" w:cs="Times New Roman"/>
          <w:sz w:val="32"/>
          <w:szCs w:val="32"/>
        </w:rPr>
        <w:t>第一部分   部门概况</w:t>
      </w:r>
    </w:p>
    <w:p>
      <w:pPr>
        <w:widowControl/>
        <w:spacing w:line="640" w:lineRule="exact"/>
        <w:ind w:firstLine="1273" w:firstLineChars="398"/>
        <w:rPr>
          <w:rFonts w:ascii="Times New Roman" w:hAnsi="Times New Roman" w:eastAsia="仿宋_GB2312" w:cs="Times New Roman"/>
          <w:sz w:val="32"/>
          <w:szCs w:val="32"/>
        </w:rPr>
      </w:pPr>
      <w:r>
        <w:rPr>
          <w:rFonts w:ascii="Times New Roman" w:hAnsi="Times New Roman" w:eastAsia="仿宋_GB2312" w:cs="Times New Roman"/>
          <w:sz w:val="32"/>
          <w:szCs w:val="32"/>
        </w:rPr>
        <w:t>一、部门</w:t>
      </w:r>
      <w:r>
        <w:rPr>
          <w:rFonts w:hint="eastAsia" w:ascii="Times New Roman" w:hAnsi="Times New Roman" w:eastAsia="仿宋_GB2312" w:cs="Times New Roman"/>
          <w:sz w:val="32"/>
          <w:szCs w:val="32"/>
        </w:rPr>
        <w:t>职责</w:t>
      </w:r>
    </w:p>
    <w:p>
      <w:pPr>
        <w:widowControl/>
        <w:spacing w:line="640" w:lineRule="exact"/>
        <w:ind w:firstLine="1273" w:firstLineChars="398"/>
        <w:rPr>
          <w:rFonts w:ascii="Times New Roman" w:hAnsi="Times New Roman" w:eastAsia="仿宋_GB2312" w:cs="Times New Roman"/>
          <w:sz w:val="32"/>
          <w:szCs w:val="32"/>
        </w:rPr>
      </w:pPr>
      <w:r>
        <w:rPr>
          <w:rFonts w:ascii="Times New Roman" w:hAnsi="Times New Roman" w:eastAsia="仿宋_GB2312" w:cs="Times New Roman"/>
          <w:sz w:val="32"/>
          <w:szCs w:val="32"/>
        </w:rPr>
        <w:t>二、</w:t>
      </w:r>
      <w:r>
        <w:rPr>
          <w:rFonts w:hint="eastAsia" w:ascii="Times New Roman" w:hAnsi="Times New Roman" w:eastAsia="仿宋_GB2312" w:cs="Times New Roman"/>
          <w:sz w:val="32"/>
          <w:szCs w:val="32"/>
        </w:rPr>
        <w:t>机构设置</w:t>
      </w:r>
    </w:p>
    <w:p>
      <w:pPr>
        <w:widowControl/>
        <w:spacing w:line="64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第二部分</w:t>
      </w:r>
      <w:r>
        <w:rPr>
          <w:rFonts w:hint="eastAsia" w:ascii="Times New Roman" w:hAnsi="Times New Roman" w:eastAsia="黑体" w:cs="Times New Roman"/>
          <w:sz w:val="32"/>
          <w:szCs w:val="32"/>
        </w:rPr>
        <w:t xml:space="preserve">   </w:t>
      </w:r>
      <w:r>
        <w:rPr>
          <w:rFonts w:ascii="Times New Roman" w:hAnsi="Times New Roman" w:eastAsia="黑体" w:cs="Times New Roman"/>
          <w:sz w:val="32"/>
          <w:szCs w:val="32"/>
        </w:rPr>
        <w:t>20</w:t>
      </w:r>
      <w:r>
        <w:rPr>
          <w:rFonts w:hint="eastAsia" w:ascii="Times New Roman" w:hAnsi="Times New Roman" w:eastAsia="黑体" w:cs="Times New Roman"/>
          <w:sz w:val="32"/>
          <w:szCs w:val="32"/>
        </w:rPr>
        <w:t>20</w:t>
      </w:r>
      <w:r>
        <w:rPr>
          <w:rFonts w:ascii="Times New Roman" w:hAnsi="Times New Roman" w:eastAsia="黑体" w:cs="Times New Roman"/>
          <w:sz w:val="32"/>
          <w:szCs w:val="32"/>
        </w:rPr>
        <w:t>年部门决算情况说明</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一、收入支出决算总体情况说明</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二、收入决算情况说明</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三、支出决算情况说明</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四、财政拨款收入支出决算总体情况说明</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五、一般公共预算“三公” 经费支出决算情况说明</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六、预算绩效情况说明</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七、机关运行经费情况</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八、政府采购情况</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九、国有资产占用情况</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十、其他需要说明的情况</w:t>
      </w:r>
    </w:p>
    <w:p>
      <w:pPr>
        <w:widowControl/>
        <w:spacing w:line="640"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第三部分   名词解释</w:t>
      </w:r>
    </w:p>
    <w:p>
      <w:pPr>
        <w:widowControl/>
        <w:spacing w:line="640" w:lineRule="exact"/>
        <w:ind w:firstLine="640" w:firstLineChars="200"/>
        <w:rPr>
          <w:rFonts w:ascii="Times New Roman" w:hAnsi="Times New Roman" w:eastAsia="仿宋_GB2312" w:cs="Times New Roman"/>
          <w:sz w:val="20"/>
          <w:szCs w:val="32"/>
        </w:rPr>
      </w:pPr>
      <w:r>
        <w:rPr>
          <w:rFonts w:ascii="Times New Roman" w:hAnsi="Times New Roman" w:eastAsia="黑体" w:cs="Times New Roman"/>
          <w:sz w:val="32"/>
          <w:szCs w:val="32"/>
        </w:rPr>
        <w:t>第</w:t>
      </w:r>
      <w:r>
        <w:rPr>
          <w:rFonts w:hint="eastAsia" w:ascii="Times New Roman" w:hAnsi="Times New Roman" w:eastAsia="黑体" w:cs="Times New Roman"/>
          <w:sz w:val="32"/>
          <w:szCs w:val="32"/>
        </w:rPr>
        <w:t>四</w:t>
      </w:r>
      <w:r>
        <w:rPr>
          <w:rFonts w:ascii="Times New Roman" w:hAnsi="Times New Roman" w:eastAsia="黑体" w:cs="Times New Roman"/>
          <w:sz w:val="32"/>
          <w:szCs w:val="32"/>
        </w:rPr>
        <w:t>部分</w:t>
      </w:r>
      <w:r>
        <w:rPr>
          <w:rFonts w:hint="eastAsia" w:ascii="Times New Roman" w:hAnsi="Times New Roman" w:eastAsia="黑体" w:cs="Times New Roman"/>
          <w:sz w:val="32"/>
          <w:szCs w:val="32"/>
        </w:rPr>
        <w:t xml:space="preserve">  </w:t>
      </w:r>
      <w:r>
        <w:rPr>
          <w:rFonts w:ascii="Times New Roman" w:hAnsi="Times New Roman" w:eastAsia="黑体" w:cs="Times New Roman"/>
          <w:sz w:val="32"/>
          <w:szCs w:val="32"/>
        </w:rPr>
        <w:t xml:space="preserve"> 20</w:t>
      </w:r>
      <w:r>
        <w:rPr>
          <w:rFonts w:hint="eastAsia" w:ascii="Times New Roman" w:hAnsi="Times New Roman" w:eastAsia="黑体" w:cs="Times New Roman"/>
          <w:sz w:val="32"/>
          <w:szCs w:val="32"/>
        </w:rPr>
        <w:t>20</w:t>
      </w:r>
      <w:r>
        <w:rPr>
          <w:rFonts w:ascii="Times New Roman" w:hAnsi="Times New Roman" w:eastAsia="黑体" w:cs="Times New Roman"/>
          <w:sz w:val="32"/>
          <w:szCs w:val="32"/>
        </w:rPr>
        <w:t>年度部门决算报表</w:t>
      </w:r>
    </w:p>
    <w:p>
      <w:pPr>
        <w:widowControl/>
        <w:spacing w:after="160" w:line="580" w:lineRule="exact"/>
        <w:ind w:firstLine="640" w:firstLineChars="200"/>
        <w:rPr>
          <w:rFonts w:ascii="Times New Roman" w:hAnsi="Times New Roman" w:eastAsia="黑体" w:cs="Times New Roman"/>
          <w:sz w:val="32"/>
          <w:szCs w:val="32"/>
        </w:rPr>
        <w:sectPr>
          <w:headerReference r:id="rId4" w:type="first"/>
          <w:footerReference r:id="rId5" w:type="first"/>
          <w:headerReference r:id="rId3" w:type="default"/>
          <w:pgSz w:w="11906" w:h="16838"/>
          <w:pgMar w:top="2098" w:right="1531" w:bottom="1984" w:left="1531" w:header="851" w:footer="992" w:gutter="0"/>
          <w:cols w:space="720" w:num="1"/>
          <w:titlePg/>
          <w:docGrid w:type="lines" w:linePitch="312" w:charSpace="0"/>
        </w:sectPr>
      </w:pP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p>
    <w:p>
      <w:r>
        <w:rPr>
          <w:rFonts w:ascii="Calibri" w:hAnsi="Calibri" w:eastAsia="宋体" w:cs="黑体"/>
          <w:kern w:val="2"/>
          <w:sz w:val="72"/>
          <w:szCs w:val="24"/>
          <w:lang w:val="en-US" w:eastAsia="zh-CN" w:bidi="ar-SA"/>
        </w:rPr>
        <w:pict>
          <v:shape id="文本框 143" o:spid="_x0000_s1028" o:spt="202" type="#_x0000_t202" style="position:absolute;left:0pt;margin-left:-85.7pt;margin-top:80.7pt;height:263.1pt;width:613.65pt;z-index:251659264;v-text-anchor:middle;mso-width-relative:page;mso-height-relative:page;" fillcolor="#7F7F7F" filled="t" o:preferrelative="t" stroked="t" coordsize="21600,21600">
            <v:path/>
            <v:fill type="pattern" on="t" color2="#FFFFFF" focussize="0,0" r:id="rId10"/>
            <v:stroke weight="1pt" color="#A5A5A5" color2="#FFFFFF" miterlimit="2"/>
            <v:imagedata gain="65536f" blacklevel="0f" gamma="0" o:title=""/>
            <o:lock v:ext="edit" position="f" selection="f" grouping="f" rotation="f" cropping="f" text="f" aspectratio="f"/>
            <v:textbox>
              <w:txbxContent>
                <w:p>
                  <w:pPr>
                    <w:widowControl/>
                    <w:jc w:val="center"/>
                    <w:rPr>
                      <w:rFonts w:ascii="黑体" w:hAnsi="黑体" w:eastAsia="黑体" w:cs="黑体"/>
                      <w:color w:val="000000"/>
                      <w:sz w:val="96"/>
                      <w:szCs w:val="96"/>
                    </w:rPr>
                  </w:pPr>
                  <w:r>
                    <w:rPr>
                      <w:rFonts w:hint="eastAsia" w:ascii="黑体" w:hAnsi="黑体" w:eastAsia="黑体" w:cs="黑体"/>
                      <w:color w:val="000000"/>
                      <w:sz w:val="96"/>
                      <w:szCs w:val="96"/>
                    </w:rPr>
                    <w:t>第一部分  部门概况</w:t>
                  </w:r>
                </w:p>
              </w:txbxContent>
            </v:textbox>
          </v:shape>
        </w:pict>
      </w:r>
      <w:r>
        <w:br w:type="page"/>
      </w:r>
    </w:p>
    <w:p>
      <w:pPr>
        <w:pStyle w:val="2"/>
        <w:spacing w:before="0" w:after="0" w:line="580" w:lineRule="exact"/>
        <w:ind w:firstLine="640" w:firstLineChars="200"/>
        <w:jc w:val="left"/>
        <w:rPr>
          <w:rFonts w:ascii="黑体" w:eastAsia="黑体" w:cs="黑体"/>
          <w:b w:val="0"/>
          <w:bCs w:val="0"/>
          <w:kern w:val="0"/>
          <w:sz w:val="32"/>
          <w:szCs w:val="32"/>
        </w:rPr>
      </w:pPr>
      <w:r>
        <w:rPr>
          <w:rFonts w:hint="eastAsia" w:ascii="黑体" w:eastAsia="黑体" w:cs="黑体"/>
          <w:b w:val="0"/>
          <w:bCs w:val="0"/>
          <w:kern w:val="0"/>
          <w:sz w:val="32"/>
          <w:szCs w:val="32"/>
        </w:rPr>
        <w:t>一、部门职责</w:t>
      </w:r>
    </w:p>
    <w:p>
      <w:pPr>
        <w:widowControl/>
        <w:spacing w:line="580" w:lineRule="exact"/>
        <w:ind w:firstLine="640" w:firstLineChars="200"/>
        <w:rPr>
          <w:rFonts w:hint="eastAsia" w:ascii="仿宋_GB2312" w:eastAsia="仿宋_GB2312" w:cs="Arial Black"/>
          <w:color w:val="000000"/>
          <w:kern w:val="0"/>
          <w:sz w:val="32"/>
          <w:szCs w:val="32"/>
          <w:highlight w:val="none"/>
        </w:rPr>
      </w:pPr>
      <w:r>
        <w:rPr>
          <w:rFonts w:hint="eastAsia" w:ascii="仿宋_GB2312" w:eastAsia="仿宋_GB2312" w:cs="Arial Black"/>
          <w:color w:val="000000"/>
          <w:kern w:val="0"/>
          <w:sz w:val="32"/>
          <w:szCs w:val="32"/>
          <w:highlight w:val="none"/>
        </w:rPr>
        <w:t>1、预防、制止和侦查违法犯罪活动；</w:t>
      </w:r>
    </w:p>
    <w:p>
      <w:pPr>
        <w:widowControl/>
        <w:spacing w:line="580" w:lineRule="exact"/>
        <w:ind w:firstLine="640" w:firstLineChars="200"/>
        <w:rPr>
          <w:rFonts w:hint="eastAsia" w:ascii="仿宋_GB2312" w:eastAsia="仿宋_GB2312" w:cs="Arial Black"/>
          <w:color w:val="000000"/>
          <w:kern w:val="0"/>
          <w:sz w:val="32"/>
          <w:szCs w:val="32"/>
          <w:highlight w:val="none"/>
        </w:rPr>
      </w:pPr>
      <w:r>
        <w:rPr>
          <w:rFonts w:hint="eastAsia" w:ascii="仿宋_GB2312" w:eastAsia="仿宋_GB2312" w:cs="Arial Black"/>
          <w:color w:val="000000"/>
          <w:kern w:val="0"/>
          <w:sz w:val="32"/>
          <w:szCs w:val="32"/>
          <w:highlight w:val="none"/>
        </w:rPr>
        <w:t>2、维护社会治安秩序，制止危害社会治安秩序的行为；</w:t>
      </w:r>
    </w:p>
    <w:p>
      <w:pPr>
        <w:widowControl/>
        <w:spacing w:line="580" w:lineRule="exact"/>
        <w:ind w:firstLine="640" w:firstLineChars="200"/>
        <w:rPr>
          <w:rFonts w:hint="eastAsia" w:ascii="仿宋_GB2312" w:eastAsia="仿宋_GB2312" w:cs="Arial Black"/>
          <w:color w:val="000000"/>
          <w:kern w:val="0"/>
          <w:sz w:val="32"/>
          <w:szCs w:val="32"/>
          <w:highlight w:val="none"/>
        </w:rPr>
      </w:pPr>
      <w:r>
        <w:rPr>
          <w:rFonts w:hint="eastAsia" w:ascii="仿宋_GB2312" w:eastAsia="仿宋_GB2312" w:cs="Arial Black"/>
          <w:color w:val="000000"/>
          <w:kern w:val="0"/>
          <w:sz w:val="32"/>
          <w:szCs w:val="32"/>
          <w:highlight w:val="none"/>
        </w:rPr>
        <w:t>3、维护交通安全和交通秩序，处理交通事故；</w:t>
      </w:r>
    </w:p>
    <w:p>
      <w:pPr>
        <w:widowControl/>
        <w:spacing w:line="580" w:lineRule="exact"/>
        <w:ind w:firstLine="640" w:firstLineChars="200"/>
        <w:rPr>
          <w:rFonts w:hint="eastAsia" w:ascii="仿宋_GB2312" w:eastAsia="仿宋_GB2312" w:cs="Arial Black"/>
          <w:color w:val="000000"/>
          <w:kern w:val="0"/>
          <w:sz w:val="32"/>
          <w:szCs w:val="32"/>
          <w:highlight w:val="none"/>
        </w:rPr>
      </w:pPr>
      <w:r>
        <w:rPr>
          <w:rFonts w:hint="eastAsia" w:ascii="仿宋_GB2312" w:eastAsia="仿宋_GB2312" w:cs="Arial Black"/>
          <w:color w:val="000000"/>
          <w:kern w:val="0"/>
          <w:sz w:val="32"/>
          <w:szCs w:val="32"/>
          <w:highlight w:val="none"/>
        </w:rPr>
        <w:t>4、组织、实施消防工作，实行消防监督；</w:t>
      </w:r>
    </w:p>
    <w:p>
      <w:pPr>
        <w:widowControl/>
        <w:spacing w:line="580" w:lineRule="exact"/>
        <w:ind w:firstLine="640" w:firstLineChars="200"/>
        <w:rPr>
          <w:rFonts w:hint="eastAsia" w:ascii="仿宋_GB2312" w:eastAsia="仿宋_GB2312" w:cs="Arial Black"/>
          <w:color w:val="000000"/>
          <w:kern w:val="0"/>
          <w:sz w:val="32"/>
          <w:szCs w:val="32"/>
          <w:highlight w:val="none"/>
        </w:rPr>
      </w:pPr>
      <w:r>
        <w:rPr>
          <w:rFonts w:hint="eastAsia" w:ascii="仿宋_GB2312" w:eastAsia="仿宋_GB2312" w:cs="Arial Black"/>
          <w:color w:val="000000"/>
          <w:kern w:val="0"/>
          <w:sz w:val="32"/>
          <w:szCs w:val="32"/>
          <w:highlight w:val="none"/>
        </w:rPr>
        <w:t>5、管理枪支弹药、管制刀具和易燃易爆、剧毒、放射性等危险物品；</w:t>
      </w:r>
    </w:p>
    <w:p>
      <w:pPr>
        <w:widowControl/>
        <w:spacing w:line="580" w:lineRule="exact"/>
        <w:ind w:firstLine="640" w:firstLineChars="200"/>
        <w:rPr>
          <w:rFonts w:hint="eastAsia" w:ascii="仿宋_GB2312" w:eastAsia="仿宋_GB2312" w:cs="Arial Black"/>
          <w:color w:val="000000"/>
          <w:kern w:val="0"/>
          <w:sz w:val="32"/>
          <w:szCs w:val="32"/>
          <w:highlight w:val="none"/>
        </w:rPr>
      </w:pPr>
      <w:r>
        <w:rPr>
          <w:rFonts w:hint="eastAsia" w:ascii="仿宋_GB2312" w:eastAsia="仿宋_GB2312" w:cs="Arial Black"/>
          <w:color w:val="000000"/>
          <w:kern w:val="0"/>
          <w:sz w:val="32"/>
          <w:szCs w:val="32"/>
          <w:highlight w:val="none"/>
        </w:rPr>
        <w:t>6、对法律、法规规定的特种行业进行管理；</w:t>
      </w:r>
    </w:p>
    <w:p>
      <w:pPr>
        <w:widowControl/>
        <w:spacing w:line="580" w:lineRule="exact"/>
        <w:ind w:firstLine="640" w:firstLineChars="200"/>
        <w:rPr>
          <w:rFonts w:hint="eastAsia" w:ascii="仿宋_GB2312" w:eastAsia="仿宋_GB2312" w:cs="Arial Black"/>
          <w:color w:val="000000"/>
          <w:kern w:val="0"/>
          <w:sz w:val="32"/>
          <w:szCs w:val="32"/>
          <w:highlight w:val="none"/>
        </w:rPr>
      </w:pPr>
      <w:r>
        <w:rPr>
          <w:rFonts w:hint="eastAsia" w:ascii="仿宋_GB2312" w:eastAsia="仿宋_GB2312" w:cs="Arial Black"/>
          <w:color w:val="000000"/>
          <w:kern w:val="0"/>
          <w:sz w:val="32"/>
          <w:szCs w:val="32"/>
          <w:highlight w:val="none"/>
        </w:rPr>
        <w:t>7、警卫国家规定的特定人员，守卫重要的场所和设施；</w:t>
      </w:r>
    </w:p>
    <w:p>
      <w:pPr>
        <w:widowControl/>
        <w:spacing w:line="580" w:lineRule="exact"/>
        <w:ind w:firstLine="640" w:firstLineChars="200"/>
        <w:rPr>
          <w:rFonts w:hint="eastAsia" w:ascii="仿宋_GB2312" w:eastAsia="仿宋_GB2312" w:cs="Arial Black"/>
          <w:color w:val="000000"/>
          <w:kern w:val="0"/>
          <w:sz w:val="32"/>
          <w:szCs w:val="32"/>
          <w:highlight w:val="none"/>
        </w:rPr>
      </w:pPr>
      <w:r>
        <w:rPr>
          <w:rFonts w:hint="eastAsia" w:ascii="仿宋_GB2312" w:eastAsia="仿宋_GB2312" w:cs="Arial Black"/>
          <w:color w:val="000000"/>
          <w:kern w:val="0"/>
          <w:sz w:val="32"/>
          <w:szCs w:val="32"/>
          <w:highlight w:val="none"/>
        </w:rPr>
        <w:t>8、管理集会、游行、示威活动；</w:t>
      </w:r>
    </w:p>
    <w:p>
      <w:pPr>
        <w:widowControl/>
        <w:spacing w:line="580" w:lineRule="exact"/>
        <w:ind w:firstLine="640" w:firstLineChars="200"/>
        <w:rPr>
          <w:rFonts w:hint="eastAsia" w:ascii="仿宋_GB2312" w:eastAsia="仿宋_GB2312" w:cs="Arial Black"/>
          <w:color w:val="000000"/>
          <w:kern w:val="0"/>
          <w:sz w:val="32"/>
          <w:szCs w:val="32"/>
          <w:highlight w:val="none"/>
        </w:rPr>
      </w:pPr>
      <w:r>
        <w:rPr>
          <w:rFonts w:hint="eastAsia" w:ascii="仿宋_GB2312" w:eastAsia="仿宋_GB2312" w:cs="Arial Black"/>
          <w:color w:val="000000"/>
          <w:kern w:val="0"/>
          <w:sz w:val="32"/>
          <w:szCs w:val="32"/>
          <w:highlight w:val="none"/>
        </w:rPr>
        <w:t>9、管理户政、国籍、入境出境事务和外国人在中国境内居留、旅行的有关事务；</w:t>
      </w:r>
    </w:p>
    <w:p>
      <w:pPr>
        <w:widowControl/>
        <w:spacing w:line="580" w:lineRule="exact"/>
        <w:ind w:firstLine="640" w:firstLineChars="200"/>
        <w:rPr>
          <w:rFonts w:hint="eastAsia" w:ascii="仿宋_GB2312" w:eastAsia="仿宋_GB2312" w:cs="Arial Black"/>
          <w:color w:val="000000"/>
          <w:kern w:val="0"/>
          <w:sz w:val="32"/>
          <w:szCs w:val="32"/>
          <w:highlight w:val="none"/>
        </w:rPr>
      </w:pPr>
      <w:r>
        <w:rPr>
          <w:rFonts w:hint="eastAsia" w:ascii="仿宋_GB2312" w:eastAsia="仿宋_GB2312" w:cs="Arial Black"/>
          <w:color w:val="000000"/>
          <w:kern w:val="0"/>
          <w:sz w:val="32"/>
          <w:szCs w:val="32"/>
          <w:highlight w:val="none"/>
        </w:rPr>
        <w:t>10、维护国（边）境地区的治安秩序；</w:t>
      </w:r>
    </w:p>
    <w:p>
      <w:pPr>
        <w:widowControl/>
        <w:spacing w:line="580" w:lineRule="exact"/>
        <w:ind w:firstLine="640" w:firstLineChars="200"/>
        <w:rPr>
          <w:rFonts w:hint="eastAsia" w:ascii="仿宋_GB2312" w:eastAsia="仿宋_GB2312" w:cs="Arial Black"/>
          <w:color w:val="000000"/>
          <w:kern w:val="0"/>
          <w:sz w:val="32"/>
          <w:szCs w:val="32"/>
          <w:highlight w:val="none"/>
        </w:rPr>
      </w:pPr>
      <w:r>
        <w:rPr>
          <w:rFonts w:hint="eastAsia" w:ascii="仿宋_GB2312" w:eastAsia="仿宋_GB2312" w:cs="Arial Black"/>
          <w:color w:val="000000"/>
          <w:kern w:val="0"/>
          <w:sz w:val="32"/>
          <w:szCs w:val="32"/>
          <w:highlight w:val="none"/>
        </w:rPr>
        <w:t>11、对被判处管制、拘役、剥夺政治权利的罪犯和监外执行的罪犯执行刑罚，对被宣告缓刑、假释的罪犯实行监督、考察；</w:t>
      </w:r>
    </w:p>
    <w:p>
      <w:pPr>
        <w:widowControl/>
        <w:spacing w:line="580" w:lineRule="exact"/>
        <w:ind w:firstLine="640" w:firstLineChars="200"/>
        <w:rPr>
          <w:rFonts w:hint="eastAsia" w:ascii="仿宋_GB2312" w:eastAsia="仿宋_GB2312" w:cs="Arial Black"/>
          <w:color w:val="000000"/>
          <w:kern w:val="0"/>
          <w:sz w:val="32"/>
          <w:szCs w:val="32"/>
          <w:highlight w:val="none"/>
        </w:rPr>
      </w:pPr>
      <w:r>
        <w:rPr>
          <w:rFonts w:hint="eastAsia" w:ascii="仿宋_GB2312" w:eastAsia="仿宋_GB2312" w:cs="Arial Black"/>
          <w:color w:val="000000"/>
          <w:kern w:val="0"/>
          <w:sz w:val="32"/>
          <w:szCs w:val="32"/>
          <w:highlight w:val="none"/>
        </w:rPr>
        <w:t>12、监督管理计算机信息系统的安全保护工作；</w:t>
      </w:r>
    </w:p>
    <w:p>
      <w:pPr>
        <w:widowControl/>
        <w:spacing w:line="580" w:lineRule="exact"/>
        <w:ind w:firstLine="640" w:firstLineChars="200"/>
        <w:rPr>
          <w:rFonts w:hint="eastAsia" w:ascii="仿宋_GB2312" w:eastAsia="仿宋_GB2312" w:cs="Arial Black"/>
          <w:color w:val="000000"/>
          <w:kern w:val="0"/>
          <w:sz w:val="32"/>
          <w:szCs w:val="32"/>
          <w:highlight w:val="none"/>
        </w:rPr>
      </w:pPr>
      <w:r>
        <w:rPr>
          <w:rFonts w:hint="eastAsia" w:ascii="仿宋_GB2312" w:eastAsia="仿宋_GB2312" w:cs="Arial Black"/>
          <w:color w:val="000000"/>
          <w:kern w:val="0"/>
          <w:sz w:val="32"/>
          <w:szCs w:val="32"/>
          <w:highlight w:val="none"/>
        </w:rPr>
        <w:t>13、指导和监督国家机关、社会团体、企业事业组织和重点建设工程的治安保卫工作，指导治安保卫委员会等群众性组织的治安防范工作；</w:t>
      </w:r>
    </w:p>
    <w:p>
      <w:pPr>
        <w:widowControl/>
        <w:spacing w:line="580" w:lineRule="exact"/>
        <w:ind w:firstLine="640" w:firstLineChars="200"/>
        <w:rPr>
          <w:rFonts w:hint="eastAsia" w:ascii="仿宋_GB2312" w:eastAsia="仿宋_GB2312" w:cs="Arial Black"/>
          <w:color w:val="000000"/>
          <w:kern w:val="0"/>
          <w:sz w:val="32"/>
          <w:szCs w:val="32"/>
          <w:highlight w:val="none"/>
        </w:rPr>
      </w:pPr>
      <w:r>
        <w:rPr>
          <w:rFonts w:hint="eastAsia" w:ascii="仿宋_GB2312" w:eastAsia="仿宋_GB2312" w:cs="Arial Black"/>
          <w:color w:val="000000"/>
          <w:kern w:val="0"/>
          <w:sz w:val="32"/>
          <w:szCs w:val="32"/>
          <w:highlight w:val="none"/>
        </w:rPr>
        <w:t>14、法律、法规规定的其他职责。</w:t>
      </w:r>
    </w:p>
    <w:p>
      <w:pPr>
        <w:keepNext/>
        <w:keepLines/>
        <w:spacing w:line="580" w:lineRule="exact"/>
        <w:ind w:firstLine="640" w:firstLineChars="200"/>
        <w:jc w:val="left"/>
        <w:outlineLvl w:val="0"/>
        <w:rPr>
          <w:rFonts w:ascii="黑体" w:hAnsi="Calibri" w:eastAsia="黑体" w:cs="黑体"/>
          <w:kern w:val="0"/>
          <w:sz w:val="32"/>
          <w:szCs w:val="32"/>
        </w:rPr>
      </w:pPr>
      <w:r>
        <w:rPr>
          <w:rFonts w:hint="eastAsia" w:ascii="黑体" w:hAnsi="Calibri" w:eastAsia="黑体" w:cs="黑体"/>
          <w:kern w:val="0"/>
          <w:sz w:val="32"/>
          <w:szCs w:val="32"/>
        </w:rPr>
        <w:t>二、机构设置</w:t>
      </w:r>
    </w:p>
    <w:p>
      <w:pPr>
        <w:spacing w:line="580" w:lineRule="exact"/>
        <w:ind w:firstLine="640" w:firstLineChars="200"/>
        <w:rPr>
          <w:rFonts w:ascii="仿宋_GB2312" w:hAnsi="Calibri" w:eastAsia="仿宋_GB2312" w:cs="Arial Black"/>
          <w:kern w:val="0"/>
          <w:sz w:val="32"/>
          <w:szCs w:val="32"/>
        </w:rPr>
      </w:pPr>
      <w:r>
        <w:rPr>
          <w:rFonts w:hint="eastAsia" w:ascii="仿宋_GB2312" w:hAnsi="Calibri" w:eastAsia="仿宋_GB2312" w:cs="Arial Black"/>
          <w:kern w:val="0"/>
          <w:sz w:val="32"/>
          <w:szCs w:val="32"/>
        </w:rPr>
        <w:t>从决算编报单位构成看，纳入20</w:t>
      </w:r>
      <w:r>
        <w:rPr>
          <w:rFonts w:ascii="仿宋_GB2312" w:hAnsi="Calibri" w:eastAsia="仿宋_GB2312" w:cs="Arial Black"/>
          <w:kern w:val="0"/>
          <w:sz w:val="32"/>
          <w:szCs w:val="32"/>
        </w:rPr>
        <w:t>20</w:t>
      </w:r>
      <w:r>
        <w:rPr>
          <w:rFonts w:hint="eastAsia" w:ascii="仿宋_GB2312" w:hAnsi="Calibri" w:eastAsia="仿宋_GB2312" w:cs="Arial Black"/>
          <w:kern w:val="0"/>
          <w:sz w:val="32"/>
          <w:szCs w:val="32"/>
        </w:rPr>
        <w:t>年度本部门决算汇编范围的独立核算单位（以下简称“单位”）共</w:t>
      </w:r>
      <w:r>
        <w:rPr>
          <w:rFonts w:hint="eastAsia" w:ascii="仿宋_GB2312" w:eastAsia="仿宋_GB2312" w:cs="Arial Black"/>
          <w:kern w:val="0"/>
          <w:sz w:val="32"/>
          <w:szCs w:val="32"/>
          <w:lang w:val="en-US" w:eastAsia="zh-CN"/>
        </w:rPr>
        <w:t>4</w:t>
      </w:r>
      <w:r>
        <w:rPr>
          <w:rFonts w:hint="eastAsia" w:ascii="仿宋_GB2312" w:hAnsi="Calibri" w:eastAsia="仿宋_GB2312" w:cs="Arial Black"/>
          <w:kern w:val="0"/>
          <w:sz w:val="32"/>
          <w:szCs w:val="32"/>
        </w:rPr>
        <w:t>个，具体情况如下：</w:t>
      </w:r>
    </w:p>
    <w:tbl>
      <w:tblPr>
        <w:tblStyle w:val="6"/>
        <w:tblpPr w:leftFromText="180" w:rightFromText="180" w:vertAnchor="text" w:horzAnchor="page" w:tblpXSpec="center" w:tblpY="10"/>
        <w:tblOverlap w:val="never"/>
        <w:tblW w:w="94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8"/>
        <w:gridCol w:w="3426"/>
        <w:gridCol w:w="2404"/>
        <w:gridCol w:w="26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3" w:hRule="atLeast"/>
          <w:jc w:val="center"/>
        </w:trPr>
        <w:tc>
          <w:tcPr>
            <w:tcW w:w="968" w:type="dxa"/>
            <w:vAlign w:val="center"/>
          </w:tcPr>
          <w:p>
            <w:pPr>
              <w:spacing w:line="560" w:lineRule="exact"/>
              <w:jc w:val="center"/>
              <w:rPr>
                <w:rFonts w:ascii="仿宋_GB2312" w:hAnsi="Calibri" w:eastAsia="仿宋_GB2312" w:cs="Arial Black"/>
                <w:b/>
                <w:bCs/>
                <w:kern w:val="0"/>
                <w:sz w:val="28"/>
                <w:szCs w:val="28"/>
              </w:rPr>
            </w:pPr>
            <w:r>
              <w:rPr>
                <w:rFonts w:hint="eastAsia" w:ascii="仿宋_GB2312" w:hAnsi="Calibri" w:eastAsia="仿宋_GB2312" w:cs="Arial Black"/>
                <w:b/>
                <w:bCs/>
                <w:kern w:val="0"/>
                <w:sz w:val="28"/>
                <w:szCs w:val="28"/>
              </w:rPr>
              <w:t>序号</w:t>
            </w:r>
          </w:p>
        </w:tc>
        <w:tc>
          <w:tcPr>
            <w:tcW w:w="3426" w:type="dxa"/>
            <w:vAlign w:val="center"/>
          </w:tcPr>
          <w:p>
            <w:pPr>
              <w:spacing w:line="560" w:lineRule="exact"/>
              <w:jc w:val="center"/>
              <w:rPr>
                <w:rFonts w:ascii="仿宋_GB2312" w:hAnsi="Calibri" w:eastAsia="仿宋_GB2312" w:cs="Arial Black"/>
                <w:b/>
                <w:bCs/>
                <w:kern w:val="0"/>
                <w:sz w:val="28"/>
                <w:szCs w:val="28"/>
              </w:rPr>
            </w:pPr>
            <w:r>
              <w:rPr>
                <w:rFonts w:hint="eastAsia" w:ascii="仿宋_GB2312" w:hAnsi="Calibri" w:eastAsia="仿宋_GB2312" w:cs="Arial Black"/>
                <w:b/>
                <w:bCs/>
                <w:kern w:val="0"/>
                <w:sz w:val="28"/>
                <w:szCs w:val="28"/>
              </w:rPr>
              <w:t>单位名称</w:t>
            </w:r>
          </w:p>
        </w:tc>
        <w:tc>
          <w:tcPr>
            <w:tcW w:w="2404" w:type="dxa"/>
            <w:vAlign w:val="center"/>
          </w:tcPr>
          <w:p>
            <w:pPr>
              <w:spacing w:line="560" w:lineRule="exact"/>
              <w:jc w:val="center"/>
              <w:rPr>
                <w:rFonts w:ascii="仿宋_GB2312" w:hAnsi="Calibri" w:eastAsia="仿宋_GB2312" w:cs="Arial Black"/>
                <w:b/>
                <w:bCs/>
                <w:kern w:val="0"/>
                <w:sz w:val="28"/>
                <w:szCs w:val="28"/>
              </w:rPr>
            </w:pPr>
            <w:r>
              <w:rPr>
                <w:rFonts w:hint="eastAsia" w:ascii="仿宋_GB2312" w:hAnsi="Calibri" w:eastAsia="仿宋_GB2312" w:cs="Arial Black"/>
                <w:b/>
                <w:bCs/>
                <w:kern w:val="0"/>
                <w:sz w:val="28"/>
                <w:szCs w:val="28"/>
              </w:rPr>
              <w:t>单位基本性质</w:t>
            </w:r>
          </w:p>
        </w:tc>
        <w:tc>
          <w:tcPr>
            <w:tcW w:w="2622" w:type="dxa"/>
            <w:vAlign w:val="center"/>
          </w:tcPr>
          <w:p>
            <w:pPr>
              <w:spacing w:line="560" w:lineRule="exact"/>
              <w:jc w:val="center"/>
              <w:rPr>
                <w:rFonts w:ascii="仿宋_GB2312" w:hAnsi="Calibri" w:eastAsia="仿宋_GB2312" w:cs="Arial Black"/>
                <w:b/>
                <w:bCs/>
                <w:kern w:val="0"/>
                <w:sz w:val="28"/>
                <w:szCs w:val="28"/>
              </w:rPr>
            </w:pPr>
            <w:r>
              <w:rPr>
                <w:rFonts w:hint="eastAsia" w:ascii="仿宋_GB2312" w:hAnsi="Calibri" w:eastAsia="仿宋_GB2312" w:cs="Arial Black"/>
                <w:b/>
                <w:bCs/>
                <w:kern w:val="0"/>
                <w:sz w:val="28"/>
                <w:szCs w:val="28"/>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968" w:type="dxa"/>
            <w:vAlign w:val="top"/>
          </w:tcPr>
          <w:p>
            <w:pPr>
              <w:spacing w:line="560" w:lineRule="exact"/>
              <w:jc w:val="center"/>
              <w:rPr>
                <w:rFonts w:ascii="仿宋_GB2312" w:hAnsi="Calibri" w:eastAsia="仿宋_GB2312" w:cs="Arial Black"/>
                <w:kern w:val="0"/>
                <w:sz w:val="28"/>
                <w:szCs w:val="28"/>
              </w:rPr>
            </w:pPr>
            <w:r>
              <w:rPr>
                <w:rFonts w:hint="eastAsia" w:ascii="仿宋_GB2312" w:hAnsi="Calibri" w:eastAsia="仿宋_GB2312" w:cs="Arial Black"/>
                <w:kern w:val="0"/>
                <w:sz w:val="28"/>
                <w:szCs w:val="28"/>
              </w:rPr>
              <w:t>1</w:t>
            </w:r>
          </w:p>
        </w:tc>
        <w:tc>
          <w:tcPr>
            <w:tcW w:w="3426" w:type="dxa"/>
            <w:vAlign w:val="top"/>
          </w:tcPr>
          <w:p>
            <w:pPr>
              <w:spacing w:line="560" w:lineRule="exact"/>
              <w:rPr>
                <w:rFonts w:hint="eastAsia" w:ascii="仿宋_GB2312" w:hAnsi="Calibri" w:eastAsia="仿宋_GB2312" w:cs="Arial Black"/>
                <w:kern w:val="0"/>
                <w:sz w:val="28"/>
                <w:szCs w:val="28"/>
                <w:lang w:eastAsia="zh-CN"/>
              </w:rPr>
            </w:pPr>
            <w:r>
              <w:rPr>
                <w:rFonts w:hint="eastAsia" w:ascii="仿宋_GB2312" w:eastAsia="仿宋_GB2312" w:cs="Arial Black"/>
                <w:kern w:val="0"/>
                <w:sz w:val="28"/>
                <w:szCs w:val="28"/>
                <w:lang w:eastAsia="zh-CN"/>
              </w:rPr>
              <w:t>阜平县公安局</w:t>
            </w:r>
          </w:p>
        </w:tc>
        <w:tc>
          <w:tcPr>
            <w:tcW w:w="2404" w:type="dxa"/>
            <w:vAlign w:val="top"/>
          </w:tcPr>
          <w:p>
            <w:pPr>
              <w:spacing w:line="560" w:lineRule="exact"/>
              <w:jc w:val="center"/>
              <w:rPr>
                <w:rFonts w:hint="eastAsia" w:ascii="仿宋_GB2312" w:hAnsi="Calibri" w:eastAsia="仿宋_GB2312" w:cs="Arial Black"/>
                <w:kern w:val="0"/>
                <w:sz w:val="28"/>
                <w:szCs w:val="28"/>
                <w:lang w:eastAsia="zh-CN"/>
              </w:rPr>
            </w:pPr>
            <w:r>
              <w:rPr>
                <w:rFonts w:hint="eastAsia" w:ascii="仿宋_GB2312" w:eastAsia="仿宋_GB2312" w:cs="Arial Black"/>
                <w:kern w:val="0"/>
                <w:sz w:val="28"/>
                <w:szCs w:val="28"/>
                <w:lang w:eastAsia="zh-CN"/>
              </w:rPr>
              <w:t>行政单位</w:t>
            </w:r>
          </w:p>
        </w:tc>
        <w:tc>
          <w:tcPr>
            <w:tcW w:w="2622" w:type="dxa"/>
            <w:vAlign w:val="top"/>
          </w:tcPr>
          <w:p>
            <w:pPr>
              <w:spacing w:line="560" w:lineRule="exact"/>
              <w:jc w:val="center"/>
              <w:rPr>
                <w:rFonts w:hint="eastAsia" w:ascii="仿宋_GB2312" w:hAnsi="Calibri" w:eastAsia="仿宋_GB2312" w:cs="Arial Black"/>
                <w:kern w:val="0"/>
                <w:sz w:val="28"/>
                <w:szCs w:val="28"/>
                <w:lang w:eastAsia="zh-CN"/>
              </w:rPr>
            </w:pPr>
            <w:r>
              <w:rPr>
                <w:rFonts w:hint="eastAsia" w:ascii="仿宋_GB2312" w:eastAsia="仿宋_GB2312" w:cs="Arial Black"/>
                <w:kern w:val="0"/>
                <w:sz w:val="28"/>
                <w:szCs w:val="28"/>
                <w:lang w:eastAsia="zh-CN"/>
              </w:rPr>
              <w:t>财政拨款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968" w:type="dxa"/>
            <w:vAlign w:val="top"/>
          </w:tcPr>
          <w:p>
            <w:pPr>
              <w:spacing w:line="560" w:lineRule="exact"/>
              <w:jc w:val="center"/>
              <w:rPr>
                <w:rFonts w:ascii="仿宋_GB2312" w:hAnsi="Calibri" w:eastAsia="仿宋_GB2312" w:cs="Arial Black"/>
                <w:kern w:val="0"/>
                <w:sz w:val="28"/>
                <w:szCs w:val="28"/>
              </w:rPr>
            </w:pPr>
            <w:r>
              <w:rPr>
                <w:rFonts w:hint="eastAsia" w:ascii="仿宋_GB2312" w:hAnsi="Calibri" w:eastAsia="仿宋_GB2312" w:cs="Arial Black"/>
                <w:kern w:val="0"/>
                <w:sz w:val="28"/>
                <w:szCs w:val="28"/>
              </w:rPr>
              <w:t>2</w:t>
            </w:r>
          </w:p>
        </w:tc>
        <w:tc>
          <w:tcPr>
            <w:tcW w:w="3426" w:type="dxa"/>
            <w:vAlign w:val="top"/>
          </w:tcPr>
          <w:p>
            <w:pPr>
              <w:spacing w:line="560" w:lineRule="exact"/>
              <w:rPr>
                <w:rFonts w:hint="eastAsia" w:ascii="仿宋_GB2312" w:hAnsi="Calibri" w:eastAsia="仿宋_GB2312" w:cs="Arial Black"/>
                <w:kern w:val="0"/>
                <w:sz w:val="28"/>
                <w:szCs w:val="28"/>
                <w:lang w:eastAsia="zh-CN"/>
              </w:rPr>
            </w:pPr>
            <w:r>
              <w:rPr>
                <w:rFonts w:hint="eastAsia" w:ascii="仿宋_GB2312" w:eastAsia="仿宋_GB2312" w:cs="Arial Black"/>
                <w:kern w:val="0"/>
                <w:sz w:val="28"/>
                <w:szCs w:val="28"/>
                <w:lang w:eastAsia="zh-CN"/>
              </w:rPr>
              <w:t>阜平县公安局交通管理大队</w:t>
            </w:r>
          </w:p>
        </w:tc>
        <w:tc>
          <w:tcPr>
            <w:tcW w:w="2404" w:type="dxa"/>
            <w:vAlign w:val="top"/>
          </w:tcPr>
          <w:p>
            <w:pPr>
              <w:spacing w:line="560" w:lineRule="exact"/>
              <w:jc w:val="center"/>
              <w:rPr>
                <w:rFonts w:ascii="仿宋_GB2312" w:hAnsi="Calibri" w:eastAsia="仿宋_GB2312" w:cs="Arial Black"/>
                <w:kern w:val="0"/>
                <w:sz w:val="28"/>
                <w:szCs w:val="28"/>
              </w:rPr>
            </w:pPr>
            <w:r>
              <w:rPr>
                <w:rFonts w:hint="eastAsia" w:ascii="仿宋_GB2312" w:eastAsia="仿宋_GB2312" w:cs="Arial Black"/>
                <w:kern w:val="0"/>
                <w:sz w:val="28"/>
                <w:szCs w:val="28"/>
                <w:lang w:eastAsia="zh-CN"/>
              </w:rPr>
              <w:t>行政单位</w:t>
            </w:r>
          </w:p>
        </w:tc>
        <w:tc>
          <w:tcPr>
            <w:tcW w:w="2622" w:type="dxa"/>
            <w:vAlign w:val="top"/>
          </w:tcPr>
          <w:p>
            <w:pPr>
              <w:spacing w:line="560" w:lineRule="exact"/>
              <w:jc w:val="center"/>
              <w:rPr>
                <w:rFonts w:ascii="仿宋_GB2312" w:hAnsi="Calibri" w:eastAsia="仿宋_GB2312" w:cs="Arial Black"/>
                <w:kern w:val="0"/>
                <w:sz w:val="28"/>
                <w:szCs w:val="28"/>
              </w:rPr>
            </w:pPr>
            <w:r>
              <w:rPr>
                <w:rFonts w:hint="eastAsia" w:ascii="仿宋_GB2312" w:eastAsia="仿宋_GB2312" w:cs="Arial Black"/>
                <w:kern w:val="0"/>
                <w:sz w:val="28"/>
                <w:szCs w:val="28"/>
                <w:lang w:eastAsia="zh-CN"/>
              </w:rPr>
              <w:t>财政拨款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968" w:type="dxa"/>
            <w:vAlign w:val="top"/>
          </w:tcPr>
          <w:p>
            <w:pPr>
              <w:spacing w:line="560" w:lineRule="exact"/>
              <w:jc w:val="center"/>
              <w:rPr>
                <w:rFonts w:ascii="仿宋_GB2312" w:hAnsi="Calibri" w:eastAsia="仿宋_GB2312" w:cs="Arial Black"/>
                <w:kern w:val="0"/>
                <w:sz w:val="28"/>
                <w:szCs w:val="28"/>
              </w:rPr>
            </w:pPr>
            <w:r>
              <w:rPr>
                <w:rFonts w:hint="eastAsia" w:ascii="仿宋_GB2312" w:hAnsi="Calibri" w:eastAsia="仿宋_GB2312" w:cs="Arial Black"/>
                <w:kern w:val="0"/>
                <w:sz w:val="28"/>
                <w:szCs w:val="28"/>
              </w:rPr>
              <w:t>3</w:t>
            </w:r>
          </w:p>
        </w:tc>
        <w:tc>
          <w:tcPr>
            <w:tcW w:w="3426" w:type="dxa"/>
            <w:vAlign w:val="top"/>
          </w:tcPr>
          <w:p>
            <w:pPr>
              <w:spacing w:line="560" w:lineRule="exact"/>
              <w:rPr>
                <w:rFonts w:hint="eastAsia" w:ascii="仿宋_GB2312" w:hAnsi="Calibri" w:eastAsia="仿宋_GB2312" w:cs="Arial Black"/>
                <w:kern w:val="0"/>
                <w:sz w:val="28"/>
                <w:szCs w:val="28"/>
                <w:lang w:eastAsia="zh-CN"/>
              </w:rPr>
            </w:pPr>
            <w:r>
              <w:rPr>
                <w:rFonts w:hint="eastAsia" w:ascii="仿宋_GB2312" w:eastAsia="仿宋_GB2312" w:cs="Arial Black"/>
                <w:kern w:val="0"/>
                <w:sz w:val="28"/>
                <w:szCs w:val="28"/>
                <w:lang w:eastAsia="zh-CN"/>
              </w:rPr>
              <w:t>阜平县看守所</w:t>
            </w:r>
          </w:p>
        </w:tc>
        <w:tc>
          <w:tcPr>
            <w:tcW w:w="2404" w:type="dxa"/>
            <w:vAlign w:val="top"/>
          </w:tcPr>
          <w:p>
            <w:pPr>
              <w:spacing w:line="560" w:lineRule="exact"/>
              <w:jc w:val="center"/>
              <w:rPr>
                <w:rFonts w:ascii="仿宋_GB2312" w:hAnsi="Calibri" w:eastAsia="仿宋_GB2312" w:cs="Arial Black"/>
                <w:kern w:val="0"/>
                <w:sz w:val="28"/>
                <w:szCs w:val="28"/>
              </w:rPr>
            </w:pPr>
            <w:r>
              <w:rPr>
                <w:rFonts w:hint="eastAsia" w:ascii="仿宋_GB2312" w:eastAsia="仿宋_GB2312" w:cs="Arial Black"/>
                <w:kern w:val="0"/>
                <w:sz w:val="28"/>
                <w:szCs w:val="28"/>
                <w:lang w:eastAsia="zh-CN"/>
              </w:rPr>
              <w:t>行政单位</w:t>
            </w:r>
          </w:p>
        </w:tc>
        <w:tc>
          <w:tcPr>
            <w:tcW w:w="2622" w:type="dxa"/>
            <w:vAlign w:val="top"/>
          </w:tcPr>
          <w:p>
            <w:pPr>
              <w:spacing w:line="560" w:lineRule="exact"/>
              <w:jc w:val="center"/>
              <w:rPr>
                <w:rFonts w:ascii="仿宋_GB2312" w:hAnsi="Calibri" w:eastAsia="仿宋_GB2312" w:cs="Arial Black"/>
                <w:kern w:val="0"/>
                <w:sz w:val="28"/>
                <w:szCs w:val="28"/>
              </w:rPr>
            </w:pPr>
            <w:r>
              <w:rPr>
                <w:rFonts w:hint="eastAsia" w:ascii="仿宋_GB2312" w:eastAsia="仿宋_GB2312" w:cs="Arial Black"/>
                <w:kern w:val="0"/>
                <w:sz w:val="28"/>
                <w:szCs w:val="28"/>
                <w:lang w:eastAsia="zh-CN"/>
              </w:rPr>
              <w:t>财政拨款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968" w:type="dxa"/>
            <w:tcBorders>
              <w:bottom w:val="single" w:color="auto" w:sz="4" w:space="0"/>
            </w:tcBorders>
            <w:vAlign w:val="top"/>
          </w:tcPr>
          <w:p>
            <w:pPr>
              <w:spacing w:line="560" w:lineRule="exact"/>
              <w:jc w:val="center"/>
              <w:rPr>
                <w:rFonts w:hint="eastAsia" w:ascii="仿宋_GB2312" w:hAnsi="Calibri" w:eastAsia="仿宋_GB2312" w:cs="Arial Black"/>
                <w:kern w:val="0"/>
                <w:sz w:val="28"/>
                <w:szCs w:val="28"/>
                <w:lang w:val="en-US" w:eastAsia="zh-CN"/>
              </w:rPr>
            </w:pPr>
            <w:r>
              <w:rPr>
                <w:rFonts w:hint="eastAsia" w:ascii="仿宋_GB2312" w:eastAsia="仿宋_GB2312" w:cs="Arial Black"/>
                <w:kern w:val="0"/>
                <w:sz w:val="28"/>
                <w:szCs w:val="28"/>
                <w:lang w:val="en-US" w:eastAsia="zh-CN"/>
              </w:rPr>
              <w:t>4</w:t>
            </w:r>
          </w:p>
        </w:tc>
        <w:tc>
          <w:tcPr>
            <w:tcW w:w="3426" w:type="dxa"/>
            <w:tcBorders>
              <w:bottom w:val="single" w:color="auto" w:sz="4" w:space="0"/>
            </w:tcBorders>
            <w:vAlign w:val="top"/>
          </w:tcPr>
          <w:p>
            <w:pPr>
              <w:spacing w:line="560" w:lineRule="exact"/>
              <w:rPr>
                <w:rFonts w:hint="eastAsia" w:ascii="仿宋_GB2312" w:hAnsi="Calibri" w:eastAsia="仿宋_GB2312" w:cs="Arial Black"/>
                <w:kern w:val="0"/>
                <w:sz w:val="28"/>
                <w:szCs w:val="28"/>
                <w:lang w:eastAsia="zh-CN"/>
              </w:rPr>
            </w:pPr>
            <w:r>
              <w:rPr>
                <w:rFonts w:hint="eastAsia" w:ascii="仿宋_GB2312" w:eastAsia="仿宋_GB2312" w:cs="Arial Black"/>
                <w:kern w:val="0"/>
                <w:sz w:val="28"/>
                <w:szCs w:val="28"/>
                <w:lang w:eastAsia="zh-CN"/>
              </w:rPr>
              <w:t>阜平县公安局森林分局</w:t>
            </w:r>
          </w:p>
        </w:tc>
        <w:tc>
          <w:tcPr>
            <w:tcW w:w="2404" w:type="dxa"/>
            <w:tcBorders>
              <w:bottom w:val="single" w:color="auto" w:sz="4" w:space="0"/>
            </w:tcBorders>
            <w:vAlign w:val="top"/>
          </w:tcPr>
          <w:p>
            <w:pPr>
              <w:spacing w:line="560" w:lineRule="exact"/>
              <w:jc w:val="center"/>
              <w:rPr>
                <w:rFonts w:ascii="仿宋_GB2312" w:hAnsi="Calibri" w:eastAsia="仿宋_GB2312" w:cs="Arial Black"/>
                <w:kern w:val="0"/>
                <w:sz w:val="28"/>
                <w:szCs w:val="28"/>
              </w:rPr>
            </w:pPr>
            <w:r>
              <w:rPr>
                <w:rFonts w:hint="eastAsia" w:ascii="仿宋_GB2312" w:eastAsia="仿宋_GB2312" w:cs="Arial Black"/>
                <w:kern w:val="0"/>
                <w:sz w:val="28"/>
                <w:szCs w:val="28"/>
                <w:lang w:eastAsia="zh-CN"/>
              </w:rPr>
              <w:t>行政单位</w:t>
            </w:r>
          </w:p>
        </w:tc>
        <w:tc>
          <w:tcPr>
            <w:tcW w:w="2622" w:type="dxa"/>
            <w:tcBorders>
              <w:bottom w:val="single" w:color="auto" w:sz="4" w:space="0"/>
            </w:tcBorders>
            <w:vAlign w:val="top"/>
          </w:tcPr>
          <w:p>
            <w:pPr>
              <w:spacing w:line="560" w:lineRule="exact"/>
              <w:jc w:val="center"/>
              <w:rPr>
                <w:rFonts w:ascii="仿宋_GB2312" w:hAnsi="Calibri" w:eastAsia="仿宋_GB2312" w:cs="Arial Black"/>
                <w:kern w:val="0"/>
                <w:sz w:val="28"/>
                <w:szCs w:val="28"/>
              </w:rPr>
            </w:pPr>
            <w:r>
              <w:rPr>
                <w:rFonts w:hint="eastAsia" w:ascii="仿宋_GB2312" w:eastAsia="仿宋_GB2312" w:cs="Arial Black"/>
                <w:kern w:val="0"/>
                <w:sz w:val="28"/>
                <w:szCs w:val="28"/>
                <w:lang w:eastAsia="zh-CN"/>
              </w:rPr>
              <w:t>财政拨款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9420" w:type="dxa"/>
            <w:gridSpan w:val="4"/>
            <w:tcBorders>
              <w:top w:val="single" w:color="auto" w:sz="4" w:space="0"/>
              <w:left w:val="nil"/>
              <w:bottom w:val="nil"/>
              <w:right w:val="nil"/>
            </w:tcBorders>
            <w:vAlign w:val="top"/>
          </w:tcPr>
          <w:p>
            <w:pPr>
              <w:spacing w:line="560" w:lineRule="exact"/>
              <w:ind w:firstLine="560" w:firstLineChars="200"/>
              <w:jc w:val="left"/>
              <w:rPr>
                <w:rFonts w:ascii="仿宋_GB2312" w:hAnsi="Calibri" w:eastAsia="仿宋_GB2312" w:cs="Arial Black"/>
                <w:kern w:val="0"/>
                <w:sz w:val="28"/>
                <w:szCs w:val="28"/>
              </w:rPr>
            </w:pPr>
          </w:p>
        </w:tc>
      </w:tr>
    </w:tbl>
    <w:p>
      <w:pPr>
        <w:widowControl/>
        <w:spacing w:after="160" w:line="580" w:lineRule="exact"/>
        <w:ind w:firstLine="640" w:firstLineChars="200"/>
        <w:rPr>
          <w:rFonts w:ascii="Times New Roman" w:hAnsi="Times New Roman" w:eastAsia="黑体" w:cs="Times New Roman"/>
          <w:sz w:val="32"/>
          <w:szCs w:val="32"/>
        </w:rPr>
      </w:pPr>
    </w:p>
    <w:p>
      <w:pPr>
        <w:widowControl/>
        <w:spacing w:after="160" w:line="580" w:lineRule="exact"/>
        <w:ind w:firstLine="640" w:firstLineChars="200"/>
        <w:rPr>
          <w:rFonts w:ascii="Times New Roman" w:hAnsi="Times New Roman" w:eastAsia="黑体" w:cs="Times New Roman"/>
          <w:sz w:val="32"/>
          <w:szCs w:val="32"/>
        </w:rPr>
      </w:pPr>
    </w:p>
    <w:p/>
    <w:p>
      <w:pPr>
        <w:widowControl/>
        <w:spacing w:after="160" w:line="580" w:lineRule="exact"/>
        <w:ind w:firstLine="1440" w:firstLineChars="200"/>
        <w:rPr>
          <w:rFonts w:ascii="Times New Roman" w:hAnsi="Times New Roman" w:eastAsia="黑体" w:cs="Times New Roman"/>
          <w:sz w:val="32"/>
          <w:szCs w:val="32"/>
        </w:rPr>
        <w:sectPr>
          <w:headerReference r:id="rId6" w:type="default"/>
          <w:pgSz w:w="11906" w:h="16838"/>
          <w:pgMar w:top="2098" w:right="1531" w:bottom="1984" w:left="1531" w:header="851" w:footer="992" w:gutter="0"/>
          <w:pgNumType w:fmt="numberInDash"/>
          <w:cols w:space="720" w:num="1"/>
          <w:titlePg/>
          <w:docGrid w:type="lines" w:linePitch="312" w:charSpace="0"/>
        </w:sectPr>
      </w:pPr>
      <w:r>
        <w:rPr>
          <w:rFonts w:ascii="Calibri" w:hAnsi="Calibri" w:eastAsia="宋体" w:cs="黑体"/>
          <w:kern w:val="2"/>
          <w:sz w:val="72"/>
          <w:szCs w:val="24"/>
          <w:lang w:val="en-US" w:eastAsia="zh-CN" w:bidi="ar-SA"/>
        </w:rPr>
        <w:pict>
          <v:shape id="文本框 151" o:spid="_x0000_s1029" o:spt="202" type="#_x0000_t202" style="position:absolute;left:0pt;margin-left:-85.7pt;margin-top:238.15pt;height:173.25pt;width:613.65pt;z-index:251661312;mso-width-relative:page;mso-height-relative:page;" fillcolor="#FFFFFF" filled="f" o:preferrelative="t" stroked="f" coordsize="21600,21600">
            <v:path/>
            <v:fill on="f" color2="#FFFFFF" focussize="0,0"/>
            <v:stroke on="f"/>
            <v:imagedata gain="65536f" blacklevel="0f" gamma="0" o:title=""/>
            <o:lock v:ext="edit" position="f" selection="f" grouping="f" rotation="f" cropping="f" text="f" aspectratio="f"/>
            <v:textbox>
              <w:txbxContent>
                <w:p>
                  <w:pPr>
                    <w:widowControl/>
                    <w:jc w:val="center"/>
                    <w:rPr>
                      <w:rFonts w:ascii="黑体" w:hAnsi="黑体" w:eastAsia="黑体" w:cs="黑体"/>
                      <w:color w:val="000000"/>
                      <w:sz w:val="96"/>
                      <w:szCs w:val="96"/>
                    </w:rPr>
                  </w:pPr>
                  <w:r>
                    <w:rPr>
                      <w:rFonts w:hint="eastAsia" w:ascii="黑体" w:hAnsi="黑体" w:eastAsia="黑体" w:cs="黑体"/>
                      <w:color w:val="000000"/>
                      <w:sz w:val="96"/>
                      <w:szCs w:val="96"/>
                    </w:rPr>
                    <w:t xml:space="preserve"> </w:t>
                  </w:r>
                </w:p>
                <w:p>
                  <w:pPr>
                    <w:widowControl/>
                    <w:jc w:val="center"/>
                    <w:rPr>
                      <w:rFonts w:ascii="黑体" w:hAnsi="黑体" w:eastAsia="黑体" w:cs="黑体"/>
                      <w:color w:val="000000"/>
                      <w:sz w:val="96"/>
                      <w:szCs w:val="96"/>
                    </w:rPr>
                  </w:pPr>
                </w:p>
              </w:txbxContent>
            </v:textbox>
          </v:shape>
        </w:pict>
      </w:r>
    </w:p>
    <w:p>
      <w:pPr>
        <w:widowControl/>
        <w:spacing w:line="580" w:lineRule="exact"/>
        <w:ind w:firstLine="640" w:firstLineChars="200"/>
        <w:rPr>
          <w:rFonts w:eastAsia="黑体"/>
          <w:sz w:val="32"/>
          <w:szCs w:val="3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r>
        <w:rPr>
          <w:rFonts w:ascii="Calibri" w:hAnsi="Calibri" w:eastAsia="宋体" w:cs="黑体"/>
          <w:kern w:val="2"/>
          <w:sz w:val="72"/>
          <w:szCs w:val="24"/>
          <w:lang w:val="en-US" w:eastAsia="zh-CN" w:bidi="ar-SA"/>
        </w:rPr>
        <w:pict>
          <v:shape id="文本框 2" o:spid="_x0000_s1030" o:spt="202" type="#_x0000_t202" style="position:absolute;left:0pt;margin-left:-80.95pt;margin-top:-207.65pt;height:263.1pt;width:613.65pt;z-index:251662336;v-text-anchor:middle;mso-width-relative:page;mso-height-relative:page;" fillcolor="#7F7F7F" filled="t" o:preferrelative="t" stroked="t" coordsize="21600,21600">
            <v:path/>
            <v:fill type="pattern" on="t" color2="#FFFFFF" focussize="0,0" r:id="rId10"/>
            <v:stroke weight="1pt" color="#A5A5A5" color2="#FFFFFF" miterlimit="2"/>
            <v:imagedata gain="65536f" blacklevel="0f" gamma="0" o:title=""/>
            <o:lock v:ext="edit" position="f" selection="f" grouping="f" rotation="f" cropping="f" text="f" aspectratio="f"/>
            <v:textbox>
              <w:txbxContent>
                <w:p>
                  <w:pPr>
                    <w:widowControl/>
                    <w:jc w:val="center"/>
                    <w:rPr>
                      <w:rFonts w:ascii="黑体" w:hAnsi="黑体" w:eastAsia="黑体" w:cs="黑体"/>
                      <w:color w:val="000000"/>
                      <w:sz w:val="90"/>
                      <w:szCs w:val="90"/>
                    </w:rPr>
                  </w:pPr>
                  <w:r>
                    <w:rPr>
                      <w:rFonts w:hint="eastAsia" w:ascii="黑体" w:hAnsi="黑体" w:eastAsia="黑体" w:cs="黑体"/>
                      <w:color w:val="000000"/>
                      <w:sz w:val="90"/>
                      <w:szCs w:val="90"/>
                    </w:rPr>
                    <w:t xml:space="preserve">第二部分 </w:t>
                  </w:r>
                </w:p>
                <w:p>
                  <w:pPr>
                    <w:widowControl/>
                    <w:jc w:val="center"/>
                    <w:rPr>
                      <w:rFonts w:ascii="黑体" w:hAnsi="黑体" w:eastAsia="黑体" w:cs="黑体"/>
                      <w:color w:val="000000"/>
                      <w:sz w:val="90"/>
                      <w:szCs w:val="90"/>
                    </w:rPr>
                  </w:pPr>
                  <w:r>
                    <w:rPr>
                      <w:rFonts w:hint="eastAsia" w:ascii="黑体" w:hAnsi="黑体" w:eastAsia="黑体" w:cs="黑体"/>
                      <w:color w:val="000000"/>
                      <w:sz w:val="90"/>
                      <w:szCs w:val="90"/>
                    </w:rPr>
                    <w:t>2020年部门决算情况说明</w:t>
                  </w:r>
                </w:p>
                <w:p>
                  <w:pPr>
                    <w:widowControl/>
                    <w:jc w:val="center"/>
                  </w:pPr>
                </w:p>
                <w:p/>
              </w:txbxContent>
            </v:textbox>
          </v:shape>
        </w:pict>
      </w:r>
    </w:p>
    <w:p>
      <w:pPr>
        <w:jc w:val="center"/>
        <w:rPr>
          <w:rFonts w:ascii="黑体" w:hAnsi="黑体" w:eastAsia="黑体" w:cs="黑体"/>
          <w:sz w:val="56"/>
          <w:szCs w:val="72"/>
        </w:rPr>
      </w:pPr>
    </w:p>
    <w:p>
      <w:pPr>
        <w:keepNext/>
        <w:keepLines/>
        <w:snapToGrid w:val="0"/>
        <w:spacing w:line="600" w:lineRule="exact"/>
        <w:ind w:firstLine="420" w:firstLineChars="200"/>
        <w:outlineLvl w:val="1"/>
        <w:rPr>
          <w:rFonts w:ascii="黑体" w:hAnsi="Calibri" w:eastAsia="黑体" w:cs="Times New Roman"/>
          <w:sz w:val="32"/>
          <w:szCs w:val="32"/>
        </w:rPr>
      </w:pPr>
      <w:r>
        <w:br w:type="page"/>
      </w:r>
      <w:r>
        <w:rPr>
          <w:rFonts w:hint="eastAsia" w:ascii="黑体" w:hAnsi="Calibri" w:eastAsia="黑体" w:cs="Times New Roman"/>
          <w:sz w:val="32"/>
          <w:szCs w:val="32"/>
        </w:rPr>
        <w:t>一、收入</w:t>
      </w:r>
      <w:r>
        <w:rPr>
          <w:rFonts w:hint="eastAsia" w:ascii="黑体" w:hAnsi="Cambria" w:eastAsia="黑体" w:cs="黑体"/>
          <w:kern w:val="0"/>
          <w:sz w:val="32"/>
          <w:szCs w:val="32"/>
        </w:rPr>
        <w:t>支出</w:t>
      </w:r>
      <w:r>
        <w:rPr>
          <w:rFonts w:hint="eastAsia" w:ascii="黑体" w:hAnsi="Calibri" w:eastAsia="黑体" w:cs="Times New Roman"/>
          <w:sz w:val="32"/>
          <w:szCs w:val="32"/>
        </w:rPr>
        <w:t>决算总体情况说明</w:t>
      </w:r>
    </w:p>
    <w:p>
      <w:pPr>
        <w:adjustRightInd w:val="0"/>
        <w:snapToGrid w:val="0"/>
        <w:spacing w:line="600" w:lineRule="exact"/>
        <w:ind w:firstLine="640" w:firstLineChars="200"/>
        <w:rPr>
          <w:rFonts w:ascii="黑体" w:hAnsi="Calibri" w:eastAsia="黑体" w:cs="Times New Roman"/>
          <w:sz w:val="32"/>
          <w:szCs w:val="32"/>
        </w:rPr>
      </w:pPr>
      <w:r>
        <w:rPr>
          <w:rFonts w:hint="eastAsia" w:ascii="仿宋_GB2312" w:hAnsi="Times New Roman" w:eastAsia="仿宋_GB2312" w:cs="Wingdings"/>
          <w:sz w:val="32"/>
          <w:szCs w:val="32"/>
        </w:rPr>
        <w:t>本部门2020年度收</w:t>
      </w:r>
      <w:r>
        <w:rPr>
          <w:rFonts w:hint="eastAsia" w:ascii="仿宋_GB2312" w:hAnsi="Times New Roman" w:eastAsia="仿宋_GB2312" w:cs="Wingdings"/>
          <w:sz w:val="32"/>
          <w:szCs w:val="32"/>
          <w:lang w:eastAsia="zh-CN"/>
        </w:rPr>
        <w:t>入</w:t>
      </w:r>
      <w:r>
        <w:rPr>
          <w:rFonts w:hint="eastAsia" w:ascii="仿宋_GB2312" w:hAnsi="Times New Roman" w:eastAsia="仿宋_GB2312" w:cs="Wingdings"/>
          <w:sz w:val="32"/>
          <w:szCs w:val="32"/>
        </w:rPr>
        <w:t>总计（含结转和结余）</w:t>
      </w:r>
      <w:r>
        <w:rPr>
          <w:rFonts w:hint="eastAsia" w:ascii="仿宋_GB2312" w:hAnsi="Times New Roman" w:eastAsia="仿宋_GB2312" w:cs="Wingdings"/>
          <w:sz w:val="32"/>
          <w:szCs w:val="32"/>
          <w:lang w:val="en-US" w:eastAsia="zh-CN"/>
        </w:rPr>
        <w:t>7696.70</w:t>
      </w:r>
      <w:r>
        <w:rPr>
          <w:rFonts w:hint="eastAsia" w:ascii="仿宋_GB2312" w:hAnsi="Times New Roman" w:eastAsia="仿宋_GB2312" w:cs="Wingdings"/>
          <w:sz w:val="32"/>
          <w:szCs w:val="32"/>
        </w:rPr>
        <w:t>万元。与2019年度决算相比，</w:t>
      </w:r>
      <w:r>
        <w:rPr>
          <w:rFonts w:hint="eastAsia" w:ascii="仿宋_GB2312" w:hAnsi="Times New Roman" w:eastAsia="仿宋_GB2312" w:cs="Wingdings"/>
          <w:sz w:val="32"/>
          <w:szCs w:val="32"/>
          <w:highlight w:val="none"/>
        </w:rPr>
        <w:t>收</w:t>
      </w:r>
      <w:r>
        <w:rPr>
          <w:rFonts w:hint="eastAsia" w:ascii="仿宋_GB2312" w:hAnsi="Times New Roman" w:eastAsia="仿宋_GB2312" w:cs="Wingdings"/>
          <w:sz w:val="32"/>
          <w:szCs w:val="32"/>
          <w:highlight w:val="none"/>
          <w:lang w:eastAsia="zh-CN"/>
        </w:rPr>
        <w:t>入</w:t>
      </w:r>
      <w:r>
        <w:rPr>
          <w:rFonts w:hint="eastAsia" w:ascii="仿宋_GB2312" w:hAnsi="Times New Roman" w:eastAsia="仿宋_GB2312" w:cs="Wingdings"/>
          <w:sz w:val="32"/>
          <w:szCs w:val="32"/>
          <w:highlight w:val="none"/>
        </w:rPr>
        <w:t>增加</w:t>
      </w:r>
      <w:r>
        <w:rPr>
          <w:rFonts w:hint="eastAsia" w:ascii="仿宋_GB2312" w:hAnsi="Times New Roman" w:eastAsia="仿宋_GB2312" w:cs="Wingdings"/>
          <w:sz w:val="32"/>
          <w:szCs w:val="32"/>
          <w:highlight w:val="none"/>
          <w:lang w:val="en-US" w:eastAsia="zh-CN"/>
        </w:rPr>
        <w:t>1683.23</w:t>
      </w:r>
      <w:r>
        <w:rPr>
          <w:rFonts w:hint="eastAsia" w:ascii="仿宋_GB2312" w:hAnsi="Times New Roman" w:eastAsia="仿宋_GB2312" w:cs="Wingdings"/>
          <w:sz w:val="32"/>
          <w:szCs w:val="32"/>
          <w:highlight w:val="none"/>
        </w:rPr>
        <w:t>万元，增长</w:t>
      </w:r>
      <w:r>
        <w:rPr>
          <w:rFonts w:hint="eastAsia" w:ascii="仿宋_GB2312" w:hAnsi="Times New Roman" w:eastAsia="仿宋_GB2312" w:cs="Wingdings"/>
          <w:sz w:val="32"/>
          <w:szCs w:val="32"/>
          <w:highlight w:val="none"/>
          <w:lang w:val="en-US" w:eastAsia="zh-CN"/>
        </w:rPr>
        <w:t>27.99</w:t>
      </w:r>
      <w:r>
        <w:rPr>
          <w:rFonts w:hint="eastAsia" w:ascii="仿宋_GB2312" w:hAnsi="Times New Roman" w:eastAsia="仿宋_GB2312" w:cs="Wingdings"/>
          <w:sz w:val="32"/>
          <w:szCs w:val="32"/>
          <w:highlight w:val="none"/>
        </w:rPr>
        <w:t>%，</w:t>
      </w:r>
      <w:r>
        <w:rPr>
          <w:rFonts w:hint="eastAsia" w:ascii="仿宋_GB2312" w:hAnsi="Times New Roman" w:eastAsia="仿宋_GB2312" w:cs="Wingdings"/>
          <w:sz w:val="32"/>
          <w:szCs w:val="32"/>
        </w:rPr>
        <w:t>主要原因是</w:t>
      </w:r>
      <w:r>
        <w:rPr>
          <w:rFonts w:hint="eastAsia" w:ascii="仿宋_GB2312" w:hAnsi="Times New Roman" w:eastAsia="仿宋_GB2312" w:cs="Wingdings"/>
          <w:sz w:val="32"/>
          <w:szCs w:val="32"/>
          <w:lang w:eastAsia="zh-CN"/>
        </w:rPr>
        <w:t>将森林公安合并及加大装备建设，本年度进入付款阶段</w:t>
      </w:r>
      <w:r>
        <w:rPr>
          <w:rFonts w:hint="eastAsia" w:ascii="仿宋_GB2312" w:hAnsi="Times New Roman" w:eastAsia="仿宋_GB2312" w:cs="Wingdings"/>
          <w:sz w:val="32"/>
          <w:szCs w:val="32"/>
        </w:rPr>
        <w:t>。本部门2020年度</w:t>
      </w:r>
      <w:r>
        <w:rPr>
          <w:rFonts w:hint="eastAsia" w:ascii="仿宋_GB2312" w:hAnsi="Times New Roman" w:eastAsia="仿宋_GB2312" w:cs="Wingdings"/>
          <w:sz w:val="32"/>
          <w:szCs w:val="32"/>
          <w:lang w:eastAsia="zh-CN"/>
        </w:rPr>
        <w:t>支出</w:t>
      </w:r>
      <w:r>
        <w:rPr>
          <w:rFonts w:hint="eastAsia" w:ascii="仿宋_GB2312" w:hAnsi="Times New Roman" w:eastAsia="仿宋_GB2312" w:cs="Wingdings"/>
          <w:sz w:val="32"/>
          <w:szCs w:val="32"/>
        </w:rPr>
        <w:t>总计（含结转和结余）</w:t>
      </w:r>
      <w:r>
        <w:rPr>
          <w:rFonts w:hint="eastAsia" w:ascii="仿宋_GB2312" w:hAnsi="Times New Roman" w:eastAsia="仿宋_GB2312" w:cs="Wingdings"/>
          <w:sz w:val="32"/>
          <w:szCs w:val="32"/>
          <w:lang w:val="en-US" w:eastAsia="zh-CN"/>
        </w:rPr>
        <w:t>7696.70</w:t>
      </w:r>
      <w:r>
        <w:rPr>
          <w:rFonts w:hint="eastAsia" w:ascii="仿宋_GB2312" w:hAnsi="Times New Roman" w:eastAsia="仿宋_GB2312" w:cs="Wingdings"/>
          <w:sz w:val="32"/>
          <w:szCs w:val="32"/>
        </w:rPr>
        <w:t>万元。与2019年度决算相比，</w:t>
      </w:r>
      <w:r>
        <w:rPr>
          <w:rFonts w:hint="eastAsia" w:ascii="仿宋_GB2312" w:hAnsi="Times New Roman" w:eastAsia="仿宋_GB2312" w:cs="Wingdings"/>
          <w:sz w:val="32"/>
          <w:szCs w:val="32"/>
          <w:highlight w:val="none"/>
        </w:rPr>
        <w:t>收</w:t>
      </w:r>
      <w:r>
        <w:rPr>
          <w:rFonts w:hint="eastAsia" w:ascii="仿宋_GB2312" w:hAnsi="Times New Roman" w:eastAsia="仿宋_GB2312" w:cs="Wingdings"/>
          <w:sz w:val="32"/>
          <w:szCs w:val="32"/>
          <w:highlight w:val="none"/>
          <w:lang w:eastAsia="zh-CN"/>
        </w:rPr>
        <w:t>入</w:t>
      </w:r>
      <w:r>
        <w:rPr>
          <w:rFonts w:hint="eastAsia" w:ascii="仿宋_GB2312" w:hAnsi="Times New Roman" w:eastAsia="仿宋_GB2312" w:cs="Wingdings"/>
          <w:sz w:val="32"/>
          <w:szCs w:val="32"/>
          <w:highlight w:val="none"/>
        </w:rPr>
        <w:t>增加</w:t>
      </w:r>
      <w:r>
        <w:rPr>
          <w:rFonts w:hint="eastAsia" w:ascii="仿宋_GB2312" w:hAnsi="Times New Roman" w:eastAsia="仿宋_GB2312" w:cs="Wingdings"/>
          <w:sz w:val="32"/>
          <w:szCs w:val="32"/>
          <w:highlight w:val="none"/>
          <w:lang w:val="en-US" w:eastAsia="zh-CN"/>
        </w:rPr>
        <w:t>1683.23</w:t>
      </w:r>
      <w:r>
        <w:rPr>
          <w:rFonts w:hint="eastAsia" w:ascii="仿宋_GB2312" w:hAnsi="Times New Roman" w:eastAsia="仿宋_GB2312" w:cs="Wingdings"/>
          <w:sz w:val="32"/>
          <w:szCs w:val="32"/>
          <w:highlight w:val="none"/>
        </w:rPr>
        <w:t>万元，增长</w:t>
      </w:r>
      <w:r>
        <w:rPr>
          <w:rFonts w:hint="eastAsia" w:ascii="仿宋_GB2312" w:hAnsi="Times New Roman" w:eastAsia="仿宋_GB2312" w:cs="Wingdings"/>
          <w:sz w:val="32"/>
          <w:szCs w:val="32"/>
          <w:highlight w:val="none"/>
          <w:lang w:val="en-US" w:eastAsia="zh-CN"/>
        </w:rPr>
        <w:t>27.99</w:t>
      </w:r>
      <w:r>
        <w:rPr>
          <w:rFonts w:hint="eastAsia" w:ascii="仿宋_GB2312" w:hAnsi="Times New Roman" w:eastAsia="仿宋_GB2312" w:cs="Wingdings"/>
          <w:sz w:val="32"/>
          <w:szCs w:val="32"/>
          <w:highlight w:val="none"/>
        </w:rPr>
        <w:t>%，</w:t>
      </w:r>
      <w:r>
        <w:rPr>
          <w:rFonts w:hint="eastAsia" w:ascii="仿宋_GB2312" w:hAnsi="Times New Roman" w:eastAsia="仿宋_GB2312" w:cs="Wingdings"/>
          <w:sz w:val="32"/>
          <w:szCs w:val="32"/>
        </w:rPr>
        <w:t>主要原因是</w:t>
      </w:r>
      <w:r>
        <w:rPr>
          <w:rFonts w:hint="eastAsia" w:ascii="仿宋_GB2312" w:hAnsi="Times New Roman" w:eastAsia="仿宋_GB2312" w:cs="Wingdings"/>
          <w:sz w:val="32"/>
          <w:szCs w:val="32"/>
          <w:lang w:eastAsia="zh-CN"/>
        </w:rPr>
        <w:t>将森林公安合并及加大装备建设，本年度进入付款阶段</w:t>
      </w:r>
      <w:r>
        <w:rPr>
          <w:rFonts w:hint="eastAsia" w:ascii="仿宋_GB2312" w:hAnsi="Times New Roman" w:eastAsia="仿宋_GB2312" w:cs="Wingdings"/>
          <w:sz w:val="32"/>
          <w:szCs w:val="32"/>
        </w:rPr>
        <w:t>。</w:t>
      </w:r>
    </w:p>
    <w:p>
      <w:pPr>
        <w:keepNext/>
        <w:keepLines/>
        <w:snapToGrid w:val="0"/>
        <w:spacing w:line="600" w:lineRule="exact"/>
        <w:ind w:firstLine="640" w:firstLineChars="200"/>
        <w:outlineLvl w:val="1"/>
        <w:rPr>
          <w:rFonts w:ascii="黑体" w:hAnsi="Calibri" w:eastAsia="黑体" w:cs="Times New Roman"/>
          <w:sz w:val="32"/>
          <w:szCs w:val="32"/>
        </w:rPr>
      </w:pPr>
      <w:r>
        <w:rPr>
          <w:rFonts w:hint="eastAsia" w:ascii="黑体" w:hAnsi="Calibri" w:eastAsia="黑体" w:cs="Times New Roman"/>
          <w:sz w:val="32"/>
          <w:szCs w:val="32"/>
        </w:rPr>
        <w:t>二、收入决算情况说明</w:t>
      </w:r>
    </w:p>
    <w:p>
      <w:pPr>
        <w:adjustRightInd w:val="0"/>
        <w:snapToGrid w:val="0"/>
        <w:spacing w:line="600" w:lineRule="exact"/>
        <w:ind w:firstLine="640" w:firstLineChars="200"/>
        <w:rPr>
          <w:rFonts w:ascii="黑体" w:hAnsi="Calibri" w:eastAsia="黑体" w:cs="Times New Roman"/>
          <w:sz w:val="32"/>
          <w:szCs w:val="32"/>
        </w:rPr>
      </w:pPr>
      <w:r>
        <w:rPr>
          <w:rFonts w:hint="eastAsia" w:ascii="仿宋_GB2312" w:hAnsi="Times New Roman" w:eastAsia="仿宋_GB2312" w:cs="Wingdings"/>
          <w:sz w:val="32"/>
          <w:szCs w:val="32"/>
        </w:rPr>
        <w:t>本部门2020年度本年收入合计</w:t>
      </w:r>
      <w:r>
        <w:rPr>
          <w:rFonts w:hint="eastAsia" w:ascii="仿宋_GB2312" w:hAnsi="Times New Roman" w:eastAsia="仿宋_GB2312" w:cs="Wingdings"/>
          <w:sz w:val="32"/>
          <w:szCs w:val="32"/>
          <w:lang w:val="en-US" w:eastAsia="zh-CN"/>
        </w:rPr>
        <w:t>7696.70</w:t>
      </w:r>
      <w:r>
        <w:rPr>
          <w:rFonts w:hint="eastAsia" w:ascii="仿宋_GB2312" w:hAnsi="Times New Roman" w:eastAsia="仿宋_GB2312" w:cs="Wingdings"/>
          <w:sz w:val="32"/>
          <w:szCs w:val="32"/>
        </w:rPr>
        <w:t>万元，其中：财政拨款收入</w:t>
      </w:r>
      <w:r>
        <w:rPr>
          <w:rFonts w:hint="eastAsia" w:ascii="仿宋_GB2312" w:hAnsi="Times New Roman" w:eastAsia="仿宋_GB2312" w:cs="Wingdings"/>
          <w:sz w:val="32"/>
          <w:szCs w:val="32"/>
          <w:lang w:val="en-US" w:eastAsia="zh-CN"/>
        </w:rPr>
        <w:t>7696.70</w:t>
      </w:r>
      <w:r>
        <w:rPr>
          <w:rFonts w:hint="eastAsia" w:ascii="仿宋_GB2312" w:hAnsi="Times New Roman" w:eastAsia="仿宋_GB2312" w:cs="Wingdings"/>
          <w:sz w:val="32"/>
          <w:szCs w:val="32"/>
        </w:rPr>
        <w:t>万元，占</w:t>
      </w:r>
      <w:r>
        <w:rPr>
          <w:rFonts w:hint="eastAsia" w:ascii="仿宋_GB2312" w:hAnsi="Times New Roman" w:eastAsia="仿宋_GB2312" w:cs="Wingdings"/>
          <w:sz w:val="32"/>
          <w:szCs w:val="32"/>
          <w:lang w:val="en-US" w:eastAsia="zh-CN"/>
        </w:rPr>
        <w:t>100</w:t>
      </w:r>
      <w:r>
        <w:rPr>
          <w:rFonts w:hint="eastAsia" w:ascii="仿宋_GB2312" w:hAnsi="Times New Roman" w:eastAsia="仿宋_GB2312" w:cs="Wingdings"/>
          <w:sz w:val="32"/>
          <w:szCs w:val="32"/>
        </w:rPr>
        <w:t>%；事业收入</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万元，占</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%；经营收入</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万元，占</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%；其他收入</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万元，占</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w:t>
      </w:r>
    </w:p>
    <w:p>
      <w:pPr>
        <w:snapToGrid w:val="0"/>
        <w:spacing w:line="600" w:lineRule="exact"/>
        <w:ind w:firstLine="640" w:firstLineChars="200"/>
        <w:outlineLvl w:val="1"/>
        <w:rPr>
          <w:rFonts w:ascii="黑体" w:hAnsi="Calibri" w:eastAsia="黑体" w:cs="Times New Roman"/>
          <w:sz w:val="32"/>
          <w:szCs w:val="32"/>
        </w:rPr>
      </w:pPr>
      <w:r>
        <w:rPr>
          <w:rFonts w:hint="eastAsia" w:ascii="黑体" w:hAnsi="Calibri" w:eastAsia="黑体" w:cs="Times New Roman"/>
          <w:sz w:val="32"/>
          <w:szCs w:val="32"/>
        </w:rPr>
        <w:t>三、支出决算情况说明</w:t>
      </w:r>
    </w:p>
    <w:p>
      <w:pPr>
        <w:adjustRightInd w:val="0"/>
        <w:snapToGrid w:val="0"/>
        <w:spacing w:line="600" w:lineRule="exact"/>
        <w:ind w:firstLine="640" w:firstLineChars="200"/>
        <w:rPr>
          <w:rFonts w:hint="eastAsia" w:ascii="黑体" w:hAnsi="Calibri" w:eastAsia="仿宋_GB2312" w:cs="Times New Roman"/>
          <w:b/>
          <w:bCs/>
          <w:sz w:val="32"/>
          <w:szCs w:val="32"/>
          <w:lang w:val="en-US" w:eastAsia="zh-CN"/>
        </w:rPr>
      </w:pPr>
      <w:r>
        <w:rPr>
          <w:rFonts w:hint="eastAsia" w:ascii="仿宋_GB2312" w:hAnsi="Times New Roman" w:eastAsia="仿宋_GB2312" w:cs="Wingdings"/>
          <w:sz w:val="32"/>
          <w:szCs w:val="32"/>
        </w:rPr>
        <w:t>本部门2020年度本年支出合计</w:t>
      </w:r>
      <w:r>
        <w:rPr>
          <w:rFonts w:hint="eastAsia" w:ascii="仿宋_GB2312" w:hAnsi="Times New Roman" w:eastAsia="仿宋_GB2312" w:cs="Wingdings"/>
          <w:sz w:val="32"/>
          <w:szCs w:val="32"/>
          <w:lang w:val="en-US" w:eastAsia="zh-CN"/>
        </w:rPr>
        <w:t>7696.70</w:t>
      </w:r>
      <w:r>
        <w:rPr>
          <w:rFonts w:hint="eastAsia" w:ascii="仿宋_GB2312" w:hAnsi="Times New Roman" w:eastAsia="仿宋_GB2312" w:cs="Wingdings"/>
          <w:sz w:val="32"/>
          <w:szCs w:val="32"/>
        </w:rPr>
        <w:t>万元，其中：基本支出</w:t>
      </w:r>
      <w:r>
        <w:rPr>
          <w:rFonts w:hint="eastAsia" w:ascii="仿宋_GB2312" w:hAnsi="Times New Roman" w:eastAsia="仿宋_GB2312" w:cs="Wingdings"/>
          <w:sz w:val="32"/>
          <w:szCs w:val="32"/>
          <w:lang w:val="en-US" w:eastAsia="zh-CN"/>
        </w:rPr>
        <w:t>3642.08</w:t>
      </w:r>
      <w:r>
        <w:rPr>
          <w:rFonts w:hint="eastAsia" w:ascii="仿宋_GB2312" w:hAnsi="Times New Roman" w:eastAsia="仿宋_GB2312" w:cs="Wingdings"/>
          <w:sz w:val="32"/>
          <w:szCs w:val="32"/>
        </w:rPr>
        <w:t>万元，占</w:t>
      </w:r>
      <w:r>
        <w:rPr>
          <w:rFonts w:hint="eastAsia" w:ascii="仿宋_GB2312" w:hAnsi="Times New Roman" w:eastAsia="仿宋_GB2312" w:cs="Wingdings"/>
          <w:sz w:val="32"/>
          <w:szCs w:val="32"/>
          <w:lang w:val="en-US" w:eastAsia="zh-CN"/>
        </w:rPr>
        <w:t>47.32</w:t>
      </w:r>
      <w:r>
        <w:rPr>
          <w:rFonts w:hint="eastAsia" w:ascii="仿宋_GB2312" w:hAnsi="Times New Roman" w:eastAsia="仿宋_GB2312" w:cs="Wingdings"/>
          <w:sz w:val="32"/>
          <w:szCs w:val="32"/>
        </w:rPr>
        <w:t>%；项目支出</w:t>
      </w:r>
      <w:r>
        <w:rPr>
          <w:rFonts w:hint="eastAsia" w:ascii="仿宋_GB2312" w:hAnsi="Times New Roman" w:eastAsia="仿宋_GB2312" w:cs="Wingdings"/>
          <w:sz w:val="32"/>
          <w:szCs w:val="32"/>
          <w:lang w:val="en-US" w:eastAsia="zh-CN"/>
        </w:rPr>
        <w:t>4054.62</w:t>
      </w:r>
      <w:r>
        <w:rPr>
          <w:rFonts w:hint="eastAsia" w:ascii="仿宋_GB2312" w:hAnsi="Times New Roman" w:eastAsia="仿宋_GB2312" w:cs="Wingdings"/>
          <w:sz w:val="32"/>
          <w:szCs w:val="32"/>
        </w:rPr>
        <w:t>万元，占</w:t>
      </w:r>
      <w:r>
        <w:rPr>
          <w:rFonts w:hint="eastAsia" w:ascii="仿宋_GB2312" w:hAnsi="Times New Roman" w:eastAsia="仿宋_GB2312" w:cs="Wingdings"/>
          <w:sz w:val="32"/>
          <w:szCs w:val="32"/>
          <w:lang w:val="en-US" w:eastAsia="zh-CN"/>
        </w:rPr>
        <w:t>52.68</w:t>
      </w:r>
      <w:r>
        <w:rPr>
          <w:rFonts w:hint="eastAsia" w:ascii="仿宋_GB2312" w:hAnsi="Times New Roman" w:eastAsia="仿宋_GB2312" w:cs="Wingdings"/>
          <w:sz w:val="32"/>
          <w:szCs w:val="32"/>
        </w:rPr>
        <w:t>%；</w:t>
      </w:r>
      <w:r>
        <w:rPr>
          <w:rFonts w:hint="eastAsia" w:ascii="仿宋_GB2312" w:hAnsi="Times New Roman" w:eastAsia="仿宋_GB2312" w:cs="Wingdings"/>
          <w:sz w:val="32"/>
          <w:szCs w:val="32"/>
          <w:lang w:eastAsia="zh-CN"/>
        </w:rPr>
        <w:t>无</w:t>
      </w:r>
      <w:r>
        <w:rPr>
          <w:rFonts w:hint="eastAsia" w:ascii="仿宋_GB2312" w:hAnsi="Times New Roman" w:eastAsia="仿宋_GB2312" w:cs="Wingdings"/>
          <w:sz w:val="32"/>
          <w:szCs w:val="32"/>
        </w:rPr>
        <w:t>经营支出。</w:t>
      </w:r>
    </w:p>
    <w:p>
      <w:pPr>
        <w:keepNext/>
        <w:keepLines/>
        <w:snapToGrid w:val="0"/>
        <w:spacing w:line="600" w:lineRule="exact"/>
        <w:ind w:firstLine="640" w:firstLineChars="200"/>
        <w:outlineLvl w:val="1"/>
        <w:rPr>
          <w:rFonts w:ascii="黑体" w:hAnsi="Calibri" w:eastAsia="黑体" w:cs="Times New Roman"/>
          <w:sz w:val="32"/>
          <w:szCs w:val="32"/>
        </w:rPr>
      </w:pPr>
      <w:r>
        <w:rPr>
          <w:rFonts w:hint="eastAsia" w:ascii="黑体" w:hAnsi="Calibri" w:eastAsia="黑体" w:cs="Times New Roman"/>
          <w:sz w:val="32"/>
          <w:szCs w:val="32"/>
        </w:rPr>
        <w:t>四、</w:t>
      </w:r>
      <w:r>
        <w:rPr>
          <w:rFonts w:hint="eastAsia" w:ascii="黑体" w:hAnsi="Cambria" w:eastAsia="黑体" w:cs="黑体"/>
          <w:kern w:val="0"/>
          <w:sz w:val="32"/>
          <w:szCs w:val="32"/>
        </w:rPr>
        <w:t>财政</w:t>
      </w:r>
      <w:r>
        <w:rPr>
          <w:rFonts w:hint="eastAsia" w:ascii="黑体" w:hAnsi="Calibri" w:eastAsia="黑体" w:cs="Times New Roman"/>
          <w:sz w:val="32"/>
          <w:szCs w:val="32"/>
        </w:rPr>
        <w:t>拨款收入支出决算总体情况说明</w:t>
      </w:r>
    </w:p>
    <w:p>
      <w:pPr>
        <w:snapToGrid w:val="0"/>
        <w:spacing w:line="600" w:lineRule="exact"/>
        <w:ind w:firstLine="643" w:firstLineChars="200"/>
        <w:rPr>
          <w:rFonts w:ascii="楷体_GB2312" w:hAnsi="Times New Roman" w:eastAsia="楷体_GB2312" w:cs="Mongolian Baiti"/>
          <w:b/>
          <w:bCs/>
          <w:sz w:val="32"/>
          <w:szCs w:val="32"/>
        </w:rPr>
      </w:pPr>
      <w:r>
        <w:rPr>
          <w:rFonts w:hint="eastAsia" w:ascii="楷体_GB2312" w:hAnsi="Times New Roman" w:eastAsia="楷体_GB2312" w:cs="Mongolian Baiti"/>
          <w:b/>
          <w:bCs/>
          <w:sz w:val="32"/>
          <w:szCs w:val="32"/>
        </w:rPr>
        <w:t>（一）财政拨款收支与2019年度决算对比情况</w:t>
      </w:r>
    </w:p>
    <w:p>
      <w:pPr>
        <w:adjustRightInd w:val="0"/>
        <w:snapToGrid w:val="0"/>
        <w:spacing w:line="600" w:lineRule="exact"/>
        <w:ind w:firstLine="640" w:firstLineChars="200"/>
        <w:rPr>
          <w:rFonts w:ascii="仿宋_GB2312" w:hAnsi="Times New Roman" w:eastAsia="仿宋_GB2312" w:cs="Wingdings"/>
          <w:sz w:val="32"/>
          <w:szCs w:val="32"/>
        </w:rPr>
      </w:pPr>
      <w:r>
        <w:rPr>
          <w:rFonts w:hint="eastAsia" w:ascii="仿宋_GB2312" w:hAnsi="Times New Roman" w:eastAsia="仿宋_GB2312" w:cs="Wingdings"/>
          <w:sz w:val="32"/>
          <w:szCs w:val="32"/>
        </w:rPr>
        <w:t>本部门2020年度财政拨款收支均为一般公共预算财政拨款，其中本年收入</w:t>
      </w:r>
      <w:r>
        <w:rPr>
          <w:rFonts w:hint="eastAsia" w:ascii="仿宋_GB2312" w:hAnsi="Times New Roman" w:eastAsia="仿宋_GB2312" w:cs="Wingdings"/>
          <w:sz w:val="32"/>
          <w:szCs w:val="32"/>
          <w:lang w:val="en-US" w:eastAsia="zh-CN"/>
        </w:rPr>
        <w:t>7696.70</w:t>
      </w:r>
      <w:r>
        <w:rPr>
          <w:rFonts w:hint="eastAsia" w:ascii="仿宋_GB2312" w:hAnsi="Times New Roman" w:eastAsia="仿宋_GB2312" w:cs="Wingdings"/>
          <w:sz w:val="32"/>
          <w:szCs w:val="32"/>
        </w:rPr>
        <w:t>万元,比2019年度</w:t>
      </w:r>
      <w:r>
        <w:rPr>
          <w:rFonts w:hint="eastAsia" w:ascii="仿宋_GB2312" w:hAnsi="Times New Roman" w:eastAsia="仿宋_GB2312" w:cs="Wingdings"/>
          <w:sz w:val="32"/>
          <w:szCs w:val="32"/>
          <w:highlight w:val="none"/>
        </w:rPr>
        <w:t>收</w:t>
      </w:r>
      <w:r>
        <w:rPr>
          <w:rFonts w:hint="eastAsia" w:ascii="仿宋_GB2312" w:hAnsi="Times New Roman" w:eastAsia="仿宋_GB2312" w:cs="Wingdings"/>
          <w:sz w:val="32"/>
          <w:szCs w:val="32"/>
          <w:highlight w:val="none"/>
          <w:lang w:eastAsia="zh-CN"/>
        </w:rPr>
        <w:t>入</w:t>
      </w:r>
      <w:r>
        <w:rPr>
          <w:rFonts w:hint="eastAsia" w:ascii="仿宋_GB2312" w:hAnsi="Times New Roman" w:eastAsia="仿宋_GB2312" w:cs="Wingdings"/>
          <w:sz w:val="32"/>
          <w:szCs w:val="32"/>
          <w:highlight w:val="none"/>
        </w:rPr>
        <w:t>增加</w:t>
      </w:r>
      <w:r>
        <w:rPr>
          <w:rFonts w:hint="eastAsia" w:ascii="仿宋_GB2312" w:hAnsi="Times New Roman" w:eastAsia="仿宋_GB2312" w:cs="Wingdings"/>
          <w:sz w:val="32"/>
          <w:szCs w:val="32"/>
          <w:highlight w:val="none"/>
          <w:lang w:val="en-US" w:eastAsia="zh-CN"/>
        </w:rPr>
        <w:t>1683.23</w:t>
      </w:r>
      <w:r>
        <w:rPr>
          <w:rFonts w:hint="eastAsia" w:ascii="仿宋_GB2312" w:hAnsi="Times New Roman" w:eastAsia="仿宋_GB2312" w:cs="Wingdings"/>
          <w:sz w:val="32"/>
          <w:szCs w:val="32"/>
          <w:highlight w:val="none"/>
        </w:rPr>
        <w:t>万元，增长</w:t>
      </w:r>
      <w:r>
        <w:rPr>
          <w:rFonts w:hint="eastAsia" w:ascii="仿宋_GB2312" w:hAnsi="Times New Roman" w:eastAsia="仿宋_GB2312" w:cs="Wingdings"/>
          <w:sz w:val="32"/>
          <w:szCs w:val="32"/>
          <w:highlight w:val="none"/>
          <w:lang w:val="en-US" w:eastAsia="zh-CN"/>
        </w:rPr>
        <w:t>27.99</w:t>
      </w:r>
      <w:r>
        <w:rPr>
          <w:rFonts w:hint="eastAsia" w:ascii="仿宋_GB2312" w:hAnsi="Times New Roman" w:eastAsia="仿宋_GB2312" w:cs="Wingdings"/>
          <w:sz w:val="32"/>
          <w:szCs w:val="32"/>
          <w:highlight w:val="none"/>
        </w:rPr>
        <w:t>%，</w:t>
      </w:r>
      <w:r>
        <w:rPr>
          <w:rFonts w:hint="eastAsia" w:ascii="仿宋_GB2312" w:hAnsi="Times New Roman" w:eastAsia="仿宋_GB2312" w:cs="Wingdings"/>
          <w:sz w:val="32"/>
          <w:szCs w:val="32"/>
        </w:rPr>
        <w:t>主要原因是</w:t>
      </w:r>
      <w:r>
        <w:rPr>
          <w:rFonts w:hint="eastAsia" w:ascii="仿宋_GB2312" w:hAnsi="Times New Roman" w:eastAsia="仿宋_GB2312" w:cs="Wingdings"/>
          <w:sz w:val="32"/>
          <w:szCs w:val="32"/>
          <w:lang w:eastAsia="zh-CN"/>
        </w:rPr>
        <w:t>将森林公安合并及加大装备建设，本年度进入付款阶段</w:t>
      </w:r>
      <w:r>
        <w:rPr>
          <w:rFonts w:hint="eastAsia" w:ascii="仿宋_GB2312" w:hAnsi="Times New Roman" w:eastAsia="仿宋_GB2312" w:cs="Wingdings"/>
          <w:sz w:val="32"/>
          <w:szCs w:val="32"/>
        </w:rPr>
        <w:t>。</w:t>
      </w:r>
    </w:p>
    <w:p>
      <w:pPr>
        <w:snapToGrid w:val="0"/>
        <w:spacing w:line="600" w:lineRule="exact"/>
        <w:ind w:firstLine="643" w:firstLineChars="200"/>
        <w:rPr>
          <w:rFonts w:ascii="仿宋_GB2312" w:hAnsi="Times New Roman" w:eastAsia="仿宋_GB2312" w:cs="Mongolian Baiti"/>
          <w:b/>
          <w:bCs/>
          <w:sz w:val="32"/>
          <w:szCs w:val="32"/>
        </w:rPr>
      </w:pPr>
      <w:r>
        <w:rPr>
          <w:rFonts w:hint="eastAsia" w:ascii="楷体_GB2312" w:hAnsi="Times New Roman" w:eastAsia="楷体_GB2312" w:cs="Mongolian Baiti"/>
          <w:b/>
          <w:bCs/>
          <w:sz w:val="32"/>
          <w:szCs w:val="32"/>
        </w:rPr>
        <w:t>（二）财政拨款收支与年初预算数对比情况</w:t>
      </w:r>
    </w:p>
    <w:p>
      <w:pPr>
        <w:adjustRightInd w:val="0"/>
        <w:snapToGrid w:val="0"/>
        <w:spacing w:line="600" w:lineRule="exact"/>
        <w:ind w:firstLine="640" w:firstLineChars="200"/>
        <w:rPr>
          <w:rFonts w:ascii="仿宋_GB2312" w:hAnsi="Times New Roman" w:eastAsia="仿宋_GB2312" w:cs="Wingdings"/>
          <w:sz w:val="32"/>
          <w:szCs w:val="32"/>
        </w:rPr>
      </w:pPr>
      <w:r>
        <w:rPr>
          <w:rFonts w:hint="eastAsia" w:ascii="仿宋_GB2312" w:hAnsi="Times New Roman" w:eastAsia="仿宋_GB2312" w:cs="Wingdings"/>
          <w:sz w:val="32"/>
          <w:szCs w:val="32"/>
        </w:rPr>
        <w:t>本部门2020年度一般公共预算财政拨款收入</w:t>
      </w:r>
      <w:r>
        <w:rPr>
          <w:rFonts w:hint="eastAsia" w:ascii="仿宋_GB2312" w:hAnsi="Times New Roman" w:eastAsia="仿宋_GB2312" w:cs="Wingdings"/>
          <w:sz w:val="32"/>
          <w:szCs w:val="32"/>
          <w:lang w:val="en-US" w:eastAsia="zh-CN"/>
        </w:rPr>
        <w:t>7696.70</w:t>
      </w:r>
      <w:r>
        <w:rPr>
          <w:rFonts w:hint="eastAsia" w:ascii="仿宋_GB2312" w:hAnsi="Times New Roman" w:eastAsia="仿宋_GB2312" w:cs="Wingdings"/>
          <w:sz w:val="32"/>
          <w:szCs w:val="32"/>
        </w:rPr>
        <w:t>万元，完成年初预算的</w:t>
      </w:r>
      <w:r>
        <w:rPr>
          <w:rFonts w:hint="eastAsia" w:ascii="仿宋_GB2312" w:hAnsi="Times New Roman" w:eastAsia="仿宋_GB2312" w:cs="Wingdings"/>
          <w:sz w:val="32"/>
          <w:szCs w:val="32"/>
          <w:lang w:val="en-US" w:eastAsia="zh-CN"/>
        </w:rPr>
        <w:t>127.31</w:t>
      </w:r>
      <w:r>
        <w:rPr>
          <w:rFonts w:hint="eastAsia" w:ascii="仿宋_GB2312" w:hAnsi="Times New Roman" w:eastAsia="仿宋_GB2312" w:cs="Wingdings"/>
          <w:sz w:val="32"/>
          <w:szCs w:val="32"/>
        </w:rPr>
        <w:t>%,比年初预算增加</w:t>
      </w:r>
      <w:r>
        <w:rPr>
          <w:rFonts w:hint="eastAsia" w:ascii="仿宋_GB2312" w:hAnsi="Times New Roman" w:eastAsia="仿宋_GB2312" w:cs="Wingdings"/>
          <w:sz w:val="32"/>
          <w:szCs w:val="32"/>
          <w:lang w:val="en-US" w:eastAsia="zh-CN"/>
        </w:rPr>
        <w:t>1650.89</w:t>
      </w:r>
      <w:r>
        <w:rPr>
          <w:rFonts w:hint="eastAsia" w:ascii="仿宋_GB2312" w:hAnsi="Times New Roman" w:eastAsia="仿宋_GB2312" w:cs="Wingdings"/>
          <w:sz w:val="32"/>
          <w:szCs w:val="32"/>
        </w:rPr>
        <w:t>万元，决算数大于预算数主要原因</w:t>
      </w:r>
      <w:r>
        <w:rPr>
          <w:rFonts w:hint="eastAsia" w:ascii="仿宋_GB2312" w:hAnsi="Times New Roman" w:eastAsia="仿宋_GB2312" w:cs="Wingdings"/>
          <w:sz w:val="32"/>
          <w:szCs w:val="32"/>
          <w:lang w:eastAsia="zh-CN"/>
        </w:rPr>
        <w:t>：一</w:t>
      </w:r>
      <w:r>
        <w:rPr>
          <w:rFonts w:hint="eastAsia" w:ascii="仿宋_GB2312" w:hAnsi="Times New Roman" w:eastAsia="仿宋_GB2312" w:cs="Wingdings"/>
          <w:sz w:val="32"/>
          <w:szCs w:val="32"/>
        </w:rPr>
        <w:t>是</w:t>
      </w:r>
      <w:r>
        <w:rPr>
          <w:rFonts w:hint="eastAsia" w:ascii="仿宋_GB2312" w:hAnsi="Times New Roman" w:eastAsia="仿宋_GB2312" w:cs="Wingdings"/>
          <w:sz w:val="32"/>
          <w:szCs w:val="32"/>
          <w:lang w:eastAsia="zh-CN"/>
        </w:rPr>
        <w:t>人员工资上涨，新增多名公务员及劳务派遣人员</w:t>
      </w:r>
      <w:r>
        <w:rPr>
          <w:rFonts w:hint="eastAsia" w:ascii="仿宋_GB2312" w:hAnsi="Times New Roman" w:eastAsia="仿宋_GB2312" w:cs="Wingdings"/>
          <w:sz w:val="32"/>
          <w:szCs w:val="32"/>
        </w:rPr>
        <w:t>；</w:t>
      </w:r>
      <w:r>
        <w:rPr>
          <w:rFonts w:hint="eastAsia" w:ascii="仿宋_GB2312" w:hAnsi="Times New Roman" w:eastAsia="仿宋_GB2312" w:cs="Wingdings"/>
          <w:sz w:val="32"/>
          <w:szCs w:val="32"/>
          <w:lang w:eastAsia="zh-CN"/>
        </w:rPr>
        <w:t>二是森林公安合并到公安局。</w:t>
      </w:r>
      <w:r>
        <w:rPr>
          <w:rFonts w:hint="eastAsia" w:ascii="仿宋_GB2312" w:hAnsi="Times New Roman" w:eastAsia="仿宋_GB2312" w:cs="Wingdings"/>
          <w:sz w:val="32"/>
          <w:szCs w:val="32"/>
        </w:rPr>
        <w:t>本年支出</w:t>
      </w:r>
      <w:r>
        <w:rPr>
          <w:rFonts w:hint="eastAsia" w:ascii="仿宋_GB2312" w:hAnsi="Times New Roman" w:eastAsia="仿宋_GB2312" w:cs="Wingdings"/>
          <w:sz w:val="32"/>
          <w:szCs w:val="32"/>
          <w:lang w:val="en-US" w:eastAsia="zh-CN"/>
        </w:rPr>
        <w:t>7696.70</w:t>
      </w:r>
      <w:r>
        <w:rPr>
          <w:rFonts w:hint="eastAsia" w:ascii="仿宋_GB2312" w:hAnsi="Times New Roman" w:eastAsia="仿宋_GB2312" w:cs="Wingdings"/>
          <w:sz w:val="32"/>
          <w:szCs w:val="32"/>
        </w:rPr>
        <w:t>万元，完成年初预算的</w:t>
      </w:r>
      <w:r>
        <w:rPr>
          <w:rFonts w:hint="eastAsia" w:ascii="仿宋_GB2312" w:hAnsi="Times New Roman" w:eastAsia="仿宋_GB2312" w:cs="Wingdings"/>
          <w:sz w:val="32"/>
          <w:szCs w:val="32"/>
          <w:lang w:val="en-US" w:eastAsia="zh-CN"/>
        </w:rPr>
        <w:t>127.31</w:t>
      </w:r>
      <w:r>
        <w:rPr>
          <w:rFonts w:hint="eastAsia" w:ascii="仿宋_GB2312" w:hAnsi="Times New Roman" w:eastAsia="仿宋_GB2312" w:cs="Wingdings"/>
          <w:sz w:val="32"/>
          <w:szCs w:val="32"/>
        </w:rPr>
        <w:t>%,比年初预算增加</w:t>
      </w:r>
      <w:r>
        <w:rPr>
          <w:rFonts w:hint="eastAsia" w:ascii="仿宋_GB2312" w:hAnsi="Times New Roman" w:eastAsia="仿宋_GB2312" w:cs="Wingdings"/>
          <w:sz w:val="32"/>
          <w:szCs w:val="32"/>
          <w:lang w:val="en-US" w:eastAsia="zh-CN"/>
        </w:rPr>
        <w:t>1650.89</w:t>
      </w:r>
      <w:r>
        <w:rPr>
          <w:rFonts w:hint="eastAsia" w:ascii="仿宋_GB2312" w:hAnsi="Times New Roman" w:eastAsia="仿宋_GB2312" w:cs="Wingdings"/>
          <w:sz w:val="32"/>
          <w:szCs w:val="32"/>
        </w:rPr>
        <w:t>万元，决算数大于预算数主要原因</w:t>
      </w:r>
      <w:r>
        <w:rPr>
          <w:rFonts w:hint="eastAsia" w:ascii="仿宋_GB2312" w:hAnsi="Times New Roman" w:eastAsia="仿宋_GB2312" w:cs="Wingdings"/>
          <w:sz w:val="32"/>
          <w:szCs w:val="32"/>
          <w:lang w:eastAsia="zh-CN"/>
        </w:rPr>
        <w:t>：一</w:t>
      </w:r>
      <w:r>
        <w:rPr>
          <w:rFonts w:hint="eastAsia" w:ascii="仿宋_GB2312" w:hAnsi="Times New Roman" w:eastAsia="仿宋_GB2312" w:cs="Wingdings"/>
          <w:sz w:val="32"/>
          <w:szCs w:val="32"/>
        </w:rPr>
        <w:t>是</w:t>
      </w:r>
      <w:r>
        <w:rPr>
          <w:rFonts w:hint="eastAsia" w:ascii="仿宋_GB2312" w:hAnsi="Times New Roman" w:eastAsia="仿宋_GB2312" w:cs="Wingdings"/>
          <w:sz w:val="32"/>
          <w:szCs w:val="32"/>
          <w:lang w:eastAsia="zh-CN"/>
        </w:rPr>
        <w:t>人员工资上涨，新增多名公务员及劳务派遣人员</w:t>
      </w:r>
      <w:r>
        <w:rPr>
          <w:rFonts w:hint="eastAsia" w:ascii="仿宋_GB2312" w:hAnsi="Times New Roman" w:eastAsia="仿宋_GB2312" w:cs="Wingdings"/>
          <w:sz w:val="32"/>
          <w:szCs w:val="32"/>
        </w:rPr>
        <w:t>；</w:t>
      </w:r>
      <w:r>
        <w:rPr>
          <w:rFonts w:hint="eastAsia" w:ascii="仿宋_GB2312" w:hAnsi="Times New Roman" w:eastAsia="仿宋_GB2312" w:cs="Wingdings"/>
          <w:sz w:val="32"/>
          <w:szCs w:val="32"/>
          <w:lang w:eastAsia="zh-CN"/>
        </w:rPr>
        <w:t>二是森林公安合并到公安局</w:t>
      </w:r>
      <w:r>
        <w:rPr>
          <w:rFonts w:hint="eastAsia" w:ascii="仿宋_GB2312" w:hAnsi="Times New Roman" w:eastAsia="仿宋_GB2312" w:cs="Wingdings"/>
          <w:sz w:val="32"/>
          <w:szCs w:val="32"/>
        </w:rPr>
        <w:t>。</w:t>
      </w:r>
    </w:p>
    <w:p>
      <w:pPr>
        <w:numPr>
          <w:ilvl w:val="0"/>
          <w:numId w:val="1"/>
        </w:numPr>
        <w:adjustRightInd w:val="0"/>
        <w:snapToGrid w:val="0"/>
        <w:spacing w:line="600" w:lineRule="exact"/>
        <w:ind w:left="420" w:leftChars="200"/>
        <w:rPr>
          <w:rFonts w:ascii="楷体_GB2312" w:hAnsi="Times New Roman" w:eastAsia="楷体_GB2312" w:cs="Mongolian Baiti"/>
          <w:b/>
          <w:bCs/>
          <w:sz w:val="32"/>
          <w:szCs w:val="32"/>
        </w:rPr>
      </w:pPr>
      <w:r>
        <w:rPr>
          <w:rFonts w:hint="eastAsia" w:ascii="楷体_GB2312" w:hAnsi="Times New Roman" w:eastAsia="楷体_GB2312" w:cs="Mongolian Baiti"/>
          <w:b/>
          <w:bCs/>
          <w:sz w:val="32"/>
          <w:szCs w:val="32"/>
        </w:rPr>
        <w:t>财政拨款支出决算结构情况。</w:t>
      </w:r>
    </w:p>
    <w:p>
      <w:pPr>
        <w:adjustRightInd w:val="0"/>
        <w:snapToGrid w:val="0"/>
        <w:spacing w:line="600" w:lineRule="exact"/>
        <w:ind w:firstLine="640" w:firstLineChars="200"/>
        <w:rPr>
          <w:rFonts w:ascii="仿宋_GB2312" w:hAnsi="Times New Roman" w:eastAsia="仿宋_GB2312" w:cs="Wingdings"/>
          <w:sz w:val="32"/>
          <w:szCs w:val="32"/>
        </w:rPr>
      </w:pPr>
      <w:r>
        <w:rPr>
          <w:rFonts w:hint="eastAsia" w:ascii="仿宋_GB2312" w:hAnsi="Times New Roman" w:eastAsia="仿宋_GB2312" w:cs="Wingdings"/>
          <w:sz w:val="32"/>
          <w:szCs w:val="32"/>
        </w:rPr>
        <w:t>2020 年度财政拨款支出</w:t>
      </w:r>
      <w:r>
        <w:rPr>
          <w:rFonts w:hint="eastAsia" w:ascii="仿宋_GB2312" w:hAnsi="Times New Roman" w:eastAsia="仿宋_GB2312" w:cs="Wingdings"/>
          <w:sz w:val="32"/>
          <w:szCs w:val="32"/>
          <w:lang w:val="en-US" w:eastAsia="zh-CN"/>
        </w:rPr>
        <w:t>7696.70</w:t>
      </w:r>
      <w:r>
        <w:rPr>
          <w:rFonts w:hint="eastAsia" w:ascii="仿宋_GB2312" w:hAnsi="Times New Roman" w:eastAsia="仿宋_GB2312" w:cs="Wingdings"/>
          <w:sz w:val="32"/>
          <w:szCs w:val="32"/>
        </w:rPr>
        <w:t>万元，主要用于以下方面：一般公共服务（类）支出</w:t>
      </w:r>
      <w:r>
        <w:rPr>
          <w:rFonts w:hint="eastAsia" w:ascii="仿宋_GB2312" w:hAnsi="Times New Roman" w:eastAsia="仿宋_GB2312" w:cs="Wingdings"/>
          <w:sz w:val="32"/>
          <w:szCs w:val="32"/>
          <w:lang w:val="en-US" w:eastAsia="zh-CN"/>
        </w:rPr>
        <w:t>2.80</w:t>
      </w:r>
      <w:r>
        <w:rPr>
          <w:rFonts w:hint="eastAsia" w:ascii="仿宋_GB2312" w:hAnsi="Times New Roman" w:eastAsia="仿宋_GB2312" w:cs="Wingdings"/>
          <w:sz w:val="32"/>
          <w:szCs w:val="32"/>
        </w:rPr>
        <w:t>万元，占</w:t>
      </w:r>
      <w:r>
        <w:rPr>
          <w:rFonts w:hint="eastAsia" w:ascii="仿宋_GB2312" w:hAnsi="Times New Roman" w:eastAsia="仿宋_GB2312" w:cs="Wingdings"/>
          <w:sz w:val="32"/>
          <w:szCs w:val="32"/>
          <w:lang w:val="en-US" w:eastAsia="zh-CN"/>
        </w:rPr>
        <w:t>0.03</w:t>
      </w:r>
      <w:r>
        <w:rPr>
          <w:rFonts w:hint="eastAsia" w:ascii="仿宋_GB2312" w:hAnsi="Times New Roman" w:eastAsia="仿宋_GB2312" w:cs="Wingdings"/>
          <w:sz w:val="32"/>
          <w:szCs w:val="32"/>
        </w:rPr>
        <w:t>%；公共安全类（类）支出</w:t>
      </w:r>
      <w:r>
        <w:rPr>
          <w:rFonts w:hint="eastAsia" w:ascii="仿宋_GB2312" w:hAnsi="Times New Roman" w:eastAsia="仿宋_GB2312" w:cs="Wingdings"/>
          <w:sz w:val="32"/>
          <w:szCs w:val="32"/>
          <w:lang w:val="en-US" w:eastAsia="zh-CN"/>
        </w:rPr>
        <w:t>7218.62</w:t>
      </w:r>
      <w:r>
        <w:rPr>
          <w:rFonts w:hint="eastAsia" w:ascii="仿宋_GB2312" w:hAnsi="Times New Roman" w:eastAsia="仿宋_GB2312" w:cs="Wingdings"/>
          <w:sz w:val="32"/>
          <w:szCs w:val="32"/>
        </w:rPr>
        <w:t>万元，占</w:t>
      </w:r>
      <w:r>
        <w:rPr>
          <w:rFonts w:hint="eastAsia" w:ascii="仿宋_GB2312" w:hAnsi="Times New Roman" w:eastAsia="仿宋_GB2312" w:cs="Wingdings"/>
          <w:sz w:val="32"/>
          <w:szCs w:val="32"/>
          <w:lang w:val="en-US" w:eastAsia="zh-CN"/>
        </w:rPr>
        <w:t>93.79</w:t>
      </w:r>
      <w:r>
        <w:rPr>
          <w:rFonts w:hint="eastAsia" w:ascii="仿宋_GB2312" w:hAnsi="Times New Roman" w:eastAsia="仿宋_GB2312" w:cs="Wingdings"/>
          <w:sz w:val="32"/>
          <w:szCs w:val="32"/>
        </w:rPr>
        <w:t>%；社会保障和就业（类）支出</w:t>
      </w:r>
      <w:r>
        <w:rPr>
          <w:rFonts w:hint="eastAsia" w:ascii="仿宋_GB2312" w:hAnsi="Times New Roman" w:eastAsia="仿宋_GB2312" w:cs="Wingdings"/>
          <w:sz w:val="32"/>
          <w:szCs w:val="32"/>
          <w:lang w:val="en-US" w:eastAsia="zh-CN"/>
        </w:rPr>
        <w:t>273.34</w:t>
      </w:r>
      <w:r>
        <w:rPr>
          <w:rFonts w:hint="eastAsia" w:ascii="仿宋_GB2312" w:hAnsi="Times New Roman" w:eastAsia="仿宋_GB2312" w:cs="Wingdings"/>
          <w:sz w:val="32"/>
          <w:szCs w:val="32"/>
        </w:rPr>
        <w:t>万元，占</w:t>
      </w:r>
      <w:r>
        <w:rPr>
          <w:rFonts w:hint="eastAsia" w:ascii="仿宋_GB2312" w:hAnsi="Times New Roman" w:eastAsia="仿宋_GB2312" w:cs="Wingdings"/>
          <w:sz w:val="32"/>
          <w:szCs w:val="32"/>
          <w:lang w:val="en-US" w:eastAsia="zh-CN"/>
        </w:rPr>
        <w:t>3.55</w:t>
      </w:r>
      <w:r>
        <w:rPr>
          <w:rFonts w:hint="eastAsia" w:ascii="仿宋_GB2312" w:hAnsi="Times New Roman" w:eastAsia="仿宋_GB2312" w:cs="Wingdings"/>
          <w:sz w:val="32"/>
          <w:szCs w:val="32"/>
        </w:rPr>
        <w:t>%；</w:t>
      </w:r>
      <w:r>
        <w:rPr>
          <w:rFonts w:hint="eastAsia" w:ascii="仿宋_GB2312" w:hAnsi="Times New Roman" w:eastAsia="仿宋_GB2312" w:cs="Wingdings"/>
          <w:sz w:val="32"/>
          <w:szCs w:val="32"/>
          <w:lang w:eastAsia="zh-CN"/>
        </w:rPr>
        <w:t>卫生健康支出</w:t>
      </w:r>
      <w:r>
        <w:rPr>
          <w:rFonts w:hint="eastAsia" w:ascii="仿宋_GB2312" w:hAnsi="Times New Roman" w:eastAsia="仿宋_GB2312" w:cs="Wingdings"/>
          <w:sz w:val="32"/>
          <w:szCs w:val="32"/>
          <w:lang w:val="en-US" w:eastAsia="zh-CN"/>
        </w:rPr>
        <w:t>72.96万元，占0.95%</w:t>
      </w:r>
      <w:r>
        <w:rPr>
          <w:rFonts w:hint="eastAsia" w:ascii="仿宋_GB2312" w:hAnsi="Times New Roman" w:eastAsia="仿宋_GB2312" w:cs="Wingdings"/>
          <w:sz w:val="32"/>
          <w:szCs w:val="32"/>
        </w:rPr>
        <w:t>;住房保障（类）支出</w:t>
      </w:r>
      <w:r>
        <w:rPr>
          <w:rFonts w:hint="eastAsia" w:ascii="仿宋_GB2312" w:hAnsi="Times New Roman" w:eastAsia="仿宋_GB2312" w:cs="Wingdings"/>
          <w:sz w:val="32"/>
          <w:szCs w:val="32"/>
          <w:lang w:val="en-US" w:eastAsia="zh-CN"/>
        </w:rPr>
        <w:t>128.97</w:t>
      </w:r>
      <w:r>
        <w:rPr>
          <w:rFonts w:hint="eastAsia" w:ascii="仿宋_GB2312" w:hAnsi="Times New Roman" w:eastAsia="仿宋_GB2312" w:cs="Wingdings"/>
          <w:sz w:val="32"/>
          <w:szCs w:val="32"/>
        </w:rPr>
        <w:t xml:space="preserve">万元，占 </w:t>
      </w:r>
      <w:r>
        <w:rPr>
          <w:rFonts w:hint="eastAsia" w:ascii="仿宋_GB2312" w:hAnsi="Times New Roman" w:eastAsia="仿宋_GB2312" w:cs="Wingdings"/>
          <w:sz w:val="32"/>
          <w:szCs w:val="32"/>
          <w:lang w:val="en-US" w:eastAsia="zh-CN"/>
        </w:rPr>
        <w:t>1.68</w:t>
      </w:r>
      <w:r>
        <w:rPr>
          <w:rFonts w:hint="eastAsia" w:ascii="仿宋_GB2312" w:hAnsi="Times New Roman" w:eastAsia="仿宋_GB2312" w:cs="Wingdings"/>
          <w:sz w:val="32"/>
          <w:szCs w:val="32"/>
        </w:rPr>
        <w:t>%。</w:t>
      </w:r>
    </w:p>
    <w:p>
      <w:pPr>
        <w:adjustRightInd w:val="0"/>
        <w:snapToGrid w:val="0"/>
        <w:spacing w:line="600" w:lineRule="exact"/>
        <w:ind w:left="420" w:leftChars="200"/>
        <w:rPr>
          <w:rFonts w:ascii="楷体_GB2312" w:hAnsi="Times New Roman" w:eastAsia="楷体_GB2312" w:cs="Mongolian Baiti"/>
          <w:b/>
          <w:bCs/>
          <w:sz w:val="32"/>
          <w:szCs w:val="32"/>
        </w:rPr>
      </w:pPr>
      <w:r>
        <w:rPr>
          <w:rFonts w:hint="eastAsia" w:ascii="楷体_GB2312" w:hAnsi="Times New Roman" w:eastAsia="楷体_GB2312" w:cs="Mongolian Baiti"/>
          <w:b/>
          <w:bCs/>
          <w:sz w:val="32"/>
          <w:szCs w:val="32"/>
        </w:rPr>
        <w:t>（四）一般公共预算基本支出决算情况说明</w:t>
      </w:r>
    </w:p>
    <w:p>
      <w:pPr>
        <w:adjustRightInd w:val="0"/>
        <w:snapToGrid w:val="0"/>
        <w:spacing w:line="600" w:lineRule="exact"/>
        <w:ind w:firstLine="640" w:firstLineChars="200"/>
        <w:rPr>
          <w:rFonts w:ascii="仿宋_GB2312" w:hAnsi="Times New Roman" w:eastAsia="仿宋_GB2312" w:cs="Wingdings"/>
          <w:sz w:val="32"/>
          <w:szCs w:val="32"/>
        </w:rPr>
      </w:pPr>
      <w:r>
        <w:rPr>
          <w:rFonts w:hint="eastAsia" w:ascii="仿宋_GB2312" w:hAnsi="Times New Roman" w:eastAsia="仿宋_GB2312" w:cs="Wingdings"/>
          <w:sz w:val="32"/>
          <w:szCs w:val="32"/>
        </w:rPr>
        <w:t>2020 年度财政拨款基本支出</w:t>
      </w:r>
      <w:r>
        <w:rPr>
          <w:rFonts w:hint="eastAsia" w:ascii="仿宋_GB2312" w:hAnsi="Times New Roman" w:eastAsia="仿宋_GB2312" w:cs="Wingdings"/>
          <w:sz w:val="32"/>
          <w:szCs w:val="32"/>
          <w:lang w:val="en-US" w:eastAsia="zh-CN"/>
        </w:rPr>
        <w:t>3642.08</w:t>
      </w:r>
      <w:r>
        <w:rPr>
          <w:rFonts w:hint="eastAsia" w:ascii="仿宋_GB2312" w:hAnsi="Times New Roman" w:eastAsia="仿宋_GB2312" w:cs="Wingdings"/>
          <w:sz w:val="32"/>
          <w:szCs w:val="32"/>
        </w:rPr>
        <w:t xml:space="preserve">万元，其中：人员经费 </w:t>
      </w:r>
      <w:r>
        <w:rPr>
          <w:rFonts w:hint="eastAsia" w:ascii="仿宋_GB2312" w:hAnsi="Times New Roman" w:eastAsia="仿宋_GB2312" w:cs="Wingdings"/>
          <w:sz w:val="32"/>
          <w:szCs w:val="32"/>
          <w:lang w:val="en-US" w:eastAsia="zh-CN"/>
        </w:rPr>
        <w:t>2652.69</w:t>
      </w:r>
      <w:r>
        <w:rPr>
          <w:rFonts w:hint="eastAsia" w:ascii="仿宋_GB2312" w:hAnsi="Times New Roman" w:eastAsia="仿宋_GB2312" w:cs="Wingdings"/>
          <w:sz w:val="32"/>
          <w:szCs w:val="32"/>
        </w:rPr>
        <w:t xml:space="preserve">万元，主要包括基本工资、津贴补贴、机关事业单位基本养老保险缴费、职工基本医疗保险缴费、住房公积金、其他社会保障缴费、其他工资福利支出、退休费、抚恤金、生活补助、奖励金、其他对个人和家庭的补助支出；公用经费 </w:t>
      </w:r>
      <w:r>
        <w:rPr>
          <w:rFonts w:hint="eastAsia" w:ascii="仿宋_GB2312" w:hAnsi="Times New Roman" w:eastAsia="仿宋_GB2312" w:cs="Wingdings"/>
          <w:sz w:val="32"/>
          <w:szCs w:val="32"/>
          <w:lang w:val="en-US" w:eastAsia="zh-CN"/>
        </w:rPr>
        <w:t>989.39</w:t>
      </w:r>
      <w:r>
        <w:rPr>
          <w:rFonts w:hint="eastAsia" w:ascii="仿宋_GB2312" w:hAnsi="Times New Roman" w:eastAsia="仿宋_GB2312" w:cs="Wingdings"/>
          <w:sz w:val="32"/>
          <w:szCs w:val="32"/>
        </w:rPr>
        <w:t>万元，主要包括办公费、印刷费、水费、电费、邮电费、取暖费、物业管理费、差旅费、维修（护）费、租赁费、专用材料费、劳务费、委托业务费、工会经费、福利费、公务用车运行维护费、其他交通费用、其他商品和服务支出、办公设备购置、专用设备购置。</w:t>
      </w:r>
    </w:p>
    <w:p>
      <w:pPr>
        <w:keepNext/>
        <w:keepLines/>
        <w:snapToGrid w:val="0"/>
        <w:spacing w:line="600" w:lineRule="exact"/>
        <w:ind w:firstLine="640" w:firstLineChars="200"/>
        <w:outlineLvl w:val="1"/>
        <w:rPr>
          <w:rFonts w:ascii="黑体" w:hAnsi="Calibri" w:eastAsia="黑体" w:cs="Times New Roman"/>
          <w:sz w:val="32"/>
          <w:szCs w:val="32"/>
        </w:rPr>
      </w:pPr>
      <w:r>
        <w:rPr>
          <w:rFonts w:hint="eastAsia" w:ascii="黑体" w:hAnsi="Calibri" w:eastAsia="黑体" w:cs="Times New Roman"/>
          <w:sz w:val="32"/>
          <w:szCs w:val="32"/>
        </w:rPr>
        <w:t>五、一般公共预算“三公” 经费支出决算情况说明</w:t>
      </w:r>
    </w:p>
    <w:p>
      <w:pPr>
        <w:adjustRightInd w:val="0"/>
        <w:snapToGrid w:val="0"/>
        <w:spacing w:line="600" w:lineRule="exact"/>
        <w:ind w:firstLine="643" w:firstLineChars="200"/>
        <w:rPr>
          <w:rFonts w:ascii="楷体_GB2312" w:hAnsi="Times New Roman" w:eastAsia="楷体_GB2312" w:cs="Mongolian Baiti"/>
          <w:b/>
          <w:bCs/>
          <w:sz w:val="32"/>
          <w:szCs w:val="32"/>
        </w:rPr>
      </w:pPr>
      <w:r>
        <w:rPr>
          <w:rFonts w:hint="eastAsia" w:ascii="楷体_GB2312" w:hAnsi="Times New Roman" w:eastAsia="楷体_GB2312" w:cs="Mongolian Baiti"/>
          <w:b/>
          <w:bCs/>
          <w:sz w:val="32"/>
          <w:szCs w:val="32"/>
        </w:rPr>
        <w:t>（一）“三公”经费财政拨款支出决算总体情况说明</w:t>
      </w:r>
    </w:p>
    <w:p>
      <w:pPr>
        <w:adjustRightInd w:val="0"/>
        <w:snapToGrid w:val="0"/>
        <w:spacing w:line="600" w:lineRule="exact"/>
        <w:ind w:firstLine="640" w:firstLineChars="200"/>
        <w:rPr>
          <w:rFonts w:ascii="仿宋_GB2312" w:hAnsi="Times New Roman" w:eastAsia="仿宋_GB2312" w:cs="Wingdings"/>
          <w:sz w:val="32"/>
          <w:szCs w:val="32"/>
        </w:rPr>
      </w:pPr>
      <w:r>
        <w:rPr>
          <w:rFonts w:hint="eastAsia" w:ascii="仿宋_GB2312" w:hAnsi="Times New Roman" w:eastAsia="仿宋_GB2312" w:cs="Wingdings"/>
          <w:sz w:val="32"/>
          <w:szCs w:val="32"/>
        </w:rPr>
        <w:t>本部门2020年度“三公”经费财政拨款支出预算为</w:t>
      </w:r>
      <w:r>
        <w:rPr>
          <w:rFonts w:hint="eastAsia" w:ascii="仿宋_GB2312" w:hAnsi="Times New Roman" w:eastAsia="仿宋_GB2312" w:cs="Wingdings"/>
          <w:sz w:val="32"/>
          <w:szCs w:val="32"/>
          <w:lang w:val="en-US" w:eastAsia="zh-CN"/>
        </w:rPr>
        <w:t>133.00</w:t>
      </w:r>
      <w:r>
        <w:rPr>
          <w:rFonts w:hint="eastAsia" w:ascii="仿宋_GB2312" w:hAnsi="Times New Roman" w:eastAsia="仿宋_GB2312" w:cs="Wingdings"/>
          <w:sz w:val="32"/>
          <w:szCs w:val="32"/>
        </w:rPr>
        <w:t>万元，支出决算为</w:t>
      </w:r>
      <w:r>
        <w:rPr>
          <w:rFonts w:hint="eastAsia" w:ascii="仿宋_GB2312" w:hAnsi="Times New Roman" w:eastAsia="仿宋_GB2312" w:cs="Wingdings"/>
          <w:sz w:val="32"/>
          <w:szCs w:val="32"/>
          <w:lang w:val="en-US" w:eastAsia="zh-CN"/>
        </w:rPr>
        <w:t>128.87</w:t>
      </w:r>
      <w:r>
        <w:rPr>
          <w:rFonts w:hint="eastAsia" w:ascii="仿宋_GB2312" w:hAnsi="Times New Roman" w:eastAsia="仿宋_GB2312" w:cs="Wingdings"/>
          <w:sz w:val="32"/>
          <w:szCs w:val="32"/>
        </w:rPr>
        <w:t>元，完成预算的</w:t>
      </w:r>
      <w:r>
        <w:rPr>
          <w:rFonts w:hint="eastAsia" w:ascii="仿宋_GB2312" w:hAnsi="Times New Roman" w:eastAsia="仿宋_GB2312" w:cs="Wingdings"/>
          <w:sz w:val="32"/>
          <w:szCs w:val="32"/>
          <w:lang w:val="en-US" w:eastAsia="zh-CN"/>
        </w:rPr>
        <w:t>96.89</w:t>
      </w:r>
      <w:r>
        <w:rPr>
          <w:rFonts w:hint="eastAsia" w:ascii="仿宋_GB2312" w:hAnsi="Times New Roman" w:eastAsia="仿宋_GB2312" w:cs="Wingdings"/>
          <w:sz w:val="32"/>
          <w:szCs w:val="32"/>
        </w:rPr>
        <w:t>%,较</w:t>
      </w:r>
      <w:r>
        <w:rPr>
          <w:rFonts w:hint="eastAsia" w:ascii="仿宋_GB2312" w:hAnsi="Times New Roman" w:eastAsia="仿宋_GB2312" w:cs="Wingdings"/>
          <w:sz w:val="32"/>
          <w:szCs w:val="32"/>
          <w:lang w:eastAsia="zh-CN"/>
        </w:rPr>
        <w:t>年初</w:t>
      </w:r>
      <w:r>
        <w:rPr>
          <w:rFonts w:hint="eastAsia" w:ascii="仿宋_GB2312" w:hAnsi="Times New Roman" w:eastAsia="仿宋_GB2312" w:cs="Wingdings"/>
          <w:sz w:val="32"/>
          <w:szCs w:val="32"/>
        </w:rPr>
        <w:t>预算减少</w:t>
      </w:r>
      <w:r>
        <w:rPr>
          <w:rFonts w:hint="eastAsia" w:ascii="仿宋_GB2312" w:hAnsi="Times New Roman" w:eastAsia="仿宋_GB2312" w:cs="Wingdings"/>
          <w:sz w:val="32"/>
          <w:szCs w:val="32"/>
          <w:lang w:val="en-US" w:eastAsia="zh-CN"/>
        </w:rPr>
        <w:t>4.13</w:t>
      </w:r>
      <w:r>
        <w:rPr>
          <w:rFonts w:hint="eastAsia" w:ascii="仿宋_GB2312" w:hAnsi="Times New Roman" w:eastAsia="仿宋_GB2312" w:cs="Wingdings"/>
          <w:sz w:val="32"/>
          <w:szCs w:val="32"/>
        </w:rPr>
        <w:t>万元，降低</w:t>
      </w:r>
      <w:r>
        <w:rPr>
          <w:rFonts w:hint="eastAsia" w:ascii="仿宋_GB2312" w:hAnsi="Times New Roman" w:eastAsia="仿宋_GB2312" w:cs="Wingdings"/>
          <w:sz w:val="32"/>
          <w:szCs w:val="32"/>
          <w:lang w:val="en-US" w:eastAsia="zh-CN"/>
        </w:rPr>
        <w:t>3.11</w:t>
      </w:r>
      <w:r>
        <w:rPr>
          <w:rFonts w:hint="eastAsia" w:ascii="仿宋_GB2312" w:hAnsi="Times New Roman" w:eastAsia="仿宋_GB2312" w:cs="Wingdings"/>
          <w:sz w:val="32"/>
          <w:szCs w:val="32"/>
        </w:rPr>
        <w:t>%，主要是</w:t>
      </w:r>
      <w:r>
        <w:rPr>
          <w:rFonts w:hint="eastAsia" w:ascii="仿宋_GB2312" w:eastAsia="仿宋_GB2312" w:cs="DengXian-Regular"/>
          <w:sz w:val="32"/>
          <w:szCs w:val="32"/>
        </w:rPr>
        <w:t>认真贯彻落实中央“八项规定”精神和厉行节约要求，从严控制“三公”经费开支，全年实际支出比预算有所节约</w:t>
      </w:r>
      <w:r>
        <w:rPr>
          <w:rFonts w:hint="eastAsia" w:ascii="仿宋_GB2312" w:hAnsi="Times New Roman" w:eastAsia="仿宋_GB2312" w:cs="Wingdings"/>
          <w:sz w:val="32"/>
          <w:szCs w:val="32"/>
        </w:rPr>
        <w:t>；较2019年度增加</w:t>
      </w:r>
      <w:r>
        <w:rPr>
          <w:rFonts w:hint="eastAsia" w:ascii="仿宋_GB2312" w:hAnsi="Times New Roman" w:eastAsia="仿宋_GB2312" w:cs="Wingdings"/>
          <w:sz w:val="32"/>
          <w:szCs w:val="32"/>
          <w:lang w:val="en-US" w:eastAsia="zh-CN"/>
        </w:rPr>
        <w:t>10.68</w:t>
      </w:r>
      <w:r>
        <w:rPr>
          <w:rFonts w:hint="eastAsia" w:ascii="仿宋_GB2312" w:hAnsi="Times New Roman" w:eastAsia="仿宋_GB2312" w:cs="Wingdings"/>
          <w:sz w:val="32"/>
          <w:szCs w:val="32"/>
        </w:rPr>
        <w:t>万元，增长</w:t>
      </w:r>
      <w:r>
        <w:rPr>
          <w:rFonts w:hint="eastAsia" w:ascii="仿宋_GB2312" w:hAnsi="Times New Roman" w:eastAsia="仿宋_GB2312" w:cs="Wingdings"/>
          <w:sz w:val="32"/>
          <w:szCs w:val="32"/>
          <w:lang w:val="en-US" w:eastAsia="zh-CN"/>
        </w:rPr>
        <w:t>8.29</w:t>
      </w:r>
      <w:r>
        <w:rPr>
          <w:rFonts w:hint="eastAsia" w:ascii="仿宋_GB2312" w:hAnsi="Times New Roman" w:eastAsia="仿宋_GB2312" w:cs="Wingdings"/>
          <w:sz w:val="32"/>
          <w:szCs w:val="32"/>
        </w:rPr>
        <w:t>%，主要是</w:t>
      </w:r>
      <w:r>
        <w:rPr>
          <w:rFonts w:hint="eastAsia" w:ascii="仿宋_GB2312" w:hAnsi="Times New Roman" w:eastAsia="仿宋_GB2312" w:cs="Wingdings"/>
          <w:sz w:val="32"/>
          <w:szCs w:val="32"/>
          <w:lang w:eastAsia="zh-CN"/>
        </w:rPr>
        <w:t>人员增加及森林公安合并</w:t>
      </w:r>
      <w:r>
        <w:rPr>
          <w:rFonts w:hint="eastAsia" w:ascii="仿宋_GB2312" w:hAnsi="Times New Roman" w:eastAsia="仿宋_GB2312" w:cs="Wingdings"/>
          <w:sz w:val="32"/>
          <w:szCs w:val="32"/>
        </w:rPr>
        <w:t>。</w:t>
      </w:r>
    </w:p>
    <w:p>
      <w:pPr>
        <w:adjustRightInd w:val="0"/>
        <w:snapToGrid w:val="0"/>
        <w:spacing w:line="600" w:lineRule="exact"/>
        <w:ind w:firstLine="643" w:firstLineChars="200"/>
        <w:rPr>
          <w:rFonts w:ascii="楷体_GB2312" w:hAnsi="Times New Roman" w:eastAsia="楷体_GB2312" w:cs="Mongolian Baiti"/>
          <w:b/>
          <w:bCs/>
          <w:sz w:val="32"/>
          <w:szCs w:val="32"/>
        </w:rPr>
      </w:pPr>
      <w:r>
        <w:rPr>
          <w:rFonts w:hint="eastAsia" w:ascii="楷体_GB2312" w:hAnsi="Times New Roman" w:eastAsia="楷体_GB2312" w:cs="Mongolian Baiti"/>
          <w:b/>
          <w:bCs/>
          <w:sz w:val="32"/>
          <w:szCs w:val="32"/>
        </w:rPr>
        <w:t>（二）“三公”经费财政拨款支出决算具体情况说明</w:t>
      </w:r>
    </w:p>
    <w:p>
      <w:pPr>
        <w:adjustRightInd w:val="0"/>
        <w:snapToGrid w:val="0"/>
        <w:spacing w:line="600" w:lineRule="exact"/>
        <w:ind w:firstLine="643" w:firstLineChars="200"/>
        <w:rPr>
          <w:rFonts w:hint="eastAsia" w:ascii="仿宋_GB2312" w:hAnsi="Times New Roman" w:eastAsia="仿宋_GB2312" w:cs="Wingdings"/>
          <w:sz w:val="32"/>
          <w:szCs w:val="32"/>
          <w:lang w:val="en-US" w:eastAsia="zh-CN"/>
        </w:rPr>
      </w:pPr>
      <w:r>
        <w:rPr>
          <w:rFonts w:hint="eastAsia" w:ascii="楷体_GB2312" w:hAnsi="Times New Roman" w:eastAsia="楷体_GB2312" w:cs="Mongolian Baiti"/>
          <w:b/>
          <w:bCs/>
          <w:sz w:val="32"/>
          <w:szCs w:val="32"/>
        </w:rPr>
        <w:t>1.因公出国（境）费</w:t>
      </w:r>
      <w:r>
        <w:rPr>
          <w:rFonts w:hint="eastAsia" w:ascii="楷体_GB2312" w:hAnsi="Times New Roman" w:eastAsia="楷体_GB2312" w:cs="Mongolian Baiti"/>
          <w:b/>
          <w:bCs/>
          <w:sz w:val="32"/>
          <w:szCs w:val="32"/>
          <w:lang w:val="en-US" w:eastAsia="zh-CN"/>
        </w:rPr>
        <w:t>0万元</w:t>
      </w:r>
      <w:r>
        <w:rPr>
          <w:rFonts w:hint="eastAsia" w:ascii="楷体_GB2312" w:hAnsi="Times New Roman" w:eastAsia="楷体_GB2312" w:cs="Mongolian Baiti"/>
          <w:b/>
          <w:bCs/>
          <w:sz w:val="32"/>
          <w:szCs w:val="32"/>
        </w:rPr>
        <w:t>。</w:t>
      </w:r>
      <w:r>
        <w:rPr>
          <w:rFonts w:hint="eastAsia" w:ascii="仿宋_GB2312" w:hAnsi="仿宋_GB2312" w:eastAsia="仿宋_GB2312" w:cs="仿宋_GB2312"/>
          <w:sz w:val="32"/>
          <w:szCs w:val="32"/>
        </w:rPr>
        <w:t>本部门2020年因公出国（境）费支出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w:t>
      </w:r>
      <w:r>
        <w:rPr>
          <w:rFonts w:hint="eastAsia" w:ascii="仿宋_GB2312" w:hAnsi="Times New Roman" w:eastAsia="仿宋_GB2312" w:cs="Wingdings"/>
          <w:sz w:val="32"/>
          <w:szCs w:val="32"/>
        </w:rPr>
        <w:t>因公出国（境）团组</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个、共</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人、参加其他单位组织的因公出国（境）团组</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个、共</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人/无本单位组织的出国（境）团组。</w:t>
      </w:r>
      <w:r>
        <w:rPr>
          <w:rFonts w:hint="eastAsia" w:ascii="仿宋_GB2312" w:hAnsi="Times New Roman" w:eastAsia="仿宋_GB2312" w:cs="Wingdings"/>
          <w:sz w:val="32"/>
          <w:szCs w:val="32"/>
          <w:lang w:eastAsia="zh-CN"/>
        </w:rPr>
        <w:t>较年初预算无变化，较上年决算无变化。</w:t>
      </w:r>
      <w:bookmarkStart w:id="0" w:name="_GoBack"/>
      <w:bookmarkEnd w:id="0"/>
    </w:p>
    <w:p>
      <w:pPr>
        <w:adjustRightInd w:val="0"/>
        <w:snapToGrid w:val="0"/>
        <w:spacing w:line="600" w:lineRule="exact"/>
        <w:ind w:firstLine="643" w:firstLineChars="200"/>
        <w:rPr>
          <w:rFonts w:ascii="仿宋_GB2312" w:hAnsi="Times New Roman" w:eastAsia="仿宋_GB2312" w:cs="Mongolian Baiti"/>
          <w:b/>
          <w:bCs/>
          <w:sz w:val="32"/>
          <w:szCs w:val="32"/>
        </w:rPr>
      </w:pPr>
      <w:r>
        <w:rPr>
          <w:rFonts w:hint="eastAsia" w:ascii="楷体_GB2312" w:hAnsi="Times New Roman" w:eastAsia="楷体_GB2312" w:cs="Mongolian Baiti"/>
          <w:b/>
          <w:bCs/>
          <w:sz w:val="32"/>
          <w:szCs w:val="32"/>
        </w:rPr>
        <w:t>2.公务用车购置及运行维护费</w:t>
      </w:r>
      <w:r>
        <w:rPr>
          <w:rFonts w:hint="eastAsia" w:ascii="楷体_GB2312" w:hAnsi="Times New Roman" w:eastAsia="楷体_GB2312" w:cs="Mongolian Baiti"/>
          <w:b/>
          <w:bCs/>
          <w:sz w:val="32"/>
          <w:szCs w:val="32"/>
          <w:lang w:val="en-US" w:eastAsia="zh-CN"/>
        </w:rPr>
        <w:t>128.87万元</w:t>
      </w:r>
      <w:r>
        <w:rPr>
          <w:rFonts w:hint="eastAsia" w:ascii="楷体_GB2312" w:hAnsi="Times New Roman" w:eastAsia="楷体_GB2312" w:cs="Mongolian Baiti"/>
          <w:b/>
          <w:bCs/>
          <w:sz w:val="32"/>
          <w:szCs w:val="32"/>
        </w:rPr>
        <w:t>。</w:t>
      </w:r>
      <w:r>
        <w:rPr>
          <w:rFonts w:hint="eastAsia" w:ascii="仿宋_GB2312" w:hAnsi="仿宋_GB2312" w:eastAsia="仿宋_GB2312" w:cs="仿宋_GB2312"/>
          <w:sz w:val="32"/>
          <w:szCs w:val="32"/>
        </w:rPr>
        <w:t>本部门2020年公务用车购置及运行维护费支出</w:t>
      </w:r>
      <w:r>
        <w:rPr>
          <w:rFonts w:hint="eastAsia" w:ascii="仿宋_GB2312" w:hAnsi="仿宋_GB2312" w:eastAsia="仿宋_GB2312" w:cs="仿宋_GB2312"/>
          <w:sz w:val="32"/>
          <w:szCs w:val="32"/>
          <w:lang w:val="en-US" w:eastAsia="zh-CN"/>
        </w:rPr>
        <w:t>128.87</w:t>
      </w:r>
      <w:r>
        <w:rPr>
          <w:rFonts w:hint="eastAsia" w:ascii="仿宋_GB2312" w:hAnsi="仿宋_GB2312" w:eastAsia="仿宋_GB2312" w:cs="仿宋_GB2312"/>
          <w:sz w:val="32"/>
          <w:szCs w:val="32"/>
        </w:rPr>
        <w:t>万元，完成预算的</w:t>
      </w:r>
      <w:r>
        <w:rPr>
          <w:rFonts w:hint="eastAsia" w:ascii="仿宋_GB2312" w:hAnsi="仿宋_GB2312" w:eastAsia="仿宋_GB2312" w:cs="仿宋_GB2312"/>
          <w:sz w:val="32"/>
          <w:szCs w:val="32"/>
          <w:lang w:val="en-US" w:eastAsia="zh-CN"/>
        </w:rPr>
        <w:t>96.89</w:t>
      </w:r>
      <w:r>
        <w:rPr>
          <w:rFonts w:hint="eastAsia" w:ascii="仿宋_GB2312" w:hAnsi="仿宋_GB2312" w:eastAsia="仿宋_GB2312" w:cs="仿宋_GB2312"/>
          <w:sz w:val="32"/>
          <w:szCs w:val="32"/>
        </w:rPr>
        <w:t>%，</w:t>
      </w:r>
      <w:r>
        <w:rPr>
          <w:rFonts w:hint="eastAsia" w:ascii="仿宋_GB2312" w:hAnsi="Times New Roman" w:eastAsia="仿宋_GB2312" w:cs="Wingdings"/>
          <w:sz w:val="32"/>
          <w:szCs w:val="32"/>
        </w:rPr>
        <w:t>较</w:t>
      </w:r>
      <w:r>
        <w:rPr>
          <w:rFonts w:hint="eastAsia" w:ascii="仿宋_GB2312" w:hAnsi="Times New Roman" w:eastAsia="仿宋_GB2312" w:cs="Wingdings"/>
          <w:sz w:val="32"/>
          <w:szCs w:val="32"/>
          <w:lang w:eastAsia="zh-CN"/>
        </w:rPr>
        <w:t>年初</w:t>
      </w:r>
      <w:r>
        <w:rPr>
          <w:rFonts w:hint="eastAsia" w:ascii="仿宋_GB2312" w:hAnsi="Times New Roman" w:eastAsia="仿宋_GB2312" w:cs="Wingdings"/>
          <w:sz w:val="32"/>
          <w:szCs w:val="32"/>
        </w:rPr>
        <w:t>预算减少</w:t>
      </w:r>
      <w:r>
        <w:rPr>
          <w:rFonts w:hint="eastAsia" w:ascii="仿宋_GB2312" w:hAnsi="Times New Roman" w:eastAsia="仿宋_GB2312" w:cs="Wingdings"/>
          <w:sz w:val="32"/>
          <w:szCs w:val="32"/>
          <w:lang w:val="en-US" w:eastAsia="zh-CN"/>
        </w:rPr>
        <w:t>4.13</w:t>
      </w:r>
      <w:r>
        <w:rPr>
          <w:rFonts w:hint="eastAsia" w:ascii="仿宋_GB2312" w:hAnsi="Times New Roman" w:eastAsia="仿宋_GB2312" w:cs="Wingdings"/>
          <w:sz w:val="32"/>
          <w:szCs w:val="32"/>
        </w:rPr>
        <w:t>万元，降低</w:t>
      </w:r>
      <w:r>
        <w:rPr>
          <w:rFonts w:hint="eastAsia" w:ascii="仿宋_GB2312" w:hAnsi="Times New Roman" w:eastAsia="仿宋_GB2312" w:cs="Wingdings"/>
          <w:sz w:val="32"/>
          <w:szCs w:val="32"/>
          <w:lang w:val="en-US" w:eastAsia="zh-CN"/>
        </w:rPr>
        <w:t>3.11</w:t>
      </w:r>
      <w:r>
        <w:rPr>
          <w:rFonts w:hint="eastAsia" w:ascii="仿宋_GB2312" w:hAnsi="Times New Roman" w:eastAsia="仿宋_GB2312" w:cs="Wingdings"/>
          <w:sz w:val="32"/>
          <w:szCs w:val="32"/>
        </w:rPr>
        <w:t>%,主要是</w:t>
      </w:r>
      <w:r>
        <w:rPr>
          <w:rFonts w:hint="eastAsia" w:ascii="仿宋_GB2312" w:eastAsia="仿宋_GB2312" w:cs="DengXian-Regular"/>
          <w:sz w:val="32"/>
          <w:szCs w:val="32"/>
        </w:rPr>
        <w:t>认真贯彻落实中央“八项规定”精神和厉行节约要求，从严控制“三公”经费开支，全年实际支出比预算有所节约</w:t>
      </w:r>
      <w:r>
        <w:rPr>
          <w:rFonts w:hint="eastAsia" w:ascii="仿宋_GB2312" w:hAnsi="Times New Roman" w:eastAsia="仿宋_GB2312" w:cs="Wingdings"/>
          <w:sz w:val="32"/>
          <w:szCs w:val="32"/>
        </w:rPr>
        <w:t>；</w:t>
      </w:r>
      <w:r>
        <w:rPr>
          <w:rFonts w:hint="eastAsia" w:ascii="仿宋_GB2312" w:hAnsi="Times New Roman" w:eastAsia="仿宋_GB2312" w:cs="Wingdings"/>
          <w:sz w:val="32"/>
          <w:szCs w:val="32"/>
          <w:highlight w:val="none"/>
        </w:rPr>
        <w:t>较上年增加</w:t>
      </w:r>
      <w:r>
        <w:rPr>
          <w:rFonts w:hint="eastAsia" w:ascii="仿宋_GB2312" w:hAnsi="Times New Roman" w:eastAsia="仿宋_GB2312" w:cs="Wingdings"/>
          <w:sz w:val="32"/>
          <w:szCs w:val="32"/>
          <w:highlight w:val="none"/>
          <w:lang w:val="en-US" w:eastAsia="zh-CN"/>
        </w:rPr>
        <w:t>11.67</w:t>
      </w:r>
      <w:r>
        <w:rPr>
          <w:rFonts w:hint="eastAsia" w:ascii="仿宋_GB2312" w:hAnsi="Times New Roman" w:eastAsia="仿宋_GB2312" w:cs="Wingdings"/>
          <w:sz w:val="32"/>
          <w:szCs w:val="32"/>
          <w:highlight w:val="none"/>
        </w:rPr>
        <w:t>万元，增长</w:t>
      </w:r>
      <w:r>
        <w:rPr>
          <w:rFonts w:hint="eastAsia" w:ascii="仿宋_GB2312" w:hAnsi="Times New Roman" w:eastAsia="仿宋_GB2312" w:cs="Wingdings"/>
          <w:sz w:val="32"/>
          <w:szCs w:val="32"/>
          <w:highlight w:val="none"/>
          <w:lang w:val="en-US" w:eastAsia="zh-CN"/>
        </w:rPr>
        <w:t>9.96</w:t>
      </w:r>
      <w:r>
        <w:rPr>
          <w:rFonts w:hint="eastAsia" w:ascii="仿宋_GB2312" w:hAnsi="Times New Roman" w:eastAsia="仿宋_GB2312" w:cs="Wingdings"/>
          <w:sz w:val="32"/>
          <w:szCs w:val="32"/>
          <w:highlight w:val="none"/>
        </w:rPr>
        <w:t>%,</w:t>
      </w:r>
      <w:r>
        <w:rPr>
          <w:rFonts w:hint="eastAsia" w:ascii="仿宋_GB2312" w:hAnsi="Times New Roman" w:eastAsia="仿宋_GB2312" w:cs="Wingdings"/>
          <w:sz w:val="32"/>
          <w:szCs w:val="32"/>
        </w:rPr>
        <w:t>主要是</w:t>
      </w:r>
      <w:r>
        <w:rPr>
          <w:rFonts w:hint="eastAsia" w:ascii="仿宋_GB2312" w:hAnsi="Times New Roman" w:eastAsia="仿宋_GB2312" w:cs="Wingdings"/>
          <w:sz w:val="32"/>
          <w:szCs w:val="32"/>
          <w:lang w:eastAsia="zh-CN"/>
        </w:rPr>
        <w:t>人员增加及森林公安合并</w:t>
      </w:r>
      <w:r>
        <w:rPr>
          <w:rFonts w:hint="eastAsia" w:ascii="仿宋_GB2312" w:hAnsi="Times New Roman" w:eastAsia="仿宋_GB2312" w:cs="Wingdings"/>
          <w:sz w:val="32"/>
          <w:szCs w:val="32"/>
        </w:rPr>
        <w:t>。</w:t>
      </w:r>
      <w:r>
        <w:rPr>
          <w:rFonts w:hint="eastAsia" w:ascii="仿宋_GB2312" w:hAnsi="Times New Roman" w:eastAsia="仿宋_GB2312" w:cs="Wingdings"/>
          <w:b/>
          <w:bCs/>
          <w:sz w:val="32"/>
          <w:szCs w:val="32"/>
          <w:lang w:eastAsia="zh-CN"/>
        </w:rPr>
        <w:t>其中：</w:t>
      </w:r>
    </w:p>
    <w:p>
      <w:pPr>
        <w:adjustRightInd w:val="0"/>
        <w:snapToGrid w:val="0"/>
        <w:spacing w:line="600" w:lineRule="exact"/>
        <w:ind w:firstLine="643" w:firstLineChars="200"/>
        <w:rPr>
          <w:rFonts w:hint="eastAsia" w:ascii="仿宋_GB2312" w:hAnsi="Times New Roman" w:eastAsia="仿宋_GB2312" w:cs="Wingdings"/>
          <w:sz w:val="32"/>
          <w:szCs w:val="32"/>
          <w:lang w:val="en-US" w:eastAsia="zh-CN"/>
        </w:rPr>
      </w:pPr>
      <w:r>
        <w:rPr>
          <w:rFonts w:hint="eastAsia" w:ascii="仿宋_GB2312" w:hAnsi="Times New Roman" w:eastAsia="仿宋_GB2312" w:cs="Wingdings"/>
          <w:b/>
          <w:sz w:val="32"/>
          <w:szCs w:val="32"/>
        </w:rPr>
        <w:t>公务用车购置费支出</w:t>
      </w:r>
      <w:r>
        <w:rPr>
          <w:rFonts w:hint="eastAsia" w:ascii="仿宋_GB2312" w:hAnsi="Times New Roman" w:eastAsia="仿宋_GB2312" w:cs="Wingdings"/>
          <w:b/>
          <w:sz w:val="32"/>
          <w:szCs w:val="32"/>
          <w:lang w:val="en-US" w:eastAsia="zh-CN"/>
        </w:rPr>
        <w:t>0万元</w:t>
      </w:r>
      <w:r>
        <w:rPr>
          <w:rFonts w:hint="eastAsia" w:ascii="仿宋_GB2312" w:hAnsi="Times New Roman" w:eastAsia="仿宋_GB2312" w:cs="Wingdings"/>
          <w:b/>
          <w:sz w:val="32"/>
          <w:szCs w:val="32"/>
        </w:rPr>
        <w:t>：</w:t>
      </w:r>
      <w:r>
        <w:rPr>
          <w:rFonts w:hint="eastAsia" w:ascii="仿宋_GB2312" w:hAnsi="Times New Roman" w:eastAsia="仿宋_GB2312" w:cs="Wingdings"/>
          <w:sz w:val="32"/>
          <w:szCs w:val="32"/>
        </w:rPr>
        <w:t>本部门2020年度公务用车购置量</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辆，发生“公务用车购置”经费支出</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万元。</w:t>
      </w:r>
      <w:r>
        <w:rPr>
          <w:rFonts w:hint="eastAsia" w:ascii="仿宋_GB2312" w:hAnsi="Times New Roman" w:eastAsia="仿宋_GB2312" w:cs="Wingdings"/>
          <w:sz w:val="32"/>
          <w:szCs w:val="32"/>
          <w:lang w:eastAsia="zh-CN"/>
        </w:rPr>
        <w:t>较年初预算无变化，较上年决算无变化。</w:t>
      </w:r>
    </w:p>
    <w:p>
      <w:pPr>
        <w:adjustRightInd w:val="0"/>
        <w:snapToGrid w:val="0"/>
        <w:spacing w:line="600" w:lineRule="exact"/>
        <w:ind w:firstLine="643" w:firstLineChars="200"/>
        <w:rPr>
          <w:rFonts w:ascii="仿宋_GB2312" w:hAnsi="Times New Roman" w:eastAsia="仿宋_GB2312" w:cs="Wingdings"/>
          <w:sz w:val="32"/>
          <w:szCs w:val="32"/>
        </w:rPr>
      </w:pPr>
      <w:r>
        <w:rPr>
          <w:rFonts w:hint="eastAsia" w:ascii="仿宋_GB2312" w:hAnsi="Times New Roman" w:eastAsia="仿宋_GB2312" w:cs="Wingdings"/>
          <w:b/>
          <w:sz w:val="32"/>
          <w:szCs w:val="32"/>
        </w:rPr>
        <w:t>公务用车运行维护费支出</w:t>
      </w:r>
      <w:r>
        <w:rPr>
          <w:rFonts w:hint="eastAsia" w:ascii="仿宋_GB2312" w:hAnsi="Times New Roman" w:eastAsia="仿宋_GB2312" w:cs="Wingdings"/>
          <w:b/>
          <w:sz w:val="32"/>
          <w:szCs w:val="32"/>
          <w:lang w:val="en-US" w:eastAsia="zh-CN"/>
        </w:rPr>
        <w:t>128.87万元：</w:t>
      </w:r>
      <w:r>
        <w:rPr>
          <w:rFonts w:hint="eastAsia" w:ascii="仿宋_GB2312" w:hAnsi="Times New Roman" w:eastAsia="仿宋_GB2312" w:cs="Wingdings"/>
          <w:sz w:val="32"/>
          <w:szCs w:val="32"/>
        </w:rPr>
        <w:t>本部门2020年度单位公务用车保有量</w:t>
      </w:r>
      <w:r>
        <w:rPr>
          <w:rFonts w:hint="eastAsia" w:ascii="仿宋_GB2312" w:hAnsi="Times New Roman" w:eastAsia="仿宋_GB2312" w:cs="Wingdings"/>
          <w:sz w:val="32"/>
          <w:szCs w:val="32"/>
          <w:lang w:val="en-US" w:eastAsia="zh-CN"/>
        </w:rPr>
        <w:t>63</w:t>
      </w:r>
      <w:r>
        <w:rPr>
          <w:rFonts w:hint="eastAsia" w:ascii="仿宋_GB2312" w:hAnsi="Times New Roman" w:eastAsia="仿宋_GB2312" w:cs="Wingdings"/>
          <w:sz w:val="32"/>
          <w:szCs w:val="32"/>
        </w:rPr>
        <w:t>辆,发生运行维护费支出</w:t>
      </w:r>
      <w:r>
        <w:rPr>
          <w:rFonts w:hint="eastAsia" w:ascii="仿宋_GB2312" w:hAnsi="Times New Roman" w:eastAsia="仿宋_GB2312" w:cs="Wingdings"/>
          <w:sz w:val="32"/>
          <w:szCs w:val="32"/>
          <w:lang w:val="en-US" w:eastAsia="zh-CN"/>
        </w:rPr>
        <w:t>128.87</w:t>
      </w:r>
      <w:r>
        <w:rPr>
          <w:rFonts w:hint="eastAsia" w:ascii="仿宋_GB2312" w:hAnsi="Times New Roman" w:eastAsia="仿宋_GB2312" w:cs="Wingdings"/>
          <w:sz w:val="32"/>
          <w:szCs w:val="32"/>
        </w:rPr>
        <w:t>万元。公车运行维护费支出较</w:t>
      </w:r>
      <w:r>
        <w:rPr>
          <w:rFonts w:hint="eastAsia" w:ascii="仿宋_GB2312" w:hAnsi="Times New Roman" w:eastAsia="仿宋_GB2312" w:cs="Wingdings"/>
          <w:sz w:val="32"/>
          <w:szCs w:val="32"/>
          <w:lang w:eastAsia="zh-CN"/>
        </w:rPr>
        <w:t>年初</w:t>
      </w:r>
      <w:r>
        <w:rPr>
          <w:rFonts w:hint="eastAsia" w:ascii="仿宋_GB2312" w:hAnsi="Times New Roman" w:eastAsia="仿宋_GB2312" w:cs="Wingdings"/>
          <w:sz w:val="32"/>
          <w:szCs w:val="32"/>
        </w:rPr>
        <w:t>预算减少</w:t>
      </w:r>
      <w:r>
        <w:rPr>
          <w:rFonts w:hint="eastAsia" w:ascii="仿宋_GB2312" w:hAnsi="Times New Roman" w:eastAsia="仿宋_GB2312" w:cs="Wingdings"/>
          <w:sz w:val="32"/>
          <w:szCs w:val="32"/>
          <w:lang w:val="en-US" w:eastAsia="zh-CN"/>
        </w:rPr>
        <w:t>4.13</w:t>
      </w:r>
      <w:r>
        <w:rPr>
          <w:rFonts w:hint="eastAsia" w:ascii="仿宋_GB2312" w:hAnsi="Times New Roman" w:eastAsia="仿宋_GB2312" w:cs="Wingdings"/>
          <w:sz w:val="32"/>
          <w:szCs w:val="32"/>
        </w:rPr>
        <w:t>万元，降低</w:t>
      </w:r>
      <w:r>
        <w:rPr>
          <w:rFonts w:hint="eastAsia" w:ascii="仿宋_GB2312" w:hAnsi="Times New Roman" w:eastAsia="仿宋_GB2312" w:cs="Wingdings"/>
          <w:sz w:val="32"/>
          <w:szCs w:val="32"/>
          <w:lang w:val="en-US" w:eastAsia="zh-CN"/>
        </w:rPr>
        <w:t>3.11</w:t>
      </w:r>
      <w:r>
        <w:rPr>
          <w:rFonts w:hint="eastAsia" w:ascii="仿宋_GB2312" w:hAnsi="Times New Roman" w:eastAsia="仿宋_GB2312" w:cs="Wingdings"/>
          <w:sz w:val="32"/>
          <w:szCs w:val="32"/>
        </w:rPr>
        <w:t>%,主要是</w:t>
      </w:r>
      <w:r>
        <w:rPr>
          <w:rFonts w:hint="eastAsia" w:ascii="仿宋_GB2312" w:eastAsia="仿宋_GB2312" w:cs="DengXian-Regular"/>
          <w:sz w:val="32"/>
          <w:szCs w:val="32"/>
        </w:rPr>
        <w:t>认真贯彻落实中央“八项规定”精神和厉行节约要求，从严控制“三公”经费开支，全年实际支出比预算有所节约</w:t>
      </w:r>
      <w:r>
        <w:rPr>
          <w:rFonts w:hint="eastAsia" w:ascii="仿宋_GB2312" w:hAnsi="Times New Roman" w:eastAsia="仿宋_GB2312" w:cs="Wingdings"/>
          <w:sz w:val="32"/>
          <w:szCs w:val="32"/>
        </w:rPr>
        <w:t>；</w:t>
      </w:r>
      <w:r>
        <w:rPr>
          <w:rFonts w:hint="eastAsia" w:ascii="仿宋_GB2312" w:hAnsi="Times New Roman" w:eastAsia="仿宋_GB2312" w:cs="Wingdings"/>
          <w:sz w:val="32"/>
          <w:szCs w:val="32"/>
          <w:highlight w:val="none"/>
        </w:rPr>
        <w:t>较上年增加</w:t>
      </w:r>
      <w:r>
        <w:rPr>
          <w:rFonts w:hint="eastAsia" w:ascii="仿宋_GB2312" w:hAnsi="Times New Roman" w:eastAsia="仿宋_GB2312" w:cs="Wingdings"/>
          <w:sz w:val="32"/>
          <w:szCs w:val="32"/>
          <w:highlight w:val="none"/>
          <w:lang w:val="en-US" w:eastAsia="zh-CN"/>
        </w:rPr>
        <w:t>11.67</w:t>
      </w:r>
      <w:r>
        <w:rPr>
          <w:rFonts w:hint="eastAsia" w:ascii="仿宋_GB2312" w:hAnsi="Times New Roman" w:eastAsia="仿宋_GB2312" w:cs="Wingdings"/>
          <w:sz w:val="32"/>
          <w:szCs w:val="32"/>
          <w:highlight w:val="none"/>
        </w:rPr>
        <w:t>万元，增长</w:t>
      </w:r>
      <w:r>
        <w:rPr>
          <w:rFonts w:hint="eastAsia" w:ascii="仿宋_GB2312" w:hAnsi="Times New Roman" w:eastAsia="仿宋_GB2312" w:cs="Wingdings"/>
          <w:sz w:val="32"/>
          <w:szCs w:val="32"/>
          <w:highlight w:val="none"/>
          <w:lang w:val="en-US" w:eastAsia="zh-CN"/>
        </w:rPr>
        <w:t>9.96</w:t>
      </w:r>
      <w:r>
        <w:rPr>
          <w:rFonts w:hint="eastAsia" w:ascii="仿宋_GB2312" w:hAnsi="Times New Roman" w:eastAsia="仿宋_GB2312" w:cs="Wingdings"/>
          <w:sz w:val="32"/>
          <w:szCs w:val="32"/>
          <w:highlight w:val="none"/>
        </w:rPr>
        <w:t>%,</w:t>
      </w:r>
      <w:r>
        <w:rPr>
          <w:rFonts w:hint="eastAsia" w:ascii="仿宋_GB2312" w:hAnsi="Times New Roman" w:eastAsia="仿宋_GB2312" w:cs="Wingdings"/>
          <w:sz w:val="32"/>
          <w:szCs w:val="32"/>
        </w:rPr>
        <w:t>主要是</w:t>
      </w:r>
      <w:r>
        <w:rPr>
          <w:rFonts w:hint="eastAsia" w:ascii="仿宋_GB2312" w:hAnsi="Times New Roman" w:eastAsia="仿宋_GB2312" w:cs="Wingdings"/>
          <w:sz w:val="32"/>
          <w:szCs w:val="32"/>
          <w:lang w:eastAsia="zh-CN"/>
        </w:rPr>
        <w:t>人员增加及森林公安合并</w:t>
      </w:r>
      <w:r>
        <w:rPr>
          <w:rFonts w:hint="eastAsia" w:ascii="仿宋_GB2312" w:hAnsi="Times New Roman" w:eastAsia="仿宋_GB2312" w:cs="Wingdings"/>
          <w:sz w:val="32"/>
          <w:szCs w:val="32"/>
        </w:rPr>
        <w:t>。</w:t>
      </w:r>
    </w:p>
    <w:p>
      <w:pPr>
        <w:adjustRightInd w:val="0"/>
        <w:snapToGrid w:val="0"/>
        <w:spacing w:line="600" w:lineRule="exact"/>
        <w:ind w:firstLine="643" w:firstLineChars="200"/>
        <w:rPr>
          <w:rFonts w:hint="eastAsia" w:ascii="仿宋_GB2312" w:hAnsi="Times New Roman" w:eastAsia="仿宋_GB2312" w:cs="Wingdings"/>
          <w:sz w:val="32"/>
          <w:szCs w:val="32"/>
          <w:highlight w:val="none"/>
          <w:lang w:eastAsia="zh-CN"/>
        </w:rPr>
      </w:pPr>
      <w:r>
        <w:rPr>
          <w:rFonts w:hint="eastAsia" w:ascii="楷体_GB2312" w:hAnsi="Times New Roman" w:eastAsia="楷体_GB2312" w:cs="Mongolian Baiti"/>
          <w:b/>
          <w:bCs/>
          <w:sz w:val="32"/>
          <w:szCs w:val="32"/>
          <w:highlight w:val="none"/>
        </w:rPr>
        <w:t>3.公务接待费</w:t>
      </w:r>
      <w:r>
        <w:rPr>
          <w:rFonts w:hint="eastAsia" w:ascii="楷体_GB2312" w:hAnsi="Times New Roman" w:eastAsia="楷体_GB2312" w:cs="Mongolian Baiti"/>
          <w:b/>
          <w:bCs/>
          <w:sz w:val="32"/>
          <w:szCs w:val="32"/>
          <w:highlight w:val="none"/>
          <w:lang w:val="en-US" w:eastAsia="zh-CN"/>
        </w:rPr>
        <w:t>0万元</w:t>
      </w:r>
      <w:r>
        <w:rPr>
          <w:rFonts w:hint="eastAsia" w:ascii="楷体_GB2312" w:hAnsi="Times New Roman" w:eastAsia="楷体_GB2312" w:cs="Mongolian Baiti"/>
          <w:b/>
          <w:bCs/>
          <w:sz w:val="32"/>
          <w:szCs w:val="32"/>
          <w:highlight w:val="none"/>
        </w:rPr>
        <w:t>。</w:t>
      </w:r>
      <w:r>
        <w:rPr>
          <w:rFonts w:hint="eastAsia" w:ascii="仿宋_GB2312" w:hAnsi="仿宋_GB2312" w:eastAsia="仿宋_GB2312" w:cs="仿宋_GB2312"/>
          <w:sz w:val="32"/>
          <w:szCs w:val="32"/>
          <w:highlight w:val="none"/>
        </w:rPr>
        <w:t>本部门2020年公务</w:t>
      </w:r>
      <w:r>
        <w:rPr>
          <w:rFonts w:hint="eastAsia" w:ascii="仿宋_GB2312" w:hAnsi="仿宋_GB2312" w:eastAsia="仿宋_GB2312" w:cs="仿宋_GB2312"/>
          <w:sz w:val="32"/>
          <w:szCs w:val="32"/>
          <w:highlight w:val="none"/>
          <w:lang w:eastAsia="zh-CN"/>
        </w:rPr>
        <w:t>接待费</w:t>
      </w:r>
      <w:r>
        <w:rPr>
          <w:rFonts w:hint="eastAsia" w:ascii="仿宋_GB2312" w:hAnsi="仿宋_GB2312" w:eastAsia="仿宋_GB2312" w:cs="仿宋_GB2312"/>
          <w:sz w:val="32"/>
          <w:szCs w:val="32"/>
          <w:highlight w:val="none"/>
        </w:rPr>
        <w:t>支出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sz w:val="32"/>
          <w:szCs w:val="32"/>
          <w:highlight w:val="none"/>
        </w:rPr>
        <w:t>万元。发生</w:t>
      </w:r>
      <w:r>
        <w:rPr>
          <w:rFonts w:hint="eastAsia" w:ascii="仿宋_GB2312" w:hAnsi="Times New Roman" w:eastAsia="仿宋_GB2312" w:cs="Wingdings"/>
          <w:sz w:val="32"/>
          <w:szCs w:val="32"/>
          <w:highlight w:val="none"/>
        </w:rPr>
        <w:t>公务接待共</w:t>
      </w:r>
      <w:r>
        <w:rPr>
          <w:rFonts w:hint="eastAsia" w:ascii="仿宋_GB2312" w:hAnsi="Times New Roman" w:eastAsia="仿宋_GB2312" w:cs="Wingdings"/>
          <w:sz w:val="32"/>
          <w:szCs w:val="32"/>
          <w:highlight w:val="none"/>
          <w:lang w:val="en-US" w:eastAsia="zh-CN"/>
        </w:rPr>
        <w:t>0</w:t>
      </w:r>
      <w:r>
        <w:rPr>
          <w:rFonts w:hint="eastAsia" w:ascii="仿宋_GB2312" w:hAnsi="Times New Roman" w:eastAsia="仿宋_GB2312" w:cs="Wingdings"/>
          <w:sz w:val="32"/>
          <w:szCs w:val="32"/>
          <w:highlight w:val="none"/>
        </w:rPr>
        <w:t>批次、</w:t>
      </w:r>
      <w:r>
        <w:rPr>
          <w:rFonts w:hint="eastAsia" w:ascii="仿宋_GB2312" w:hAnsi="Times New Roman" w:eastAsia="仿宋_GB2312" w:cs="Wingdings"/>
          <w:sz w:val="32"/>
          <w:szCs w:val="32"/>
          <w:highlight w:val="none"/>
          <w:lang w:val="en-US" w:eastAsia="zh-CN"/>
        </w:rPr>
        <w:t>0</w:t>
      </w:r>
      <w:r>
        <w:rPr>
          <w:rFonts w:hint="eastAsia" w:ascii="仿宋_GB2312" w:hAnsi="Times New Roman" w:eastAsia="仿宋_GB2312" w:cs="Wingdings"/>
          <w:sz w:val="32"/>
          <w:szCs w:val="32"/>
          <w:highlight w:val="none"/>
        </w:rPr>
        <w:t>人次。</w:t>
      </w:r>
      <w:r>
        <w:rPr>
          <w:rFonts w:hint="eastAsia" w:ascii="仿宋_GB2312" w:hAnsi="Times New Roman" w:eastAsia="仿宋_GB2312" w:cs="Wingdings"/>
          <w:sz w:val="32"/>
          <w:szCs w:val="32"/>
          <w:highlight w:val="none"/>
          <w:lang w:eastAsia="zh-CN"/>
        </w:rPr>
        <w:t>较年初预算无变化，较上年决算减少</w:t>
      </w:r>
      <w:r>
        <w:rPr>
          <w:rFonts w:hint="eastAsia" w:ascii="仿宋_GB2312" w:hAnsi="Times New Roman" w:eastAsia="仿宋_GB2312" w:cs="Wingdings"/>
          <w:sz w:val="32"/>
          <w:szCs w:val="32"/>
          <w:highlight w:val="none"/>
          <w:lang w:val="en-US" w:eastAsia="zh-CN"/>
        </w:rPr>
        <w:t>0.97万元，减少100%。</w:t>
      </w:r>
    </w:p>
    <w:p>
      <w:pPr>
        <w:adjustRightInd w:val="0"/>
        <w:snapToGrid w:val="0"/>
        <w:spacing w:line="600" w:lineRule="exact"/>
        <w:ind w:firstLine="640" w:firstLineChars="200"/>
        <w:rPr>
          <w:rFonts w:ascii="黑体" w:hAnsi="Times New Roman" w:eastAsia="黑体" w:cs="Times New Roman"/>
          <w:sz w:val="32"/>
          <w:szCs w:val="40"/>
        </w:rPr>
      </w:pPr>
      <w:r>
        <w:rPr>
          <w:rFonts w:hint="eastAsia" w:ascii="黑体" w:hAnsi="Times New Roman" w:eastAsia="黑体" w:cs="Times New Roman"/>
          <w:sz w:val="32"/>
          <w:szCs w:val="40"/>
        </w:rPr>
        <w:t>六、预算绩效情况说明</w:t>
      </w:r>
    </w:p>
    <w:p>
      <w:pPr>
        <w:adjustRightInd w:val="0"/>
        <w:snapToGrid w:val="0"/>
        <w:spacing w:line="600" w:lineRule="exact"/>
        <w:ind w:firstLine="643"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（一）预算绩效管理工作开展情况。</w:t>
      </w:r>
    </w:p>
    <w:p>
      <w:pPr>
        <w:adjustRightInd w:val="0"/>
        <w:snapToGrid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根据预算绩效管理要求，本部门组织对2020年度项目支出全面开展绩效自评，其中，一般公共预算一级项目</w:t>
      </w:r>
      <w:r>
        <w:rPr>
          <w:rFonts w:hint="eastAsia" w:ascii="仿宋_GB2312" w:hAnsi="仿宋_GB2312" w:eastAsia="仿宋_GB2312" w:cs="仿宋_GB2312"/>
          <w:sz w:val="32"/>
          <w:szCs w:val="32"/>
          <w:lang w:val="en-US" w:eastAsia="zh-CN"/>
        </w:rPr>
        <w:t>53</w:t>
      </w:r>
      <w:r>
        <w:rPr>
          <w:rFonts w:hint="eastAsia" w:ascii="仿宋_GB2312" w:hAnsi="仿宋_GB2312" w:eastAsia="仿宋_GB2312" w:cs="仿宋_GB2312"/>
          <w:sz w:val="32"/>
          <w:szCs w:val="32"/>
        </w:rPr>
        <w:t>个，共涉及资金</w:t>
      </w:r>
      <w:r>
        <w:rPr>
          <w:rFonts w:hint="eastAsia" w:ascii="仿宋_GB2312" w:hAnsi="Times New Roman" w:eastAsia="仿宋_GB2312" w:cs="Wingdings"/>
          <w:sz w:val="32"/>
          <w:szCs w:val="32"/>
          <w:lang w:val="en-US" w:eastAsia="zh-CN"/>
        </w:rPr>
        <w:t>4054.62</w:t>
      </w:r>
      <w:r>
        <w:rPr>
          <w:rFonts w:hint="eastAsia" w:ascii="仿宋_GB2312" w:hAnsi="仿宋_GB2312" w:eastAsia="仿宋_GB2312" w:cs="仿宋_GB2312"/>
          <w:sz w:val="32"/>
          <w:szCs w:val="32"/>
        </w:rPr>
        <w:t>万元，占一般公共预算项目支出总额的</w:t>
      </w:r>
      <w:r>
        <w:rPr>
          <w:rFonts w:hint="eastAsia" w:ascii="仿宋_GB2312" w:hAnsi="仿宋_GB2312" w:eastAsia="仿宋_GB2312" w:cs="仿宋_GB2312"/>
          <w:sz w:val="32"/>
          <w:szCs w:val="32"/>
          <w:lang w:val="en-US" w:eastAsia="zh-CN"/>
        </w:rPr>
        <w:t>52.68%</w:t>
      </w:r>
      <w:r>
        <w:rPr>
          <w:rFonts w:hint="eastAsia" w:ascii="仿宋_GB2312" w:hAnsi="仿宋_GB2312" w:eastAsia="仿宋_GB2312" w:cs="仿宋_GB2312"/>
          <w:sz w:val="32"/>
          <w:szCs w:val="32"/>
        </w:rPr>
        <w:t>；政府性基金预算一级项目</w:t>
      </w:r>
      <w:r>
        <w:rPr>
          <w:rFonts w:hint="eastAsia" w:ascii="仿宋_GB2312" w:hAnsi="仿宋_GB2312" w:eastAsia="仿宋_GB2312" w:cs="仿宋_GB2312"/>
          <w:sz w:val="32"/>
          <w:szCs w:val="32"/>
          <w:lang w:val="en-US" w:eastAsia="zh-CN"/>
        </w:rPr>
        <w:t>00</w:t>
      </w:r>
      <w:r>
        <w:rPr>
          <w:rFonts w:hint="eastAsia" w:ascii="仿宋_GB2312" w:hAnsi="仿宋_GB2312" w:eastAsia="仿宋_GB2312" w:cs="仿宋_GB2312"/>
          <w:sz w:val="32"/>
          <w:szCs w:val="32"/>
        </w:rPr>
        <w:t>个，二级项目</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个,共涉及资金</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w:t>
      </w:r>
    </w:p>
    <w:p>
      <w:pPr>
        <w:adjustRightInd w:val="0"/>
        <w:snapToGrid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组织对“交警指挥中心设备购置和电警卡口设备采购项目”</w:t>
      </w:r>
      <w:r>
        <w:rPr>
          <w:rFonts w:hint="eastAsia" w:ascii="仿宋_GB2312" w:hAnsi="仿宋_GB2312" w:eastAsia="仿宋_GB2312" w:cs="仿宋_GB2312"/>
          <w:sz w:val="32"/>
          <w:szCs w:val="32"/>
          <w:lang w:eastAsia="zh-CN"/>
        </w:rPr>
        <w:t>、“三官庙路口红绿灯及滨河（沙河）北路、河沿路单行道设备采购项目”、“2020年在押人员生活费项目”等</w:t>
      </w:r>
      <w:r>
        <w:rPr>
          <w:rFonts w:hint="eastAsia" w:ascii="仿宋_GB2312" w:hAnsi="仿宋_GB2312" w:eastAsia="仿宋_GB2312" w:cs="仿宋_GB2312"/>
          <w:sz w:val="32"/>
          <w:szCs w:val="32"/>
        </w:rPr>
        <w:t>一级项目开展了部门评价，涉及一般公共预算支出</w:t>
      </w:r>
      <w:r>
        <w:rPr>
          <w:rFonts w:hint="eastAsia" w:ascii="仿宋_GB2312" w:hAnsi="仿宋_GB2312" w:eastAsia="仿宋_GB2312" w:cs="仿宋_GB2312"/>
          <w:sz w:val="32"/>
          <w:szCs w:val="32"/>
          <w:lang w:val="en-US" w:eastAsia="zh-CN"/>
        </w:rPr>
        <w:t>133.89</w:t>
      </w:r>
      <w:r>
        <w:rPr>
          <w:rFonts w:hint="eastAsia" w:ascii="仿宋_GB2312" w:hAnsi="仿宋_GB2312" w:eastAsia="仿宋_GB2312" w:cs="仿宋_GB2312"/>
          <w:sz w:val="32"/>
          <w:szCs w:val="32"/>
        </w:rPr>
        <w:t>万元，政府性基金预算支出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万元。其中，对“交警指挥中心设备购置和电警卡口设备采购项目”“</w:t>
      </w:r>
      <w:r>
        <w:rPr>
          <w:rFonts w:hint="eastAsia" w:ascii="仿宋_GB2312" w:hAnsi="仿宋_GB2312" w:eastAsia="仿宋_GB2312" w:cs="仿宋_GB2312"/>
          <w:sz w:val="32"/>
          <w:szCs w:val="32"/>
          <w:lang w:eastAsia="zh-CN"/>
        </w:rPr>
        <w:t>2020年在押人员生活费项目</w:t>
      </w:r>
      <w:r>
        <w:rPr>
          <w:rFonts w:hint="eastAsia" w:ascii="仿宋_GB2312" w:hAnsi="仿宋_GB2312" w:eastAsia="仿宋_GB2312" w:cs="仿宋_GB2312"/>
          <w:sz w:val="32"/>
          <w:szCs w:val="32"/>
        </w:rPr>
        <w:t>”等项目部</w:t>
      </w:r>
      <w:r>
        <w:rPr>
          <w:rFonts w:hint="eastAsia" w:ascii="仿宋_GB2312" w:hAnsi="仿宋_GB2312" w:eastAsia="仿宋_GB2312" w:cs="仿宋_GB2312"/>
          <w:sz w:val="32"/>
          <w:szCs w:val="32"/>
          <w:lang w:eastAsia="zh-CN"/>
        </w:rPr>
        <w:t>门</w:t>
      </w:r>
      <w:r>
        <w:rPr>
          <w:rFonts w:hint="eastAsia" w:ascii="仿宋_GB2312" w:hAnsi="仿宋_GB2312" w:eastAsia="仿宋_GB2312" w:cs="仿宋_GB2312"/>
          <w:sz w:val="32"/>
          <w:szCs w:val="32"/>
        </w:rPr>
        <w:t>内开展绩效评价。从评价情况来看，</w:t>
      </w:r>
    </w:p>
    <w:p>
      <w:pPr>
        <w:adjustRightInd w:val="0"/>
        <w:snapToGrid w:val="0"/>
        <w:spacing w:line="60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一、</w:t>
      </w:r>
      <w:r>
        <w:rPr>
          <w:rFonts w:hint="eastAsia" w:ascii="仿宋_GB2312" w:hAnsi="仿宋_GB2312" w:eastAsia="仿宋_GB2312" w:cs="仿宋_GB2312"/>
          <w:sz w:val="32"/>
          <w:szCs w:val="32"/>
        </w:rPr>
        <w:t>交警指挥中心设备购置和电警卡口设备采购项目</w:t>
      </w:r>
      <w:r>
        <w:rPr>
          <w:rFonts w:hint="eastAsia" w:ascii="仿宋_GB2312" w:hAnsi="仿宋_GB2312" w:eastAsia="仿宋_GB2312" w:cs="仿宋_GB2312"/>
          <w:sz w:val="32"/>
          <w:szCs w:val="32"/>
          <w:lang w:eastAsia="zh-CN"/>
        </w:rPr>
        <w:t>：</w:t>
      </w:r>
    </w:p>
    <w:p>
      <w:pPr>
        <w:adjustRightInd w:val="0"/>
        <w:snapToGrid w:val="0"/>
        <w:spacing w:line="60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1.资金投入情况分析</w:t>
      </w:r>
    </w:p>
    <w:p>
      <w:pPr>
        <w:adjustRightInd w:val="0"/>
        <w:snapToGrid w:val="0"/>
        <w:spacing w:line="60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交警指挥中心设备购置和电警卡口设备采购项目，2020年年初预算资金安排49.98万元，用于指挥中心设备购置和电警卡口设备采购，已完成支出。</w:t>
      </w:r>
    </w:p>
    <w:p>
      <w:pPr>
        <w:adjustRightInd w:val="0"/>
        <w:snapToGrid w:val="0"/>
        <w:spacing w:line="60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2.产出指标完成情况分析</w:t>
      </w:r>
    </w:p>
    <w:p>
      <w:pPr>
        <w:adjustRightInd w:val="0"/>
        <w:snapToGrid w:val="0"/>
        <w:spacing w:line="60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时效指标：完成率=100%，实际完成率为100%。</w:t>
      </w:r>
    </w:p>
    <w:p>
      <w:pPr>
        <w:adjustRightInd w:val="0"/>
        <w:snapToGrid w:val="0"/>
        <w:spacing w:line="60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xml:space="preserve"> 3.效益指标完成情况分析</w:t>
      </w:r>
    </w:p>
    <w:p>
      <w:pPr>
        <w:adjustRightInd w:val="0"/>
        <w:snapToGrid w:val="0"/>
        <w:spacing w:line="60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社会效益指标：(1)交通事故处理办结率&gt;=95%，实际完成率为100%。</w:t>
      </w:r>
    </w:p>
    <w:p>
      <w:pPr>
        <w:adjustRightInd w:val="0"/>
        <w:snapToGrid w:val="0"/>
        <w:spacing w:line="60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xml:space="preserve"> (2) 路口、主要路段视频监控率&gt;=90%，实际完成率为95%。</w:t>
      </w:r>
    </w:p>
    <w:p>
      <w:pPr>
        <w:adjustRightInd w:val="0"/>
        <w:snapToGrid w:val="0"/>
        <w:spacing w:line="60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4.满意度指标完成情况分析</w:t>
      </w:r>
    </w:p>
    <w:p>
      <w:pPr>
        <w:adjustRightInd w:val="0"/>
        <w:snapToGrid w:val="0"/>
        <w:spacing w:line="60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服务对象满意度指标：交通监测系统群众满意度&gt;=90%，实际完成率为95%。</w:t>
      </w:r>
    </w:p>
    <w:p>
      <w:pPr>
        <w:adjustRightInd w:val="0"/>
        <w:snapToGrid w:val="0"/>
        <w:spacing w:line="60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二、2020年在押人员生活费项目：</w:t>
      </w:r>
    </w:p>
    <w:p>
      <w:pPr>
        <w:adjustRightInd w:val="0"/>
        <w:snapToGrid w:val="0"/>
        <w:spacing w:line="60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1.资金投入情况分析</w:t>
      </w:r>
    </w:p>
    <w:p>
      <w:pPr>
        <w:adjustRightInd w:val="0"/>
        <w:snapToGrid w:val="0"/>
        <w:spacing w:line="60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2020年全年投入35.63万元，按实有在押人员数量、标准实报实销。</w:t>
      </w:r>
    </w:p>
    <w:p>
      <w:pPr>
        <w:adjustRightInd w:val="0"/>
        <w:snapToGrid w:val="0"/>
        <w:spacing w:line="60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2.产出指标完成情况分析</w:t>
      </w:r>
    </w:p>
    <w:p>
      <w:pPr>
        <w:adjustRightInd w:val="0"/>
        <w:snapToGrid w:val="0"/>
        <w:spacing w:line="60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能够全面覆盖所有在押人员，能够及时发放。</w:t>
      </w:r>
    </w:p>
    <w:p>
      <w:pPr>
        <w:adjustRightInd w:val="0"/>
        <w:snapToGrid w:val="0"/>
        <w:spacing w:line="60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3.效益指标完成情况分析</w:t>
      </w:r>
    </w:p>
    <w:p>
      <w:pPr>
        <w:adjustRightInd w:val="0"/>
        <w:snapToGrid w:val="0"/>
        <w:spacing w:line="60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能够有效改善在押人员伙食状况。</w:t>
      </w:r>
    </w:p>
    <w:p>
      <w:pPr>
        <w:adjustRightInd w:val="0"/>
        <w:snapToGrid w:val="0"/>
        <w:spacing w:line="60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4.满意度指标完成情况分析</w:t>
      </w:r>
    </w:p>
    <w:p>
      <w:pPr>
        <w:adjustRightInd w:val="0"/>
        <w:snapToGrid w:val="0"/>
        <w:spacing w:line="60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服务对象满意度指标：在押人员满意度，指标值为≥98%。指标全部完成。</w:t>
      </w:r>
    </w:p>
    <w:p>
      <w:pPr>
        <w:adjustRightInd w:val="0"/>
        <w:snapToGrid w:val="0"/>
        <w:spacing w:line="600" w:lineRule="exact"/>
        <w:ind w:firstLine="643"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（二） 部门决算中项目绩效自评结果。</w:t>
      </w:r>
    </w:p>
    <w:p>
      <w:pPr>
        <w:adjustRightInd w:val="0"/>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本部门在今年部门决算公开中反映交警指挥中心设备购置和电警卡口设备采购项目及</w:t>
      </w:r>
      <w:r>
        <w:rPr>
          <w:rFonts w:hint="eastAsia" w:ascii="仿宋_GB2312" w:hAnsi="仿宋_GB2312" w:eastAsia="仿宋_GB2312" w:cs="仿宋_GB2312"/>
          <w:sz w:val="32"/>
          <w:szCs w:val="32"/>
          <w:lang w:eastAsia="zh-CN"/>
        </w:rPr>
        <w:t>2020年在押人员生活费</w:t>
      </w:r>
      <w:r>
        <w:rPr>
          <w:rFonts w:hint="eastAsia" w:ascii="仿宋_GB2312" w:hAnsi="仿宋_GB2312" w:eastAsia="仿宋_GB2312" w:cs="仿宋_GB2312"/>
          <w:sz w:val="32"/>
          <w:szCs w:val="32"/>
        </w:rPr>
        <w:t>项目等</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个项目绩效自评结果。</w:t>
      </w:r>
    </w:p>
    <w:p>
      <w:pPr>
        <w:numPr>
          <w:ilvl w:val="0"/>
          <w:numId w:val="2"/>
        </w:numPr>
        <w:adjustRightInd w:val="0"/>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交警指挥中心设备购置和电警卡口设备采购项目自评综述：根据年初设定的绩效目标，交警指挥中心设备购置和电警卡口设备采购项目绩效自评得分为</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分。全年预算数为</w:t>
      </w:r>
      <w:r>
        <w:rPr>
          <w:rFonts w:hint="eastAsia" w:ascii="仿宋_GB2312" w:hAnsi="仿宋_GB2312" w:eastAsia="仿宋_GB2312" w:cs="仿宋_GB2312"/>
          <w:sz w:val="32"/>
          <w:szCs w:val="32"/>
          <w:lang w:val="en-US" w:eastAsia="zh-CN"/>
        </w:rPr>
        <w:t>49.98</w:t>
      </w:r>
      <w:r>
        <w:rPr>
          <w:rFonts w:hint="eastAsia" w:ascii="仿宋_GB2312" w:hAnsi="仿宋_GB2312" w:eastAsia="仿宋_GB2312" w:cs="仿宋_GB2312"/>
          <w:sz w:val="32"/>
          <w:szCs w:val="32"/>
        </w:rPr>
        <w:t>万元，执行数为</w:t>
      </w:r>
      <w:r>
        <w:rPr>
          <w:rFonts w:hint="eastAsia" w:ascii="仿宋_GB2312" w:hAnsi="仿宋_GB2312" w:eastAsia="仿宋_GB2312" w:cs="仿宋_GB2312"/>
          <w:sz w:val="32"/>
          <w:szCs w:val="32"/>
          <w:lang w:val="en-US" w:eastAsia="zh-CN"/>
        </w:rPr>
        <w:t>49.98</w:t>
      </w:r>
      <w:r>
        <w:rPr>
          <w:rFonts w:hint="eastAsia" w:ascii="仿宋_GB2312" w:hAnsi="仿宋_GB2312" w:eastAsia="仿宋_GB2312" w:cs="仿宋_GB2312"/>
          <w:sz w:val="32"/>
          <w:szCs w:val="32"/>
        </w:rPr>
        <w:t>万元，完成预算的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项目绩效目标完成情况：一是交警指挥中心设备购置和电警卡口设备采购项目，2020年年初预算资金安排49.98万元，用于指挥中心设备购置和电警卡口设备采购，已完成支出；二是社会效益指标：交通事故处理办结率&gt;=95%，实际完成率为100%。</w:t>
      </w:r>
      <w:r>
        <w:rPr>
          <w:rFonts w:hint="eastAsia" w:ascii="仿宋_GB2312" w:hAnsi="仿宋_GB2312" w:eastAsia="仿宋_GB2312" w:cs="仿宋_GB2312"/>
          <w:sz w:val="32"/>
          <w:szCs w:val="32"/>
          <w:lang w:val="en-US" w:eastAsia="zh-CN"/>
        </w:rPr>
        <w:t xml:space="preserve"> </w:t>
      </w:r>
    </w:p>
    <w:p>
      <w:pPr>
        <w:numPr>
          <w:ilvl w:val="0"/>
          <w:numId w:val="2"/>
        </w:numPr>
        <w:adjustRightInd w:val="0"/>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2020年在押人员生活费</w:t>
      </w:r>
      <w:r>
        <w:rPr>
          <w:rFonts w:hint="eastAsia" w:ascii="仿宋_GB2312" w:hAnsi="仿宋_GB2312" w:eastAsia="仿宋_GB2312" w:cs="仿宋_GB2312"/>
          <w:sz w:val="32"/>
          <w:szCs w:val="32"/>
        </w:rPr>
        <w:t>项目绩效自评综述：根据年初设定的绩效目标，</w:t>
      </w:r>
      <w:r>
        <w:rPr>
          <w:rFonts w:hint="eastAsia" w:ascii="仿宋_GB2312" w:hAnsi="仿宋_GB2312" w:eastAsia="仿宋_GB2312" w:cs="仿宋_GB2312"/>
          <w:sz w:val="32"/>
          <w:szCs w:val="32"/>
          <w:lang w:eastAsia="zh-CN"/>
        </w:rPr>
        <w:t>2020年在押人员生活费</w:t>
      </w:r>
      <w:r>
        <w:rPr>
          <w:rFonts w:hint="eastAsia" w:ascii="仿宋_GB2312" w:hAnsi="仿宋_GB2312" w:eastAsia="仿宋_GB2312" w:cs="仿宋_GB2312"/>
          <w:sz w:val="32"/>
          <w:szCs w:val="32"/>
        </w:rPr>
        <w:t>项目项目绩效自评得分为</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分。全年预算数为</w:t>
      </w:r>
      <w:r>
        <w:rPr>
          <w:rFonts w:hint="eastAsia" w:ascii="仿宋_GB2312" w:hAnsi="仿宋_GB2312" w:eastAsia="仿宋_GB2312" w:cs="仿宋_GB2312"/>
          <w:sz w:val="32"/>
          <w:szCs w:val="32"/>
          <w:lang w:val="en-US" w:eastAsia="zh-CN"/>
        </w:rPr>
        <w:t>36</w:t>
      </w:r>
      <w:r>
        <w:rPr>
          <w:rFonts w:hint="eastAsia" w:ascii="仿宋_GB2312" w:hAnsi="仿宋_GB2312" w:eastAsia="仿宋_GB2312" w:cs="仿宋_GB2312"/>
          <w:sz w:val="32"/>
          <w:szCs w:val="32"/>
        </w:rPr>
        <w:t>万元，执行数为</w:t>
      </w:r>
      <w:r>
        <w:rPr>
          <w:rFonts w:hint="eastAsia" w:ascii="仿宋_GB2312" w:hAnsi="仿宋_GB2312" w:eastAsia="仿宋_GB2312" w:cs="仿宋_GB2312"/>
          <w:sz w:val="32"/>
          <w:szCs w:val="32"/>
          <w:lang w:val="en-US" w:eastAsia="zh-CN"/>
        </w:rPr>
        <w:t>35.63</w:t>
      </w:r>
      <w:r>
        <w:rPr>
          <w:rFonts w:hint="eastAsia" w:ascii="仿宋_GB2312" w:hAnsi="仿宋_GB2312" w:eastAsia="仿宋_GB2312" w:cs="仿宋_GB2312"/>
          <w:sz w:val="32"/>
          <w:szCs w:val="32"/>
        </w:rPr>
        <w:t>万元，完成预算的</w:t>
      </w:r>
      <w:r>
        <w:rPr>
          <w:rFonts w:hint="eastAsia" w:ascii="仿宋_GB2312" w:hAnsi="仿宋_GB2312" w:eastAsia="仿宋_GB2312" w:cs="仿宋_GB2312"/>
          <w:sz w:val="32"/>
          <w:szCs w:val="32"/>
          <w:lang w:val="en-US" w:eastAsia="zh-CN"/>
        </w:rPr>
        <w:t>98.97%</w:t>
      </w:r>
      <w:r>
        <w:rPr>
          <w:rFonts w:hint="eastAsia" w:ascii="仿宋_GB2312" w:hAnsi="仿宋_GB2312" w:eastAsia="仿宋_GB2312" w:cs="仿宋_GB2312"/>
          <w:sz w:val="32"/>
          <w:szCs w:val="32"/>
        </w:rPr>
        <w:t>。项目绩效目标完成情况：一是</w:t>
      </w:r>
      <w:r>
        <w:rPr>
          <w:rFonts w:hint="eastAsia" w:ascii="仿宋" w:hAnsi="仿宋" w:eastAsia="仿宋" w:cs="仿宋"/>
          <w:sz w:val="32"/>
          <w:szCs w:val="32"/>
        </w:rPr>
        <w:t>2020年全年投入35.63万元，按实有在押人员数量、标准实报实销</w:t>
      </w:r>
      <w:r>
        <w:rPr>
          <w:rFonts w:hint="eastAsia" w:ascii="仿宋_GB2312" w:hAnsi="仿宋_GB2312" w:eastAsia="仿宋_GB2312" w:cs="仿宋_GB2312"/>
          <w:sz w:val="32"/>
          <w:szCs w:val="32"/>
        </w:rPr>
        <w:t>；二是</w:t>
      </w:r>
      <w:r>
        <w:rPr>
          <w:rFonts w:hint="eastAsia" w:ascii="仿宋" w:hAnsi="仿宋" w:eastAsia="仿宋" w:cs="仿宋"/>
          <w:sz w:val="32"/>
          <w:szCs w:val="32"/>
        </w:rPr>
        <w:t>能够有效改善在押人员伙食状况</w:t>
      </w:r>
      <w:r>
        <w:rPr>
          <w:rFonts w:hint="eastAsia" w:ascii="仿宋_GB2312" w:hAnsi="仿宋_GB2312" w:eastAsia="仿宋_GB2312" w:cs="仿宋_GB2312"/>
          <w:sz w:val="32"/>
          <w:szCs w:val="32"/>
        </w:rPr>
        <w:t>。</w:t>
      </w:r>
    </w:p>
    <w:p>
      <w:pPr>
        <w:numPr>
          <w:ilvl w:val="0"/>
          <w:numId w:val="0"/>
        </w:numPr>
        <w:adjustRightInd w:val="0"/>
        <w:snapToGrid w:val="0"/>
        <w:spacing w:line="600" w:lineRule="exact"/>
        <w:ind w:leftChars="200"/>
        <w:rPr>
          <w:rFonts w:hint="eastAsia" w:ascii="仿宋_GB2312" w:hAnsi="仿宋_GB2312" w:eastAsia="仿宋_GB2312" w:cs="仿宋_GB2312"/>
          <w:b/>
          <w:bCs/>
          <w:sz w:val="32"/>
          <w:szCs w:val="32"/>
        </w:rPr>
      </w:pPr>
      <w:r>
        <w:rPr>
          <w:rFonts w:hint="eastAsia" w:ascii="楷体_GB2312" w:hAnsi="楷体_GB2312" w:eastAsia="楷体_GB2312" w:cs="楷体_GB2312"/>
          <w:b/>
          <w:bCs/>
          <w:sz w:val="32"/>
          <w:szCs w:val="32"/>
          <w:lang w:eastAsia="zh-CN"/>
        </w:rPr>
        <w:t>（三）</w:t>
      </w:r>
      <w:r>
        <w:rPr>
          <w:rFonts w:hint="eastAsia" w:ascii="楷体_GB2312" w:hAnsi="楷体_GB2312" w:eastAsia="楷体_GB2312" w:cs="楷体_GB2312"/>
          <w:b/>
          <w:bCs/>
          <w:sz w:val="32"/>
          <w:szCs w:val="32"/>
        </w:rPr>
        <w:t>财政评价项目绩效评价结果</w:t>
      </w:r>
      <w:r>
        <w:rPr>
          <w:rFonts w:hint="eastAsia" w:ascii="仿宋_GB2312" w:hAnsi="仿宋_GB2312" w:eastAsia="仿宋_GB2312" w:cs="仿宋_GB2312"/>
          <w:b/>
          <w:bCs/>
          <w:sz w:val="32"/>
          <w:szCs w:val="32"/>
        </w:rPr>
        <w:t>。</w:t>
      </w:r>
    </w:p>
    <w:p>
      <w:pPr>
        <w:widowControl w:val="0"/>
        <w:numPr>
          <w:ilvl w:val="0"/>
          <w:numId w:val="0"/>
        </w:numPr>
        <w:wordWrap/>
        <w:adjustRightInd w:val="0"/>
        <w:snapToGrid w:val="0"/>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无</w:t>
      </w:r>
    </w:p>
    <w:p>
      <w:pPr>
        <w:keepNext/>
        <w:keepLines/>
        <w:snapToGrid w:val="0"/>
        <w:spacing w:line="600" w:lineRule="exact"/>
        <w:ind w:firstLine="640" w:firstLineChars="200"/>
        <w:outlineLvl w:val="1"/>
        <w:rPr>
          <w:rFonts w:ascii="黑体" w:hAnsi="黑体" w:eastAsia="黑体" w:cs="黑体"/>
          <w:b/>
          <w:bCs/>
          <w:sz w:val="32"/>
          <w:szCs w:val="32"/>
        </w:rPr>
      </w:pPr>
      <w:r>
        <w:rPr>
          <w:rFonts w:hint="eastAsia" w:ascii="黑体" w:hAnsi="黑体" w:eastAsia="黑体" w:cs="黑体"/>
          <w:sz w:val="32"/>
          <w:szCs w:val="32"/>
        </w:rPr>
        <w:t>七、机关运行经费情况</w:t>
      </w:r>
    </w:p>
    <w:p>
      <w:pPr>
        <w:adjustRightInd w:val="0"/>
        <w:snapToGrid w:val="0"/>
        <w:spacing w:line="600" w:lineRule="exact"/>
        <w:ind w:firstLine="640" w:firstLineChars="200"/>
        <w:rPr>
          <w:rFonts w:ascii="仿宋_GB2312" w:hAnsi="仿宋_GB2312" w:eastAsia="仿宋_GB2312" w:cs="仿宋_GB2312"/>
          <w:sz w:val="32"/>
          <w:szCs w:val="32"/>
          <w:highlight w:val="yellow"/>
        </w:rPr>
      </w:pPr>
      <w:r>
        <w:rPr>
          <w:rFonts w:hint="eastAsia" w:ascii="仿宋_GB2312" w:hAnsi="仿宋_GB2312" w:eastAsia="仿宋_GB2312" w:cs="仿宋_GB2312"/>
          <w:sz w:val="32"/>
          <w:szCs w:val="32"/>
        </w:rPr>
        <w:t>本部门2020年度机关运行经费支出</w:t>
      </w:r>
      <w:r>
        <w:rPr>
          <w:rFonts w:hint="eastAsia" w:ascii="仿宋_GB2312" w:hAnsi="仿宋_GB2312" w:eastAsia="仿宋_GB2312" w:cs="仿宋_GB2312"/>
          <w:sz w:val="32"/>
          <w:szCs w:val="32"/>
          <w:lang w:val="en-US" w:eastAsia="zh-CN"/>
        </w:rPr>
        <w:t>989.39</w:t>
      </w:r>
      <w:r>
        <w:rPr>
          <w:rFonts w:hint="eastAsia" w:ascii="仿宋_GB2312" w:hAnsi="仿宋_GB2312" w:eastAsia="仿宋_GB2312" w:cs="仿宋_GB2312"/>
          <w:sz w:val="32"/>
          <w:szCs w:val="32"/>
        </w:rPr>
        <w:t>万元，比</w:t>
      </w:r>
      <w:r>
        <w:rPr>
          <w:rFonts w:hint="eastAsia" w:ascii="仿宋_GB2312" w:hAnsi="仿宋_GB2312" w:eastAsia="仿宋_GB2312" w:cs="仿宋_GB2312"/>
          <w:sz w:val="32"/>
          <w:szCs w:val="32"/>
          <w:lang w:eastAsia="zh-CN"/>
        </w:rPr>
        <w:t>年初预算</w:t>
      </w:r>
      <w:r>
        <w:rPr>
          <w:rFonts w:hint="eastAsia" w:ascii="仿宋_GB2312" w:hAnsi="仿宋_GB2312" w:eastAsia="仿宋_GB2312" w:cs="仿宋_GB2312"/>
          <w:sz w:val="32"/>
          <w:szCs w:val="32"/>
        </w:rPr>
        <w:t>减少</w:t>
      </w:r>
      <w:r>
        <w:rPr>
          <w:rFonts w:hint="eastAsia" w:ascii="仿宋_GB2312" w:hAnsi="仿宋_GB2312" w:eastAsia="仿宋_GB2312" w:cs="仿宋_GB2312"/>
          <w:sz w:val="32"/>
          <w:szCs w:val="32"/>
          <w:lang w:val="en-US" w:eastAsia="zh-CN"/>
        </w:rPr>
        <w:t>88.72</w:t>
      </w:r>
      <w:r>
        <w:rPr>
          <w:rFonts w:hint="eastAsia" w:ascii="仿宋_GB2312" w:hAnsi="仿宋_GB2312" w:eastAsia="仿宋_GB2312" w:cs="仿宋_GB2312"/>
          <w:sz w:val="32"/>
          <w:szCs w:val="32"/>
        </w:rPr>
        <w:t>万元，降低</w:t>
      </w:r>
      <w:r>
        <w:rPr>
          <w:rFonts w:hint="eastAsia" w:ascii="仿宋_GB2312" w:hAnsi="仿宋_GB2312" w:eastAsia="仿宋_GB2312" w:cs="仿宋_GB2312"/>
          <w:sz w:val="32"/>
          <w:szCs w:val="32"/>
          <w:lang w:val="en-US" w:eastAsia="zh-CN"/>
        </w:rPr>
        <w:t>8.23</w:t>
      </w:r>
      <w:r>
        <w:rPr>
          <w:rFonts w:hint="eastAsia" w:ascii="仿宋_GB2312" w:hAnsi="仿宋_GB2312" w:eastAsia="仿宋_GB2312" w:cs="仿宋_GB2312"/>
          <w:sz w:val="32"/>
          <w:szCs w:val="32"/>
        </w:rPr>
        <w:t>%。主要原因是</w:t>
      </w:r>
      <w:r>
        <w:rPr>
          <w:rFonts w:hint="eastAsia" w:ascii="仿宋_GB2312" w:hAnsi="仿宋_GB2312" w:eastAsia="仿宋_GB2312" w:cs="仿宋_GB2312"/>
          <w:sz w:val="32"/>
          <w:szCs w:val="32"/>
          <w:lang w:eastAsia="zh-CN"/>
        </w:rPr>
        <w:t>厉行节约，减少经费支出</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highlight w:val="none"/>
        </w:rPr>
        <w:t>比2019年度增加</w:t>
      </w:r>
      <w:r>
        <w:rPr>
          <w:rFonts w:hint="eastAsia" w:ascii="仿宋_GB2312" w:hAnsi="仿宋_GB2312" w:eastAsia="仿宋_GB2312" w:cs="仿宋_GB2312"/>
          <w:sz w:val="32"/>
          <w:szCs w:val="32"/>
          <w:highlight w:val="none"/>
          <w:lang w:val="en-US" w:eastAsia="zh-CN"/>
        </w:rPr>
        <w:t>325.27</w:t>
      </w:r>
      <w:r>
        <w:rPr>
          <w:rFonts w:hint="eastAsia" w:ascii="仿宋_GB2312" w:hAnsi="仿宋_GB2312" w:eastAsia="仿宋_GB2312" w:cs="仿宋_GB2312"/>
          <w:sz w:val="32"/>
          <w:szCs w:val="32"/>
          <w:highlight w:val="none"/>
        </w:rPr>
        <w:t>万元，增长</w:t>
      </w:r>
      <w:r>
        <w:rPr>
          <w:rFonts w:hint="eastAsia" w:ascii="仿宋_GB2312" w:hAnsi="仿宋_GB2312" w:eastAsia="仿宋_GB2312" w:cs="仿宋_GB2312"/>
          <w:sz w:val="32"/>
          <w:szCs w:val="32"/>
          <w:highlight w:val="none"/>
          <w:lang w:val="en-US" w:eastAsia="zh-CN"/>
        </w:rPr>
        <w:t>48.98</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rPr>
        <w:t>主要原因是</w:t>
      </w:r>
      <w:r>
        <w:rPr>
          <w:rFonts w:hint="eastAsia" w:ascii="仿宋_GB2312" w:hAnsi="仿宋_GB2312" w:eastAsia="仿宋_GB2312" w:cs="仿宋_GB2312"/>
          <w:sz w:val="32"/>
          <w:szCs w:val="32"/>
          <w:lang w:eastAsia="zh-CN"/>
        </w:rPr>
        <w:t>森林公安的合并及人员增加</w:t>
      </w:r>
      <w:r>
        <w:rPr>
          <w:rFonts w:hint="eastAsia" w:ascii="仿宋_GB2312" w:hAnsi="仿宋_GB2312" w:eastAsia="仿宋_GB2312" w:cs="仿宋_GB2312"/>
          <w:sz w:val="32"/>
          <w:szCs w:val="32"/>
        </w:rPr>
        <w:t>。</w:t>
      </w:r>
    </w:p>
    <w:p>
      <w:pPr>
        <w:keepNext/>
        <w:keepLines/>
        <w:snapToGrid w:val="0"/>
        <w:spacing w:line="600" w:lineRule="exact"/>
        <w:ind w:firstLine="643" w:firstLineChars="200"/>
        <w:outlineLvl w:val="2"/>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八、政府采购情况</w:t>
      </w:r>
    </w:p>
    <w:p>
      <w:pPr>
        <w:snapToGrid w:val="0"/>
        <w:spacing w:line="600" w:lineRule="exact"/>
        <w:ind w:firstLine="640" w:firstLineChars="200"/>
        <w:jc w:val="left"/>
        <w:rPr>
          <w:rFonts w:ascii="仿宋_GB2312" w:hAnsi="仿宋_GB2312" w:eastAsia="仿宋_GB2312" w:cs="仿宋_GB2312"/>
          <w:sz w:val="32"/>
          <w:szCs w:val="32"/>
          <w:highlight w:val="yellow"/>
        </w:rPr>
      </w:pPr>
      <w:r>
        <w:rPr>
          <w:rFonts w:hint="eastAsia" w:ascii="仿宋_GB2312" w:hAnsi="仿宋_GB2312" w:eastAsia="仿宋_GB2312" w:cs="仿宋_GB2312"/>
          <w:sz w:val="32"/>
          <w:szCs w:val="32"/>
        </w:rPr>
        <w:t>本部门2020年度政府采购支出总额</w:t>
      </w:r>
      <w:r>
        <w:rPr>
          <w:rFonts w:hint="eastAsia" w:ascii="仿宋_GB2312" w:hAnsi="仿宋_GB2312" w:eastAsia="仿宋_GB2312" w:cs="仿宋_GB2312"/>
          <w:sz w:val="32"/>
          <w:szCs w:val="32"/>
          <w:lang w:val="en-US" w:eastAsia="zh-CN"/>
        </w:rPr>
        <w:t>837.18</w:t>
      </w:r>
      <w:r>
        <w:rPr>
          <w:rFonts w:hint="eastAsia" w:ascii="仿宋_GB2312" w:hAnsi="仿宋_GB2312" w:eastAsia="仿宋_GB2312" w:cs="仿宋_GB2312"/>
          <w:sz w:val="32"/>
          <w:szCs w:val="32"/>
        </w:rPr>
        <w:t>万元，从采购类型来看，</w:t>
      </w:r>
      <w:r>
        <w:rPr>
          <w:rFonts w:hint="eastAsia" w:ascii="仿宋_GB2312" w:hAnsi="仿宋_GB2312" w:eastAsia="仿宋_GB2312" w:cs="仿宋_GB2312"/>
          <w:color w:val="000000"/>
          <w:kern w:val="0"/>
          <w:sz w:val="32"/>
          <w:szCs w:val="32"/>
        </w:rPr>
        <w:t>政府采购货物支出</w:t>
      </w:r>
      <w:r>
        <w:rPr>
          <w:rFonts w:hint="eastAsia" w:ascii="仿宋_GB2312" w:hAnsi="仿宋_GB2312" w:eastAsia="仿宋_GB2312" w:cs="仿宋_GB2312"/>
          <w:color w:val="000000"/>
          <w:kern w:val="0"/>
          <w:sz w:val="32"/>
          <w:szCs w:val="32"/>
          <w:lang w:val="en-US" w:eastAsia="zh-CN"/>
        </w:rPr>
        <w:t>837.18</w:t>
      </w:r>
      <w:r>
        <w:rPr>
          <w:rFonts w:hint="eastAsia" w:ascii="仿宋_GB2312" w:hAnsi="仿宋_GB2312" w:eastAsia="仿宋_GB2312" w:cs="仿宋_GB2312"/>
          <w:color w:val="000000"/>
          <w:kern w:val="0"/>
          <w:sz w:val="32"/>
          <w:szCs w:val="32"/>
        </w:rPr>
        <w:t xml:space="preserve"> 万元、政府采购工程支出</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 xml:space="preserve">万元、政府采购服务支出 </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万元。授予中小企业合同金额</w:t>
      </w:r>
      <w:r>
        <w:rPr>
          <w:rFonts w:hint="eastAsia" w:ascii="仿宋_GB2312" w:hAnsi="仿宋_GB2312" w:eastAsia="仿宋_GB2312" w:cs="仿宋_GB2312"/>
          <w:color w:val="000000"/>
          <w:kern w:val="0"/>
          <w:sz w:val="32"/>
          <w:szCs w:val="32"/>
          <w:lang w:val="en-US" w:eastAsia="zh-CN"/>
        </w:rPr>
        <w:t>837.18</w:t>
      </w:r>
      <w:r>
        <w:rPr>
          <w:rFonts w:hint="eastAsia" w:ascii="仿宋_GB2312" w:hAnsi="仿宋_GB2312" w:eastAsia="仿宋_GB2312" w:cs="仿宋_GB2312"/>
          <w:color w:val="000000"/>
          <w:kern w:val="0"/>
          <w:sz w:val="32"/>
          <w:szCs w:val="32"/>
        </w:rPr>
        <w:t>万元，占政府采购支出总额的</w:t>
      </w:r>
      <w:r>
        <w:rPr>
          <w:rFonts w:hint="eastAsia" w:ascii="仿宋_GB2312" w:hAnsi="仿宋_GB2312" w:eastAsia="仿宋_GB2312" w:cs="仿宋_GB2312"/>
          <w:color w:val="000000"/>
          <w:kern w:val="0"/>
          <w:sz w:val="32"/>
          <w:szCs w:val="32"/>
          <w:lang w:val="en-US" w:eastAsia="zh-CN"/>
        </w:rPr>
        <w:t>100</w:t>
      </w:r>
      <w:r>
        <w:rPr>
          <w:rFonts w:hint="eastAsia" w:ascii="仿宋_GB2312" w:hAnsi="仿宋_GB2312" w:eastAsia="仿宋_GB2312" w:cs="仿宋_GB2312"/>
          <w:color w:val="000000"/>
          <w:kern w:val="0"/>
          <w:sz w:val="32"/>
          <w:szCs w:val="32"/>
        </w:rPr>
        <w:t>%，其中授予小微企业合同金额</w:t>
      </w:r>
      <w:r>
        <w:rPr>
          <w:rFonts w:hint="eastAsia" w:ascii="仿宋_GB2312" w:hAnsi="仿宋_GB2312" w:eastAsia="仿宋_GB2312" w:cs="仿宋_GB2312"/>
          <w:color w:val="000000"/>
          <w:kern w:val="0"/>
          <w:sz w:val="32"/>
          <w:szCs w:val="32"/>
          <w:lang w:val="en-US" w:eastAsia="zh-CN"/>
        </w:rPr>
        <w:t>473.08</w:t>
      </w:r>
      <w:r>
        <w:rPr>
          <w:rFonts w:hint="eastAsia" w:ascii="仿宋_GB2312" w:hAnsi="仿宋_GB2312" w:eastAsia="仿宋_GB2312" w:cs="仿宋_GB2312"/>
          <w:color w:val="000000"/>
          <w:kern w:val="0"/>
          <w:sz w:val="32"/>
          <w:szCs w:val="32"/>
        </w:rPr>
        <w:t xml:space="preserve">万元，占政府采购支出总额的 </w:t>
      </w:r>
      <w:r>
        <w:rPr>
          <w:rFonts w:hint="eastAsia" w:ascii="仿宋_GB2312" w:hAnsi="仿宋_GB2312" w:eastAsia="仿宋_GB2312" w:cs="仿宋_GB2312"/>
          <w:color w:val="000000"/>
          <w:kern w:val="0"/>
          <w:sz w:val="32"/>
          <w:szCs w:val="32"/>
          <w:lang w:val="en-US" w:eastAsia="zh-CN"/>
        </w:rPr>
        <w:t>56.51</w:t>
      </w:r>
      <w:r>
        <w:rPr>
          <w:rFonts w:hint="eastAsia" w:ascii="仿宋_GB2312" w:hAnsi="仿宋_GB2312" w:eastAsia="仿宋_GB2312" w:cs="仿宋_GB2312"/>
          <w:color w:val="000000"/>
          <w:kern w:val="0"/>
          <w:sz w:val="32"/>
          <w:szCs w:val="32"/>
        </w:rPr>
        <w:t>%。</w:t>
      </w:r>
    </w:p>
    <w:p>
      <w:pPr>
        <w:keepNext/>
        <w:keepLines/>
        <w:snapToGrid w:val="0"/>
        <w:spacing w:line="600" w:lineRule="exact"/>
        <w:ind w:firstLine="640" w:firstLineChars="200"/>
        <w:outlineLvl w:val="2"/>
        <w:rPr>
          <w:rFonts w:ascii="黑体" w:hAnsi="黑体" w:eastAsia="黑体" w:cs="黑体"/>
          <w:sz w:val="32"/>
          <w:szCs w:val="32"/>
        </w:rPr>
      </w:pPr>
      <w:r>
        <w:rPr>
          <w:rFonts w:hint="eastAsia" w:ascii="黑体" w:hAnsi="黑体" w:eastAsia="黑体" w:cs="黑体"/>
          <w:sz w:val="32"/>
          <w:szCs w:val="32"/>
        </w:rPr>
        <w:t>九、国有资产占用情况</w:t>
      </w:r>
    </w:p>
    <w:p>
      <w:pPr>
        <w:adjustRightInd w:val="0"/>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截至2020年12月31日，本部门共有车辆</w:t>
      </w:r>
      <w:r>
        <w:rPr>
          <w:rFonts w:hint="eastAsia" w:ascii="仿宋_GB2312" w:hAnsi="仿宋_GB2312" w:eastAsia="仿宋_GB2312" w:cs="仿宋_GB2312"/>
          <w:sz w:val="32"/>
          <w:szCs w:val="32"/>
          <w:lang w:val="en-US" w:eastAsia="zh-CN"/>
        </w:rPr>
        <w:t>63</w:t>
      </w:r>
      <w:r>
        <w:rPr>
          <w:rFonts w:hint="eastAsia" w:ascii="仿宋_GB2312" w:hAnsi="仿宋_GB2312" w:eastAsia="仿宋_GB2312" w:cs="仿宋_GB2312"/>
          <w:sz w:val="32"/>
          <w:szCs w:val="32"/>
        </w:rPr>
        <w:t>辆，比上年增加</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辆，主要是</w:t>
      </w:r>
      <w:r>
        <w:rPr>
          <w:rFonts w:hint="eastAsia" w:ascii="仿宋_GB2312" w:hAnsi="仿宋_GB2312" w:eastAsia="仿宋_GB2312" w:cs="仿宋_GB2312"/>
          <w:sz w:val="32"/>
          <w:szCs w:val="32"/>
          <w:lang w:eastAsia="zh-CN"/>
        </w:rPr>
        <w:t>森林公安的合并</w:t>
      </w:r>
      <w:r>
        <w:rPr>
          <w:rFonts w:hint="eastAsia" w:ascii="仿宋_GB2312" w:hAnsi="仿宋_GB2312" w:eastAsia="仿宋_GB2312" w:cs="仿宋_GB2312"/>
          <w:sz w:val="32"/>
          <w:szCs w:val="32"/>
        </w:rPr>
        <w:t>。其中，副部（省）级及以上领导用车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辆，主要领导干部用车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辆，机要通信用车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辆，应急保障用车</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辆，执法执勤用车</w:t>
      </w:r>
      <w:r>
        <w:rPr>
          <w:rFonts w:hint="eastAsia" w:ascii="仿宋_GB2312" w:hAnsi="仿宋_GB2312" w:eastAsia="仿宋_GB2312" w:cs="仿宋_GB2312"/>
          <w:sz w:val="32"/>
          <w:szCs w:val="32"/>
          <w:lang w:val="en-US" w:eastAsia="zh-CN"/>
        </w:rPr>
        <w:t>39</w:t>
      </w:r>
      <w:r>
        <w:rPr>
          <w:rFonts w:hint="eastAsia" w:ascii="仿宋_GB2312" w:hAnsi="仿宋_GB2312" w:eastAsia="仿宋_GB2312" w:cs="仿宋_GB2312"/>
          <w:sz w:val="32"/>
          <w:szCs w:val="32"/>
        </w:rPr>
        <w:t>辆，特种专业技术用车</w:t>
      </w:r>
      <w:r>
        <w:rPr>
          <w:rFonts w:hint="eastAsia" w:ascii="仿宋_GB2312" w:hAnsi="仿宋_GB2312" w:eastAsia="仿宋_GB2312" w:cs="仿宋_GB2312"/>
          <w:sz w:val="32"/>
          <w:szCs w:val="32"/>
          <w:lang w:val="en-US" w:eastAsia="zh-CN"/>
        </w:rPr>
        <w:t>19</w:t>
      </w:r>
      <w:r>
        <w:rPr>
          <w:rFonts w:hint="eastAsia" w:ascii="仿宋_GB2312" w:hAnsi="仿宋_GB2312" w:eastAsia="仿宋_GB2312" w:cs="仿宋_GB2312"/>
          <w:sz w:val="32"/>
          <w:szCs w:val="32"/>
        </w:rPr>
        <w:t>辆，离退休干部用车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辆，其他用车</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辆；</w:t>
      </w:r>
    </w:p>
    <w:p>
      <w:pPr>
        <w:adjustRightInd w:val="0"/>
        <w:snapToGrid w:val="0"/>
        <w:spacing w:line="600" w:lineRule="exact"/>
        <w:ind w:firstLine="640" w:firstLineChars="200"/>
        <w:rPr>
          <w:rFonts w:ascii="仿宋_GB2312" w:hAnsi="仿宋_GB2312" w:eastAsia="仿宋_GB2312" w:cs="仿宋_GB2312"/>
          <w:b/>
          <w:bCs/>
          <w:sz w:val="32"/>
          <w:szCs w:val="32"/>
        </w:rPr>
      </w:pPr>
      <w:r>
        <w:rPr>
          <w:rFonts w:hint="eastAsia" w:ascii="仿宋_GB2312" w:hAnsi="仿宋_GB2312" w:eastAsia="仿宋_GB2312" w:cs="仿宋_GB2312"/>
          <w:sz w:val="32"/>
          <w:szCs w:val="32"/>
        </w:rPr>
        <w:t>单位价值50万元以上通用设备</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台（套），</w:t>
      </w:r>
      <w:r>
        <w:rPr>
          <w:rFonts w:hint="eastAsia" w:ascii="仿宋_GB2312" w:hAnsi="仿宋_GB2312" w:eastAsia="仿宋_GB2312" w:cs="仿宋_GB2312"/>
          <w:sz w:val="32"/>
          <w:szCs w:val="32"/>
          <w:lang w:eastAsia="zh-CN"/>
        </w:rPr>
        <w:t>与上年无变化</w:t>
      </w:r>
      <w:r>
        <w:rPr>
          <w:rFonts w:hint="eastAsia" w:ascii="仿宋_GB2312" w:hAnsi="仿宋_GB2312" w:eastAsia="仿宋_GB2312" w:cs="仿宋_GB2312"/>
          <w:sz w:val="32"/>
          <w:szCs w:val="32"/>
        </w:rPr>
        <w:t>，单位价值100万元以上专用设备</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台（套）</w:t>
      </w:r>
      <w:r>
        <w:rPr>
          <w:rFonts w:hint="eastAsia" w:ascii="仿宋_GB2312" w:hAnsi="仿宋_GB2312" w:eastAsia="仿宋_GB2312" w:cs="仿宋_GB2312"/>
          <w:sz w:val="32"/>
          <w:szCs w:val="32"/>
          <w:lang w:eastAsia="zh-CN"/>
        </w:rPr>
        <w:t>与上年无变化</w:t>
      </w:r>
      <w:r>
        <w:rPr>
          <w:rFonts w:hint="eastAsia" w:ascii="仿宋_GB2312" w:hAnsi="仿宋_GB2312" w:eastAsia="仿宋_GB2312" w:cs="仿宋_GB2312"/>
          <w:sz w:val="32"/>
          <w:szCs w:val="32"/>
        </w:rPr>
        <w:t>。</w:t>
      </w:r>
    </w:p>
    <w:p>
      <w:pPr>
        <w:keepNext/>
        <w:keepLines/>
        <w:snapToGrid w:val="0"/>
        <w:spacing w:line="600" w:lineRule="exact"/>
        <w:ind w:firstLine="640" w:firstLineChars="200"/>
        <w:outlineLvl w:val="2"/>
        <w:rPr>
          <w:rFonts w:ascii="黑体" w:hAnsi="黑体" w:eastAsia="黑体" w:cs="黑体"/>
          <w:sz w:val="32"/>
          <w:szCs w:val="32"/>
        </w:rPr>
      </w:pPr>
      <w:r>
        <w:rPr>
          <w:rFonts w:hint="eastAsia" w:ascii="黑体" w:hAnsi="黑体" w:eastAsia="黑体" w:cs="黑体"/>
          <w:sz w:val="32"/>
          <w:szCs w:val="32"/>
        </w:rPr>
        <w:t>十、其他需要说明的情况</w:t>
      </w:r>
    </w:p>
    <w:p>
      <w:pPr>
        <w:adjustRightInd w:val="0"/>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 本部门2020年度未发生</w:t>
      </w:r>
      <w:r>
        <w:rPr>
          <w:rFonts w:hint="eastAsia" w:ascii="仿宋_GB2312" w:hAnsi="仿宋_GB2312" w:eastAsia="仿宋_GB2312" w:cs="仿宋_GB2312"/>
          <w:sz w:val="32"/>
          <w:szCs w:val="32"/>
          <w:highlight w:val="none"/>
        </w:rPr>
        <w:t>政府性基金预算、国有资金经营预算</w:t>
      </w:r>
      <w:r>
        <w:rPr>
          <w:rFonts w:hint="eastAsia" w:ascii="仿宋_GB2312" w:hAnsi="仿宋_GB2312" w:eastAsia="仿宋_GB2312" w:cs="仿宋_GB2312"/>
          <w:sz w:val="32"/>
          <w:szCs w:val="32"/>
        </w:rPr>
        <w:t>收支及结转结余情况，故</w:t>
      </w:r>
      <w:r>
        <w:rPr>
          <w:rFonts w:hint="eastAsia" w:ascii="仿宋_GB2312" w:hAnsi="仿宋_GB2312" w:eastAsia="仿宋_GB2312" w:cs="仿宋_GB2312"/>
          <w:sz w:val="32"/>
          <w:szCs w:val="32"/>
          <w:highlight w:val="none"/>
        </w:rPr>
        <w:t>政府性基金预算、国有资金经营预算</w:t>
      </w:r>
      <w:r>
        <w:rPr>
          <w:rFonts w:hint="eastAsia" w:ascii="仿宋_GB2312" w:hAnsi="仿宋_GB2312" w:eastAsia="仿宋_GB2312" w:cs="仿宋_GB2312"/>
          <w:sz w:val="32"/>
          <w:szCs w:val="32"/>
        </w:rPr>
        <w:t>表以空表列示。</w:t>
      </w:r>
    </w:p>
    <w:p>
      <w:pPr>
        <w:adjustRightInd w:val="0"/>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 由于决算公开表格中金额数值应当保留两位小数，公开数据为四舍五入计算结果，个别数据合计项与分项之和存在小数点后差额，特此说明。</w:t>
      </w: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r>
        <w:rPr>
          <w:rFonts w:ascii="Calibri" w:hAnsi="Calibri" w:eastAsia="宋体" w:cs="黑体"/>
          <w:kern w:val="2"/>
          <w:sz w:val="72"/>
          <w:szCs w:val="24"/>
          <w:lang w:val="en-US" w:eastAsia="zh-CN" w:bidi="ar-SA"/>
        </w:rPr>
        <w:pict>
          <v:shape id="文本框 188" o:spid="_x0000_s1031" o:spt="202" type="#_x0000_t202" style="position:absolute;left:0pt;margin-left:-80.5pt;margin-top:15.9pt;height:263.1pt;width:613.65pt;z-index:251660288;v-text-anchor:middle;mso-width-relative:page;mso-height-relative:page;" fillcolor="#7F7F7F" filled="t" o:preferrelative="t" stroked="t" coordsize="21600,21600">
            <v:path/>
            <v:fill type="pattern" on="t" color2="#FFFFFF" focussize="0,0" r:id="rId10"/>
            <v:stroke weight="0.5pt" color="#7F7F7F" color2="#FFFFFF" miterlimit="2"/>
            <v:imagedata gain="65536f" blacklevel="0f" gamma="0" o:title=""/>
            <o:lock v:ext="edit" position="f" selection="f" grouping="f" rotation="f" cropping="f" text="f" aspectratio="f"/>
            <v:textbox>
              <w:txbxContent>
                <w:p>
                  <w:pPr>
                    <w:widowControl/>
                    <w:jc w:val="center"/>
                  </w:pPr>
                  <w:r>
                    <w:rPr>
                      <w:rFonts w:hint="eastAsia" w:ascii="黑体" w:hAnsi="黑体" w:eastAsia="黑体" w:cs="黑体"/>
                      <w:color w:val="000000"/>
                      <w:sz w:val="90"/>
                      <w:szCs w:val="90"/>
                    </w:rPr>
                    <w:t>第三部分 相关名词解释</w:t>
                  </w:r>
                </w:p>
              </w:txbxContent>
            </v:textbox>
          </v:shape>
        </w:pict>
      </w: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highlight w:val="yellow"/>
        </w:rPr>
      </w:pPr>
      <w:r>
        <w:rPr>
          <w:rFonts w:hint="eastAsia" w:ascii="仿宋_GB2312" w:hAnsi="宋体" w:eastAsia="仿宋_GB2312" w:cs="Arial Black"/>
          <w:sz w:val="32"/>
          <w:szCs w:val="32"/>
          <w:highlight w:val="yellow"/>
        </w:rPr>
        <w:br w:type="page"/>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（一）财政拨款收入：</w:t>
      </w:r>
      <w:r>
        <w:rPr>
          <w:rFonts w:hint="eastAsia" w:ascii="仿宋_GB2312" w:hAnsi="宋体" w:eastAsia="仿宋_GB2312" w:cs="Times New Roman"/>
          <w:color w:val="000000"/>
          <w:kern w:val="0"/>
          <w:sz w:val="32"/>
          <w:szCs w:val="32"/>
        </w:rPr>
        <w:t>本年度从本级财政部门取得的财政拨款，包括一般公共预算财政拨款和政府性基金预算财政拨款。</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（二）事业收入：</w:t>
      </w:r>
      <w:r>
        <w:rPr>
          <w:rFonts w:hint="eastAsia" w:ascii="仿宋_GB2312" w:hAnsi="宋体" w:eastAsia="仿宋_GB2312" w:cs="Times New Roman"/>
          <w:color w:val="000000"/>
          <w:kern w:val="0"/>
          <w:sz w:val="32"/>
          <w:szCs w:val="32"/>
        </w:rPr>
        <w:t>指事业单位开展专业业务活动及辅助活动所取得的收入。</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（三）其他收入：</w:t>
      </w:r>
      <w:r>
        <w:rPr>
          <w:rFonts w:hint="eastAsia" w:ascii="仿宋_GB2312" w:hAnsi="宋体" w:eastAsia="仿宋_GB2312" w:cs="Times New Roman"/>
          <w:color w:val="000000"/>
          <w:kern w:val="0"/>
          <w:sz w:val="32"/>
          <w:szCs w:val="32"/>
        </w:rPr>
        <w:t>指除上述“财政拨款收入”“事业收入”“经营收入”等以外的收入。</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（四）年初结转和结余：</w:t>
      </w:r>
      <w:r>
        <w:rPr>
          <w:rFonts w:hint="eastAsia" w:ascii="仿宋_GB2312" w:hAnsi="宋体" w:eastAsia="仿宋_GB2312" w:cs="Times New Roman"/>
          <w:color w:val="000000"/>
          <w:kern w:val="0"/>
          <w:sz w:val="32"/>
          <w:szCs w:val="32"/>
        </w:rPr>
        <w:t>指以前年度尚未完成、结转到本年仍按原规定用途继续使用的资金，或项目已完成等产生的结余资金。</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（五）结余分配：</w:t>
      </w:r>
      <w:r>
        <w:rPr>
          <w:rFonts w:hint="eastAsia" w:ascii="仿宋_GB2312" w:hAnsi="宋体" w:eastAsia="仿宋_GB2312" w:cs="Times New Roman"/>
          <w:color w:val="000000"/>
          <w:kern w:val="0"/>
          <w:sz w:val="32"/>
          <w:szCs w:val="32"/>
        </w:rPr>
        <w:t>指事业单位按照事业单位会计制度的规定从非财政补助结余中分配的事业基金和职工福利基金等。</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（六）年末结转和结余：</w:t>
      </w:r>
      <w:r>
        <w:rPr>
          <w:rFonts w:hint="eastAsia" w:ascii="仿宋_GB2312" w:hAnsi="宋体" w:eastAsia="仿宋_GB2312" w:cs="Times New Roman"/>
          <w:color w:val="000000"/>
          <w:kern w:val="0"/>
          <w:sz w:val="32"/>
          <w:szCs w:val="32"/>
        </w:rPr>
        <w:t>指单位按有关规定结转到下年或以后年度继续使用的资金，或项目已完成等产生的结余资金。</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（七）基本支出：</w:t>
      </w:r>
      <w:r>
        <w:rPr>
          <w:rFonts w:hint="eastAsia" w:ascii="仿宋_GB2312" w:hAnsi="宋体" w:eastAsia="仿宋_GB2312" w:cs="Times New Roman"/>
          <w:color w:val="000000"/>
          <w:kern w:val="0"/>
          <w:sz w:val="32"/>
          <w:szCs w:val="32"/>
        </w:rPr>
        <w:t>填列单位为保障机构正常运转、完成日常工作任务而发生的各项支出。</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（八）项目支出：</w:t>
      </w:r>
      <w:r>
        <w:rPr>
          <w:rFonts w:hint="eastAsia" w:ascii="仿宋_GB2312" w:hAnsi="宋体" w:eastAsia="仿宋_GB2312" w:cs="Times New Roman"/>
          <w:color w:val="000000"/>
          <w:kern w:val="0"/>
          <w:sz w:val="32"/>
          <w:szCs w:val="32"/>
        </w:rPr>
        <w:t>填列单位为完成特定的行政工作任务或事业发展目标，在基本支出之外发生的各项支出</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（九）基本建设支出：</w:t>
      </w:r>
      <w:r>
        <w:rPr>
          <w:rFonts w:hint="eastAsia" w:ascii="仿宋_GB2312" w:hAnsi="宋体" w:eastAsia="仿宋_GB2312" w:cs="Times New Roman"/>
          <w:color w:val="000000"/>
          <w:kern w:val="0"/>
          <w:sz w:val="32"/>
          <w:szCs w:val="32"/>
        </w:rPr>
        <w:t>填列由本级发展与改革部门集中安排的用于购置固定资产、战略性和应急性储备、土地和无形资产，以及购建基础设施、大型修缮所发生的一般公共预算财政拨款支出和政府性基金预算财政拨款支出，不包括财政专户管理资金以及各类拼盘自筹资金等。</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（十）其他资本性支出：</w:t>
      </w:r>
      <w:r>
        <w:rPr>
          <w:rFonts w:hint="eastAsia" w:ascii="仿宋_GB2312" w:hAnsi="宋体" w:eastAsia="仿宋_GB2312" w:cs="Times New Roman"/>
          <w:color w:val="000000"/>
          <w:kern w:val="0"/>
          <w:sz w:val="32"/>
          <w:szCs w:val="32"/>
        </w:rPr>
        <w:t>填列由各级非发展与改革部门集中安排的用于购置固定资产、战备性和应急性储备、土地和无形资产，以及购建基础设施、大型修缮和财政支持企业更新改造所发生的支出。</w:t>
      </w:r>
    </w:p>
    <w:p>
      <w:pPr>
        <w:snapToGrid w:val="0"/>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（十一）“三公”经费：</w:t>
      </w:r>
      <w:r>
        <w:rPr>
          <w:rFonts w:hint="eastAsia" w:ascii="仿宋_GB2312" w:hAnsi="宋体" w:eastAsia="仿宋_GB2312" w:cs="Times New Roman"/>
          <w:color w:val="000000"/>
          <w:kern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pPr>
        <w:snapToGrid w:val="0"/>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（十二）其他交通费用：</w:t>
      </w:r>
      <w:r>
        <w:rPr>
          <w:rFonts w:hint="eastAsia" w:ascii="仿宋_GB2312" w:hAnsi="宋体" w:eastAsia="仿宋_GB2312" w:cs="Times New Roman"/>
          <w:color w:val="000000"/>
          <w:kern w:val="0"/>
          <w:sz w:val="32"/>
          <w:szCs w:val="32"/>
        </w:rPr>
        <w:t>填列单位除公务用车运行维护费以外的其他交通费用。如公务交通补贴、租车费用、出租车费用，飞机、船舶等燃料费、维修费、保险费等。</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（十三）公务用车购置：</w:t>
      </w:r>
      <w:r>
        <w:rPr>
          <w:rFonts w:hint="eastAsia" w:ascii="仿宋_GB2312" w:hAnsi="宋体" w:eastAsia="仿宋_GB2312" w:cs="Times New Roman"/>
          <w:color w:val="000000"/>
          <w:kern w:val="0"/>
          <w:sz w:val="32"/>
          <w:szCs w:val="32"/>
        </w:rPr>
        <w:t>填列单位公务用车车辆购置支出（含车辆购置税、牌照费）。</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（十四）其他交通工具购置：</w:t>
      </w:r>
      <w:r>
        <w:rPr>
          <w:rFonts w:hint="eastAsia" w:ascii="仿宋_GB2312" w:hAnsi="宋体" w:eastAsia="仿宋_GB2312" w:cs="Times New Roman"/>
          <w:color w:val="000000"/>
          <w:kern w:val="0"/>
          <w:sz w:val="32"/>
          <w:szCs w:val="32"/>
        </w:rPr>
        <w:t>填列单位除公务用车外的其他各类交通工具（如船舶、飞机等）购置支出（含车辆购置税、牌照费）。</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（十五）机关运行经费：</w:t>
      </w:r>
      <w:r>
        <w:rPr>
          <w:rFonts w:hint="eastAsia" w:ascii="仿宋_GB2312" w:hAnsi="宋体" w:eastAsia="仿宋_GB2312" w:cs="Times New Roman"/>
          <w:color w:val="000000"/>
          <w:kern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p>
      <w:pPr>
        <w:tabs>
          <w:tab w:val="left" w:pos="235"/>
        </w:tabs>
        <w:spacing w:line="600" w:lineRule="exact"/>
        <w:ind w:firstLine="643" w:firstLineChars="200"/>
        <w:jc w:val="left"/>
        <w:rPr>
          <w:rFonts w:ascii="仿宋_GB2312" w:hAnsi="Cambria" w:eastAsia="仿宋_GB2312" w:cs="Arial Black"/>
          <w:kern w:val="0"/>
          <w:sz w:val="32"/>
          <w:szCs w:val="32"/>
        </w:rPr>
      </w:pPr>
      <w:r>
        <w:rPr>
          <w:rFonts w:hint="eastAsia" w:ascii="仿宋_GB2312" w:hAnsi="宋体" w:eastAsia="仿宋_GB2312" w:cs="Times New Roman"/>
          <w:b/>
          <w:bCs/>
          <w:color w:val="000000"/>
          <w:kern w:val="0"/>
          <w:sz w:val="32"/>
          <w:szCs w:val="32"/>
        </w:rPr>
        <w:t>（十六）经费形式:</w:t>
      </w:r>
      <w:r>
        <w:rPr>
          <w:rFonts w:hint="eastAsia" w:ascii="仿宋_GB2312" w:hAnsi="宋体" w:eastAsia="仿宋_GB2312" w:cs="Times New Roman"/>
          <w:color w:val="000000"/>
          <w:kern w:val="0"/>
          <w:sz w:val="32"/>
          <w:szCs w:val="32"/>
        </w:rPr>
        <w:t>按照经费来源，</w:t>
      </w:r>
      <w:r>
        <w:rPr>
          <w:rFonts w:hint="eastAsia" w:ascii="仿宋_GB2312" w:hAnsi="Cambria" w:eastAsia="仿宋_GB2312" w:cs="Arial Black"/>
          <w:kern w:val="0"/>
          <w:sz w:val="32"/>
          <w:szCs w:val="32"/>
        </w:rPr>
        <w:t>可分为财政拨款、财政性资金基本保证、财政性资金定额或定项补助、财政性资金零补助四类。</w:t>
      </w: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widowControl/>
        <w:spacing w:after="160" w:line="580" w:lineRule="exact"/>
        <w:rPr>
          <w:rFonts w:ascii="Times New Roman" w:hAnsi="Times New Roman" w:eastAsia="黑体" w:cs="Times New Roman"/>
          <w:sz w:val="32"/>
          <w:szCs w:val="32"/>
        </w:rPr>
        <w:sectPr>
          <w:headerReference r:id="rId7" w:type="default"/>
          <w:pgSz w:w="11906" w:h="16838"/>
          <w:pgMar w:top="2098" w:right="1531" w:bottom="1984" w:left="1531" w:header="851" w:footer="992" w:gutter="0"/>
          <w:pgNumType w:fmt="numberInDash"/>
          <w:cols w:space="720" w:num="1"/>
          <w:titlePg/>
          <w:docGrid w:type="lines" w:linePitch="312" w:charSpace="0"/>
        </w:sectPr>
      </w:pPr>
    </w:p>
    <w:p>
      <w:pPr>
        <w:rPr>
          <w:rFonts w:ascii="黑体" w:hAnsi="黑体" w:eastAsia="黑体" w:cs="黑体"/>
          <w:sz w:val="56"/>
          <w:szCs w:val="72"/>
        </w:rPr>
      </w:pPr>
    </w:p>
    <w:p>
      <w:pPr>
        <w:rPr>
          <w:rFonts w:ascii="黑体" w:hAnsi="黑体" w:eastAsia="黑体" w:cs="黑体"/>
          <w:sz w:val="56"/>
          <w:szCs w:val="72"/>
        </w:rPr>
        <w:sectPr>
          <w:type w:val="continuous"/>
          <w:pgSz w:w="11906" w:h="16838"/>
          <w:pgMar w:top="2098" w:right="1531" w:bottom="1984" w:left="1531" w:header="851" w:footer="992" w:gutter="0"/>
          <w:pgNumType w:fmt="numberInDash"/>
          <w:cols w:space="720" w:num="1"/>
          <w:titlePg/>
          <w:docGrid w:type="lines" w:linePitch="312" w:charSpace="0"/>
        </w:sectPr>
      </w:pPr>
      <w:r>
        <w:rPr>
          <w:rFonts w:ascii="Calibri" w:hAnsi="Calibri" w:eastAsia="宋体" w:cs="黑体"/>
          <w:kern w:val="2"/>
          <w:sz w:val="72"/>
          <w:szCs w:val="24"/>
          <w:lang w:val="en-US" w:eastAsia="zh-CN" w:bidi="ar-SA"/>
        </w:rPr>
        <w:pict>
          <v:shape id="Quad Arrow 20" o:spid="_x0000_s1032" o:spt="202" type="#_x0000_t202" style="position:absolute;left:0pt;margin-left:-80.95pt;margin-top:208.5pt;height:220.35pt;width:613.65pt;z-index:251666432;v-text-anchor:middle;mso-width-relative:page;mso-height-relative:page;" fillcolor="#7F7F7F" filled="t" o:preferrelative="t" stroked="t" coordsize="21600,21600">
            <v:path/>
            <v:fill type="pattern" on="t" color2="#FFFFFF" focussize="0,0" r:id="rId11"/>
            <v:stroke weight="1pt" color="#A6A6A6" color2="#FFFFFF" miterlimit="2"/>
            <v:imagedata gain="65536f" blacklevel="0f" gamma="0" o:title=""/>
            <o:lock v:ext="edit" position="f" selection="f" grouping="f" rotation="f" cropping="f" text="f" aspectratio="f"/>
            <v:textbox>
              <w:txbxContent>
                <w:p>
                  <w:pPr>
                    <w:widowControl/>
                    <w:jc w:val="center"/>
                    <w:rPr>
                      <w:rFonts w:ascii="黑体" w:hAnsi="黑体" w:eastAsia="黑体" w:cs="黑体"/>
                      <w:color w:val="auto"/>
                      <w:sz w:val="90"/>
                      <w:szCs w:val="90"/>
                    </w:rPr>
                  </w:pPr>
                  <w:r>
                    <w:rPr>
                      <w:rFonts w:hint="eastAsia" w:ascii="黑体" w:hAnsi="黑体" w:eastAsia="黑体" w:cs="黑体"/>
                      <w:color w:val="auto"/>
                      <w:sz w:val="90"/>
                      <w:szCs w:val="90"/>
                    </w:rPr>
                    <w:t xml:space="preserve">第四部分 </w:t>
                  </w:r>
                </w:p>
                <w:p>
                  <w:pPr>
                    <w:widowControl/>
                    <w:jc w:val="center"/>
                  </w:pPr>
                  <w:r>
                    <w:rPr>
                      <w:rFonts w:hint="eastAsia" w:ascii="黑体" w:hAnsi="黑体" w:eastAsia="黑体" w:cs="黑体"/>
                      <w:color w:val="auto"/>
                      <w:sz w:val="90"/>
                      <w:szCs w:val="90"/>
                    </w:rPr>
                    <w:t>2020年度部门决算报表</w:t>
                  </w:r>
                </w:p>
                <w:p>
                  <w:pPr>
                    <w:widowControl/>
                    <w:jc w:val="center"/>
                  </w:pPr>
                </w:p>
                <w:p/>
              </w:txbxContent>
            </v:textbox>
          </v:shape>
        </w:pict>
      </w:r>
    </w:p>
    <w:p>
      <w:pPr>
        <w:jc w:val="left"/>
      </w:pPr>
    </w:p>
    <w:p>
      <w:pPr>
        <w:rPr>
          <w:rFonts w:hint="eastAsia" w:eastAsia="宋体"/>
          <w:lang w:eastAsia="zh-CN"/>
        </w:rPr>
      </w:pPr>
      <w:r>
        <w:rPr>
          <w:rFonts w:hint="eastAsia" w:eastAsia="宋体"/>
          <w:lang w:eastAsia="zh-CN"/>
        </w:rPr>
        <w:pict>
          <v:shape id="_x0000_i1025" o:spt="75" alt="01" type="#_x0000_t75" style="height:363.4pt;width:441.8pt;" filled="f" o:preferrelative="t" stroked="f" coordsize="21600,21600">
            <v:path/>
            <v:fill on="f" focussize="0,0"/>
            <v:stroke on="f"/>
            <v:imagedata r:id="rId12" o:title="01"/>
            <o:lock v:ext="edit" aspectratio="t"/>
            <w10:wrap type="none"/>
            <w10:anchorlock/>
          </v:shape>
        </w:pict>
      </w:r>
      <w:r>
        <w:br w:type="page"/>
      </w:r>
    </w:p>
    <w:p>
      <w:pPr>
        <w:rPr>
          <w:rFonts w:hint="eastAsia" w:eastAsia="宋体"/>
          <w:lang w:eastAsia="zh-CN"/>
        </w:rPr>
      </w:pPr>
      <w:r>
        <w:rPr>
          <w:rFonts w:hint="eastAsia" w:eastAsia="宋体"/>
          <w:lang w:eastAsia="zh-CN"/>
        </w:rPr>
        <w:pict>
          <v:shape id="_x0000_i1026" o:spt="75" alt="02" type="#_x0000_t75" style="height:259.55pt;width:441.4pt;" filled="f" o:preferrelative="t" stroked="f" coordsize="21600,21600">
            <v:path/>
            <v:fill on="f" focussize="0,0"/>
            <v:stroke on="f"/>
            <v:imagedata r:id="rId13" o:title="02"/>
            <o:lock v:ext="edit" aspectratio="t"/>
            <w10:wrap type="none"/>
            <w10:anchorlock/>
          </v:shape>
        </w:pict>
      </w:r>
      <w:r>
        <w:br w:type="page"/>
      </w:r>
    </w:p>
    <w:p>
      <w:r>
        <w:pict>
          <v:shape id="_x0000_i1027" o:spt="75" alt="03" type="#_x0000_t75" style="height:294.1pt;width:441.8pt;" filled="f" o:preferrelative="t" stroked="f" coordsize="21600,21600">
            <v:path/>
            <v:fill on="f" focussize="0,0"/>
            <v:stroke on="f"/>
            <v:imagedata r:id="rId14" o:title="03"/>
            <o:lock v:ext="edit" aspectratio="t"/>
            <w10:wrap type="none"/>
            <w10:anchorlock/>
          </v:shape>
        </w:pict>
      </w:r>
    </w:p>
    <w:p/>
    <w:p/>
    <w:p/>
    <w:p/>
    <w:p/>
    <w:p/>
    <w:p/>
    <w:p/>
    <w:p/>
    <w:p/>
    <w:p/>
    <w:p/>
    <w:p/>
    <w:p/>
    <w:p/>
    <w:p/>
    <w:p/>
    <w:p/>
    <w:p/>
    <w:p/>
    <w:p/>
    <w:p/>
    <w:p/>
    <w:p/>
    <w:p/>
    <w:p/>
    <w:p/>
    <w:p>
      <w:pPr>
        <w:rPr>
          <w:rFonts w:hint="eastAsia" w:ascii="黑体" w:hAnsi="宋体" w:eastAsia="宋体" w:cs="黑体"/>
          <w:color w:val="000000"/>
          <w:kern w:val="0"/>
          <w:sz w:val="28"/>
          <w:szCs w:val="28"/>
          <w:lang w:eastAsia="zh-CN"/>
        </w:rPr>
        <w:sectPr>
          <w:pgSz w:w="11906" w:h="16838"/>
          <w:pgMar w:top="2098" w:right="1531" w:bottom="1984" w:left="1531" w:header="851" w:footer="992" w:gutter="0"/>
          <w:cols w:space="720" w:num="1"/>
          <w:docGrid w:type="lines" w:linePitch="312" w:charSpace="0"/>
        </w:sectPr>
      </w:pPr>
      <w:r>
        <w:rPr>
          <w:rFonts w:hint="eastAsia" w:ascii="黑体" w:hAnsi="宋体" w:eastAsia="宋体" w:cs="黑体"/>
          <w:color w:val="000000"/>
          <w:kern w:val="0"/>
          <w:sz w:val="28"/>
          <w:szCs w:val="28"/>
          <w:lang w:eastAsia="zh-CN"/>
        </w:rPr>
        <w:pict>
          <v:shape id="_x0000_i1028" o:spt="75" alt="04" type="#_x0000_t75" style="height:328.65pt;width:441.8pt;" filled="f" o:preferrelative="t" stroked="f" coordsize="21600,21600">
            <v:path/>
            <v:fill on="f" focussize="0,0"/>
            <v:stroke on="f"/>
            <v:imagedata r:id="rId15" o:title="04"/>
            <o:lock v:ext="edit" aspectratio="t"/>
            <w10:wrap type="none"/>
            <w10:anchorlock/>
          </v:shape>
        </w:pict>
      </w:r>
      <w:r>
        <w:br w:type="page"/>
      </w:r>
    </w:p>
    <w:p>
      <w:pPr>
        <w:widowControl/>
        <w:jc w:val="center"/>
        <w:textAlignment w:val="center"/>
        <w:rPr>
          <w:rFonts w:hint="eastAsia" w:eastAsia="宋体"/>
          <w:lang w:eastAsia="zh-CN"/>
        </w:rPr>
        <w:sectPr>
          <w:pgSz w:w="11906" w:h="16838"/>
          <w:pgMar w:top="2098" w:right="1531" w:bottom="1984" w:left="1531" w:header="851" w:footer="992" w:gutter="0"/>
          <w:cols w:space="720" w:num="1"/>
          <w:docGrid w:type="lines" w:linePitch="312" w:charSpace="0"/>
        </w:sectPr>
      </w:pPr>
      <w:r>
        <w:rPr>
          <w:rFonts w:hint="eastAsia" w:eastAsia="宋体"/>
          <w:lang w:eastAsia="zh-CN"/>
        </w:rPr>
        <w:pict>
          <v:shape id="_x0000_i1029" o:spt="75" alt="05" type="#_x0000_t75" style="height:395.75pt;width:441.7pt;" filled="f" o:preferrelative="t" stroked="f" coordsize="21600,21600">
            <v:path/>
            <v:fill on="f" focussize="0,0"/>
            <v:stroke on="f"/>
            <v:imagedata r:id="rId16" o:title="05"/>
            <o:lock v:ext="edit" aspectratio="t"/>
            <w10:wrap type="none"/>
            <w10:anchorlock/>
          </v:shape>
        </w:pict>
      </w:r>
    </w:p>
    <w:p>
      <w:r>
        <w:tab/>
      </w:r>
      <w:r>
        <w:tab/>
      </w:r>
      <w:r>
        <w:tab/>
      </w:r>
      <w:r>
        <w:tab/>
      </w:r>
      <w:r>
        <w:tab/>
      </w:r>
      <w:r>
        <w:tab/>
      </w:r>
      <w:r>
        <w:tab/>
      </w:r>
      <w:r>
        <w:pict>
          <v:shape id="_x0000_i1030" o:spt="75" alt="06" type="#_x0000_t75" style="height:260.65pt;width:442.1pt;" filled="f" o:preferrelative="t" stroked="f" coordsize="21600,21600">
            <v:path/>
            <v:fill on="f" focussize="0,0"/>
            <v:stroke on="f"/>
            <v:imagedata r:id="rId17" o:title="06"/>
            <o:lock v:ext="edit" aspectratio="t"/>
            <w10:wrap type="none"/>
            <w10:anchorlock/>
          </v:shape>
        </w:pict>
      </w:r>
      <w:r>
        <w:tab/>
      </w:r>
      <w:r>
        <w:tab/>
      </w:r>
      <w:r>
        <w:br w:type="page"/>
      </w:r>
    </w:p>
    <w:p>
      <w:pPr>
        <w:rPr>
          <w:rFonts w:hint="eastAsia" w:eastAsia="宋体"/>
          <w:b/>
          <w:sz w:val="20"/>
          <w:szCs w:val="22"/>
          <w:highlight w:val="yellow"/>
          <w:lang w:eastAsia="zh-CN"/>
        </w:rPr>
      </w:pPr>
      <w:r>
        <w:rPr>
          <w:rFonts w:hint="eastAsia" w:eastAsia="宋体"/>
          <w:b/>
          <w:sz w:val="20"/>
          <w:szCs w:val="22"/>
          <w:highlight w:val="yellow"/>
          <w:lang w:eastAsia="zh-CN"/>
        </w:rPr>
        <w:pict>
          <v:shape id="_x0000_i1031" o:spt="75" alt="07" type="#_x0000_t75" style="height:90.1pt;width:441.85pt;" filled="f" o:preferrelative="t" stroked="f" coordsize="21600,21600">
            <v:path/>
            <v:fill on="f" focussize="0,0"/>
            <v:stroke on="f"/>
            <v:imagedata r:id="rId18" o:title="07"/>
            <o:lock v:ext="edit" aspectratio="t"/>
            <w10:wrap type="none"/>
            <w10:anchorlock/>
          </v:shape>
        </w:pict>
      </w:r>
      <w:r>
        <w:rPr>
          <w:b/>
          <w:sz w:val="20"/>
          <w:szCs w:val="22"/>
          <w:highlight w:val="yellow"/>
        </w:rPr>
        <w:br w:type="page"/>
      </w:r>
    </w:p>
    <w:p>
      <w:pPr>
        <w:rPr>
          <w:rFonts w:ascii="黑体" w:hAnsi="黑体" w:eastAsia="黑体" w:cs="黑体"/>
          <w:sz w:val="56"/>
          <w:szCs w:val="72"/>
        </w:rPr>
      </w:pPr>
    </w:p>
    <w:p>
      <w:pPr>
        <w:rPr>
          <w:rFonts w:ascii="黑体" w:hAnsi="黑体" w:eastAsia="黑体" w:cs="黑体"/>
          <w:sz w:val="56"/>
          <w:szCs w:val="72"/>
        </w:rPr>
      </w:pPr>
    </w:p>
    <w:p>
      <w:pPr>
        <w:rPr>
          <w:rFonts w:ascii="黑体" w:hAnsi="黑体" w:eastAsia="黑体" w:cs="黑体"/>
          <w:sz w:val="56"/>
          <w:szCs w:val="72"/>
        </w:rPr>
      </w:pPr>
    </w:p>
    <w:p>
      <w:pPr>
        <w:rPr>
          <w:rFonts w:ascii="黑体" w:hAnsi="黑体" w:eastAsia="黑体" w:cs="黑体"/>
          <w:sz w:val="56"/>
          <w:szCs w:val="72"/>
        </w:rPr>
      </w:pPr>
    </w:p>
    <w:p>
      <w:pPr>
        <w:rPr>
          <w:rFonts w:hint="eastAsia" w:ascii="黑体" w:hAnsi="黑体" w:eastAsia="黑体" w:cs="黑体"/>
          <w:sz w:val="56"/>
          <w:szCs w:val="72"/>
          <w:lang w:eastAsia="zh-CN"/>
        </w:rPr>
      </w:pPr>
      <w:r>
        <w:rPr>
          <w:rFonts w:hint="eastAsia" w:ascii="黑体" w:hAnsi="黑体" w:eastAsia="黑体" w:cs="黑体"/>
          <w:sz w:val="56"/>
          <w:szCs w:val="72"/>
          <w:lang w:eastAsia="zh-CN"/>
        </w:rPr>
        <w:pict>
          <v:shape id="_x0000_i1032" o:spt="75" alt="08" type="#_x0000_t75" style="height:143.95pt;width:441.55pt;" filled="f" o:preferrelative="t" stroked="f" coordsize="21600,21600">
            <v:path/>
            <v:fill on="f" focussize="0,0"/>
            <v:stroke on="f"/>
            <v:imagedata r:id="rId19" o:title="08"/>
            <o:lock v:ext="edit" aspectratio="t"/>
            <w10:wrap type="none"/>
            <w10:anchorlock/>
          </v:shape>
        </w:pict>
      </w:r>
    </w:p>
    <w:p>
      <w:pPr>
        <w:rPr>
          <w:rFonts w:hint="eastAsia" w:ascii="黑体" w:hAnsi="黑体" w:eastAsia="黑体" w:cs="黑体"/>
          <w:sz w:val="56"/>
          <w:szCs w:val="72"/>
          <w:lang w:eastAsia="zh-CN"/>
        </w:rPr>
      </w:pPr>
    </w:p>
    <w:p>
      <w:pPr>
        <w:rPr>
          <w:rFonts w:hint="eastAsia" w:ascii="黑体" w:hAnsi="黑体" w:eastAsia="黑体" w:cs="黑体"/>
          <w:sz w:val="56"/>
          <w:szCs w:val="72"/>
          <w:lang w:eastAsia="zh-CN"/>
        </w:rPr>
      </w:pPr>
    </w:p>
    <w:p>
      <w:pPr>
        <w:rPr>
          <w:rFonts w:hint="eastAsia" w:ascii="黑体" w:hAnsi="黑体" w:eastAsia="黑体" w:cs="黑体"/>
          <w:sz w:val="56"/>
          <w:szCs w:val="72"/>
          <w:lang w:eastAsia="zh-CN"/>
        </w:rPr>
      </w:pPr>
    </w:p>
    <w:p>
      <w:pPr>
        <w:rPr>
          <w:rFonts w:hint="eastAsia" w:ascii="黑体" w:hAnsi="黑体" w:eastAsia="黑体" w:cs="黑体"/>
          <w:sz w:val="56"/>
          <w:szCs w:val="72"/>
          <w:lang w:eastAsia="zh-CN"/>
        </w:rPr>
      </w:pPr>
    </w:p>
    <w:p>
      <w:pPr>
        <w:rPr>
          <w:rFonts w:hint="eastAsia" w:ascii="黑体" w:hAnsi="黑体" w:eastAsia="黑体" w:cs="黑体"/>
          <w:sz w:val="56"/>
          <w:szCs w:val="72"/>
          <w:lang w:eastAsia="zh-CN"/>
        </w:rPr>
      </w:pPr>
    </w:p>
    <w:p>
      <w:pPr>
        <w:rPr>
          <w:rFonts w:hint="eastAsia" w:ascii="黑体" w:hAnsi="黑体" w:eastAsia="黑体" w:cs="黑体"/>
          <w:sz w:val="56"/>
          <w:szCs w:val="72"/>
          <w:lang w:eastAsia="zh-CN"/>
        </w:rPr>
      </w:pPr>
    </w:p>
    <w:p>
      <w:pPr>
        <w:rPr>
          <w:rFonts w:ascii="黑体" w:hAnsi="黑体" w:eastAsia="黑体" w:cs="黑体"/>
          <w:sz w:val="56"/>
          <w:szCs w:val="72"/>
        </w:rPr>
      </w:pPr>
      <w:r>
        <w:rPr>
          <w:rFonts w:hint="eastAsia" w:ascii="仿宋_GB2312" w:hAnsi="Cambria" w:eastAsia="仿宋_GB2312" w:cs="Arial Black"/>
          <w:kern w:val="0"/>
          <w:sz w:val="32"/>
          <w:szCs w:val="32"/>
          <w:lang w:eastAsia="zh-CN"/>
        </w:rPr>
        <w:pict>
          <v:shape id="_x0000_s1043" o:spid="_x0000_s1043" o:spt="75" alt="09" type="#_x0000_t75" style="position:absolute;left:0pt;margin-left:24.45pt;margin-top:34.75pt;height:222.5pt;width:441.7pt;mso-wrap-distance-bottom:0pt;mso-wrap-distance-left:9pt;mso-wrap-distance-right:9pt;mso-wrap-distance-top:0pt;z-index:251667456;mso-width-relative:page;mso-height-relative:page;" filled="f" o:preferrelative="t" stroked="f" coordsize="21600,21600">
            <v:path/>
            <v:fill on="f" focussize="0,0"/>
            <v:stroke on="f"/>
            <v:imagedata r:id="rId20" o:title="09"/>
            <o:lock v:ext="edit" aspectratio="t"/>
            <w10:wrap type="square"/>
          </v:shape>
        </w:pict>
      </w:r>
    </w:p>
    <w:p>
      <w:pPr>
        <w:rPr>
          <w:rFonts w:ascii="黑体" w:hAnsi="黑体" w:eastAsia="黑体" w:cs="黑体"/>
          <w:sz w:val="56"/>
          <w:szCs w:val="72"/>
        </w:rPr>
      </w:pPr>
    </w:p>
    <w:p>
      <w:pPr>
        <w:tabs>
          <w:tab w:val="left" w:pos="235"/>
        </w:tabs>
        <w:spacing w:line="600" w:lineRule="exact"/>
        <w:ind w:firstLine="640" w:firstLineChars="200"/>
        <w:jc w:val="left"/>
        <w:rPr>
          <w:rFonts w:hint="eastAsia" w:ascii="仿宋_GB2312" w:hAnsi="Cambria" w:eastAsia="仿宋_GB2312" w:cs="Arial Black"/>
          <w:kern w:val="0"/>
          <w:sz w:val="32"/>
          <w:szCs w:val="32"/>
          <w:lang w:eastAsia="zh-CN"/>
        </w:rPr>
        <w:sectPr>
          <w:pgSz w:w="11906" w:h="16838"/>
          <w:pgMar w:top="1984" w:right="1531" w:bottom="2098" w:left="1531" w:header="851" w:footer="992" w:gutter="0"/>
          <w:cols w:space="720" w:num="1"/>
          <w:docGrid w:type="lines" w:linePitch="312" w:charSpace="0"/>
        </w:sectPr>
      </w:pPr>
    </w:p>
    <w:p>
      <w:pPr>
        <w:tabs>
          <w:tab w:val="left" w:pos="235"/>
        </w:tabs>
        <w:spacing w:line="600" w:lineRule="exact"/>
        <w:ind w:firstLine="640" w:firstLineChars="200"/>
        <w:jc w:val="left"/>
        <w:rPr>
          <w:rFonts w:ascii="仿宋_GB2312" w:hAnsi="Cambria" w:eastAsia="仿宋_GB2312" w:cs="Arial Black"/>
          <w:kern w:val="0"/>
          <w:sz w:val="32"/>
          <w:szCs w:val="32"/>
        </w:rPr>
      </w:pPr>
      <w:r>
        <w:rPr>
          <w:rFonts w:ascii="Calibri" w:hAnsi="Calibri" w:eastAsia="宋体" w:cs="黑体"/>
          <w:kern w:val="2"/>
          <w:sz w:val="32"/>
          <w:szCs w:val="24"/>
          <w:lang w:val="en-US" w:eastAsia="zh-CN" w:bidi="ar-SA"/>
        </w:rPr>
        <w:pict>
          <v:rect id="矩形 3" o:spid="_x0000_s1042" o:spt="1" style="position:absolute;left:0pt;margin-left:-78.2pt;margin-top:-106.6pt;height:842.2pt;width:601pt;z-index:251663360;v-text-anchor:middle;mso-width-relative:page;mso-height-relative:page;" fillcolor="#BDD6EE" filled="t" o:preferrelative="t" stroked="f" coordsize="21600,21600">
            <v:path/>
            <v:fill on="t" focussize="0,0"/>
            <v:stroke on="f"/>
            <v:imagedata gain="65536f" blacklevel="0f" gamma="0" o:title=""/>
            <o:lock v:ext="edit" position="f" selection="f" grouping="f" rotation="f" cropping="f" text="f" aspectratio="f"/>
            <v:textbox>
              <w:txbxContent>
                <w:p/>
              </w:txbxContent>
            </v:textbox>
          </v:rect>
        </w:pict>
      </w:r>
    </w:p>
    <w:sectPr>
      <w:pgSz w:w="11906" w:h="16838"/>
      <w:pgMar w:top="2098" w:right="1531" w:bottom="1984"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auto"/>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Arial Black">
    <w:panose1 w:val="020B0A04020102020204"/>
    <w:charset w:val="00"/>
    <w:family w:val="auto"/>
    <w:pitch w:val="default"/>
    <w:sig w:usb0="00000287" w:usb1="00000000" w:usb2="00000000" w:usb3="00000000" w:csb0="2000009F" w:csb1="DFD70000"/>
  </w:font>
  <w:font w:name="Cambria">
    <w:panose1 w:val="02040503050406030204"/>
    <w:charset w:val="00"/>
    <w:family w:val="auto"/>
    <w:pitch w:val="default"/>
    <w:sig w:usb0="E00002FF" w:usb1="400004FF" w:usb2="00000000" w:usb3="00000000" w:csb0="2000019F" w:csb1="00000000"/>
  </w:font>
  <w:font w:name="Mongolian Baiti">
    <w:panose1 w:val="03000500000000000000"/>
    <w:charset w:val="00"/>
    <w:family w:val="auto"/>
    <w:pitch w:val="default"/>
    <w:sig w:usb0="80000023" w:usb1="00000000" w:usb2="00020000" w:usb3="00000000" w:csb0="00000001" w:csb1="00000000"/>
  </w:font>
  <w:font w:name="DengXian-Regular">
    <w:altName w:val="宋体"/>
    <w:panose1 w:val="00000000000000000000"/>
    <w:charset w:val="86"/>
    <w:family w:val="auto"/>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5DB9A87"/>
    <w:multiLevelType w:val="singleLevel"/>
    <w:tmpl w:val="45DB9A87"/>
    <w:lvl w:ilvl="0" w:tentative="0">
      <w:start w:val="3"/>
      <w:numFmt w:val="chineseCounting"/>
      <w:suff w:val="nothing"/>
      <w:lvlText w:val="（%1）"/>
      <w:lvlJc w:val="left"/>
      <w:rPr>
        <w:rFonts w:hint="eastAsia"/>
      </w:rPr>
    </w:lvl>
  </w:abstractNum>
  <w:abstractNum w:abstractNumId="1">
    <w:nsid w:val="5F222FFA"/>
    <w:multiLevelType w:val="singleLevel"/>
    <w:tmpl w:val="5F222FFA"/>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1"/>
  </w:compat>
  <w:docVars>
    <w:docVar w:name="commondata" w:val="eyJoZGlkIjoiMmVhZTQyNzU2ZjNhYjIwNGE0ZDUzZmE3ZWQ2NmZjODcifQ=="/>
  </w:docVars>
  <w:rsids>
    <w:rsidRoot w:val="34C45458"/>
    <w:rsid w:val="00061A05"/>
    <w:rsid w:val="0018668E"/>
    <w:rsid w:val="001B73D2"/>
    <w:rsid w:val="001C34D6"/>
    <w:rsid w:val="001E62BF"/>
    <w:rsid w:val="00293E7B"/>
    <w:rsid w:val="002D1F4F"/>
    <w:rsid w:val="00366D90"/>
    <w:rsid w:val="003D678E"/>
    <w:rsid w:val="00475F92"/>
    <w:rsid w:val="006256C7"/>
    <w:rsid w:val="00646633"/>
    <w:rsid w:val="008007E9"/>
    <w:rsid w:val="00801F66"/>
    <w:rsid w:val="008358C1"/>
    <w:rsid w:val="0092241E"/>
    <w:rsid w:val="009334BF"/>
    <w:rsid w:val="00C4447E"/>
    <w:rsid w:val="00EE75CF"/>
    <w:rsid w:val="00FB14AD"/>
    <w:rsid w:val="016F4A51"/>
    <w:rsid w:val="01A94AA7"/>
    <w:rsid w:val="03105BD2"/>
    <w:rsid w:val="058B71E0"/>
    <w:rsid w:val="09796EB6"/>
    <w:rsid w:val="0B7D757A"/>
    <w:rsid w:val="0DF77C21"/>
    <w:rsid w:val="0EA325C9"/>
    <w:rsid w:val="0EB74960"/>
    <w:rsid w:val="101B5292"/>
    <w:rsid w:val="103F27DA"/>
    <w:rsid w:val="16311C58"/>
    <w:rsid w:val="172B1D6F"/>
    <w:rsid w:val="1C157763"/>
    <w:rsid w:val="1CCB286C"/>
    <w:rsid w:val="1D6E134A"/>
    <w:rsid w:val="1DCC731B"/>
    <w:rsid w:val="22C55999"/>
    <w:rsid w:val="259A08E8"/>
    <w:rsid w:val="27442BA0"/>
    <w:rsid w:val="287F10E6"/>
    <w:rsid w:val="290D702A"/>
    <w:rsid w:val="2A784B4C"/>
    <w:rsid w:val="2C107A98"/>
    <w:rsid w:val="2F07462D"/>
    <w:rsid w:val="2F401078"/>
    <w:rsid w:val="2FB96948"/>
    <w:rsid w:val="341934F3"/>
    <w:rsid w:val="34C45458"/>
    <w:rsid w:val="35214779"/>
    <w:rsid w:val="35BB321D"/>
    <w:rsid w:val="35C83C42"/>
    <w:rsid w:val="38751F29"/>
    <w:rsid w:val="3BD30F8D"/>
    <w:rsid w:val="3C34573A"/>
    <w:rsid w:val="3DA21C7E"/>
    <w:rsid w:val="3EF37C99"/>
    <w:rsid w:val="472A2B88"/>
    <w:rsid w:val="4B39621A"/>
    <w:rsid w:val="57757B39"/>
    <w:rsid w:val="57D55AEB"/>
    <w:rsid w:val="5D0C63C4"/>
    <w:rsid w:val="5DAA3367"/>
    <w:rsid w:val="5ECF5461"/>
    <w:rsid w:val="655A66CE"/>
    <w:rsid w:val="6D1B59F3"/>
    <w:rsid w:val="73D824BD"/>
    <w:rsid w:val="77BE590F"/>
    <w:rsid w:val="77CB21D9"/>
    <w:rsid w:val="7A037E9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f">
      <v:fill on="t" focussize="0,0"/>
      <v:stroke on="f"/>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1"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character" w:default="1" w:styleId="7">
    <w:name w:val="Default Paragraph Font"/>
    <w:unhideWhenUsed/>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sz w:val="18"/>
      <w:szCs w:val="18"/>
    </w:rPr>
  </w:style>
  <w:style w:type="table" w:styleId="6">
    <w:name w:val="Table Grid"/>
    <w:qFormat/>
    <w:uiPriority w:val="1"/>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header" Target="header4.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12.jpeg"/><Relationship Id="rId2" Type="http://schemas.openxmlformats.org/officeDocument/2006/relationships/settings" Target="settings.xml"/><Relationship Id="rId19" Type="http://schemas.openxmlformats.org/officeDocument/2006/relationships/image" Target="media/image11.jpeg"/><Relationship Id="rId18" Type="http://schemas.openxmlformats.org/officeDocument/2006/relationships/image" Target="media/image10.jpeg"/><Relationship Id="rId17" Type="http://schemas.openxmlformats.org/officeDocument/2006/relationships/image" Target="media/image9.jpeg"/><Relationship Id="rId16" Type="http://schemas.openxmlformats.org/officeDocument/2006/relationships/image" Target="media/image8.jpeg"/><Relationship Id="rId15" Type="http://schemas.openxmlformats.org/officeDocument/2006/relationships/image" Target="media/image7.jpeg"/><Relationship Id="rId14" Type="http://schemas.openxmlformats.org/officeDocument/2006/relationships/image" Target="media/image6.jpeg"/><Relationship Id="rId13" Type="http://schemas.openxmlformats.org/officeDocument/2006/relationships/image" Target="media/image5.jpeg"/><Relationship Id="rId12" Type="http://schemas.openxmlformats.org/officeDocument/2006/relationships/image" Target="media/image4.jpeg"/><Relationship Id="rId11" Type="http://schemas.openxmlformats.org/officeDocument/2006/relationships/image" Target="media/image3.bmp"/><Relationship Id="rId10" Type="http://schemas.openxmlformats.org/officeDocument/2006/relationships/image" Target="media/image2.GI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customShpInfo spid="_x0000_s1027"/>
    <customShpInfo spid="_x0000_s1028"/>
    <customShpInfo spid="_x0000_s1029"/>
    <customShpInfo spid="_x0000_s1030"/>
    <customShpInfo spid="_x0000_s1031"/>
    <customShpInfo spid="_x0000_s1032"/>
    <customShpInfo spid="_x0000_s1043"/>
    <customShpInfo spid="_x0000_s104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31</Pages>
  <Words>5244</Words>
  <Characters>5839</Characters>
  <Lines>82</Lines>
  <Paragraphs>23</Paragraphs>
  <TotalTime>0</TotalTime>
  <ScaleCrop>false</ScaleCrop>
  <LinksUpToDate>false</LinksUpToDate>
  <CharactersWithSpaces>5881</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2021-07-27T05:10:00Z</dcterms:created>
  <dc:creator>王明新TIAD</dc:creator>
  <cp:lastModifiedBy>Administrator</cp:lastModifiedBy>
  <dcterms:modified xsi:type="dcterms:W3CDTF">2022-05-25T03:23:20Z</dcterms:modified>
  <dc:title>_x000F_</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65FA352BAB5146309CB066C800874C19</vt:lpwstr>
  </property>
</Properties>
</file>