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drawing>
          <wp:anchor distT="0" distB="0" distL="114300" distR="114300" simplePos="0" relativeHeight="251659264" behindDoc="1" locked="0" layoutInCell="1" allowOverlap="1">
            <wp:simplePos x="0" y="0"/>
            <wp:positionH relativeFrom="column">
              <wp:posOffset>-1000125</wp:posOffset>
            </wp:positionH>
            <wp:positionV relativeFrom="paragraph">
              <wp:posOffset>-1355090</wp:posOffset>
            </wp:positionV>
            <wp:extent cx="7576820" cy="10796905"/>
            <wp:effectExtent l="0" t="0" r="5080" b="4445"/>
            <wp:wrapNone/>
            <wp:docPr id="1"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wc ga"/>
                    <pic:cNvPicPr>
                      <a:picLocks noChangeAspect="1"/>
                    </pic:cNvPicPr>
                  </pic:nvPicPr>
                  <pic:blipFill>
                    <a:blip r:embed="rId6"/>
                    <a:stretch>
                      <a:fillRect/>
                    </a:stretch>
                  </pic:blipFill>
                  <pic:spPr>
                    <a:xfrm>
                      <a:off x="0" y="0"/>
                      <a:ext cx="7576820" cy="10796905"/>
                    </a:xfrm>
                    <a:prstGeom prst="rect">
                      <a:avLst/>
                    </a:prstGeom>
                    <a:noFill/>
                    <a:ln>
                      <a:noFill/>
                    </a:ln>
                  </pic:spPr>
                </pic:pic>
              </a:graphicData>
            </a:graphic>
          </wp:anchor>
        </w:drawing>
      </w:r>
    </w:p>
    <w:p>
      <w:pPr>
        <w:widowControl/>
        <w:jc w:val="center"/>
        <w:rPr>
          <w:rFonts w:ascii="黑体" w:hAnsi="宋体" w:eastAsia="黑体"/>
          <w:color w:val="002060"/>
          <w:sz w:val="72"/>
          <w:szCs w:val="72"/>
        </w:rPr>
      </w:pPr>
      <w:r>
        <w:pict>
          <v:shape id="文本框 8" o:spid="_x0000_s1026" o:spt="202" type="#_x0000_t202" style="position:absolute;left:0pt;margin-left:-83.1pt;margin-top:43.25pt;height:166.25pt;width:596.2pt;z-index:251660288;mso-width-relative:page;mso-height-relative:page;" filled="f" stroked="f" coordsize="21600,21600" o:gfxdata="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DPDVNsAAAAMAQAADwAAAAAAAAABACAAAAAiAAAAZHJzL2Rvd25yZXYueG1sUEsBAhQA&#10;FAAAAAgAh07iQFwH79G2AQAAWAMAAA4AAAAAAAAAAQAgAAAAKgEAAGRycy9lMm9Eb2MueG1sUEsF&#10;BgAAAAAGAAYAWQEAAFIFA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阜平县公安局</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2871" w:firstLineChars="650"/>
        <w:rPr>
          <w:rFonts w:ascii="楷体" w:hAnsi="楷体" w:eastAsia="楷体" w:cs="楷体"/>
          <w:b/>
          <w:sz w:val="44"/>
          <w:szCs w:val="44"/>
        </w:rPr>
      </w:pPr>
      <w:r>
        <w:rPr>
          <w:rFonts w:hint="eastAsia" w:ascii="楷体" w:hAnsi="楷体" w:eastAsia="楷体" w:cs="楷体"/>
          <w:b/>
          <w:sz w:val="44"/>
          <w:szCs w:val="44"/>
        </w:rPr>
        <w:t>阜平县公安局</w:t>
      </w:r>
    </w:p>
    <w:p>
      <w:pPr>
        <w:widowControl/>
        <w:ind w:firstLine="2871" w:firstLineChars="650"/>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二〇一九年九月</w:t>
      </w:r>
    </w:p>
    <w:p>
      <w:pPr>
        <w:spacing w:beforeLines="200" w:after="0" w:line="1000" w:lineRule="exact"/>
        <w:jc w:val="center"/>
        <w:rPr>
          <w:rFonts w:ascii="黑体" w:eastAsia="黑体"/>
          <w:sz w:val="48"/>
          <w:szCs w:val="48"/>
        </w:rPr>
      </w:pPr>
      <w:r>
        <w:pict>
          <v:group id="组合 179" o:spid="_x0000_s1085" o:spt="203" style="position:absolute;left:0pt;margin-left:-80.8pt;margin-top:39.95pt;height:46.7pt;width:250.05pt;mso-position-vertical-relative:page;z-index:251673600;mso-width-relative:page;mso-height-relative:page;" coordorigin="4551,52615" coordsize="8546,1398203" o:allowoverlap="f" o:gfxdata="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2DzDVNsAAAALAQAADwAA&#10;AAAAAAABACAAAAAiAAAAZHJzL2Rvd25yZXYueG1sUEsBAhQAFAAAAAgAh07iQFkgrum+AgAACwcA&#10;AA4AAAAAAAAAAQAgAAAAKgEAAGRycy9lMm9Eb2MueG1sUEsFBgAAAAAGAAYAWQEAAFoGAAAAAA==&#10;">
            <o:lock v:ext="edit"/>
            <v:rect id="矩形 13" o:spid="_x0000_s1087" o:spt="1" style="position:absolute;left:4551;top:52615;height:1175;width:8546;v-text-anchor:middle;" fillcolor="#96DA9D" filled="t" stroked="f" coordsize="21600,21600" o:gfxdata="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TKl0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86" o:spt="1" style="position:absolute;left:4577;top:52890;height:1123;width:8324;v-text-anchor:middle;" fillcolor="#AD002D" filled="t" stroked="t" coordsize="21600,21600" o:gfxdata="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ho+l7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rPr>
        <w:t>阜平县公安局部门</w:t>
      </w:r>
      <w:r>
        <w:rPr>
          <w:rFonts w:eastAsia="黑体"/>
          <w:sz w:val="32"/>
          <w:szCs w:val="32"/>
        </w:rPr>
        <w:t>2018</w:t>
      </w:r>
      <w:r>
        <w:rPr>
          <w:rFonts w:hint="eastAsia" w:eastAsia="黑体"/>
          <w:sz w:val="32"/>
          <w:szCs w:val="32"/>
        </w:rPr>
        <w:t>年部门决算情况说明</w:t>
      </w:r>
      <w:r>
        <w:pict>
          <v:group id="组合 176" o:spid="_x0000_s1082" o:spt="203" style="position:absolute;left:0pt;margin-left:-80.8pt;margin-top:38.95pt;height:46.7pt;width:222.8pt;mso-position-vertical-relative:page;z-index:251672576;mso-width-relative:page;mso-height-relative:page;" coordorigin="4551,52615" coordsize="8546,1398203" o:gfxdata="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N7NXD7bAAAACwEAAA8AAAAA&#10;AAAAAQAgAAAAIgAAAGRycy9kb3ducmV2LnhtbFBLAQIUABQAAAAIAIdO4kAgI1usvAIAAAsHAAAO&#10;AAAAAAAAAAEAIAAAACoBAABkcnMvZTJvRG9jLnhtbFBLBQYAAAAABgAGAFkBAABYBgAAAAA=&#10;">
            <o:lock v:ext="edit"/>
            <v:rect id="矩形 13" o:spid="_x0000_s1084" o:spt="1" style="position:absolute;left:4551;top:52615;height:1175;width:8546;v-text-anchor:middle;" fillcolor="#96DA9D" filled="t" stroked="f" coordsize="21600,21600" o:gfxdata="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GspU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83" o:spt="1" style="position:absolute;left:4577;top:52890;height:1123;width:8324;v-text-anchor:middle;" fillcolor="#AD002D" filled="t" stroked="t" coordsize="21600,21600" o:gfxdata="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tJmW7sAAADb&#10;AAAADwAAAAAAAAABACAAAAAiAAAAZHJzL2Rvd25yZXYueG1sUEsBAhQAFAAAAAgAh07iQDMvBZ47&#10;AAAAOQAAABAAAAAAAAAAAQAgAAAACgEAAGRycy9zaGFwZXhtbC54bWxQSwUGAAAAAAYABgBbAQAA&#10;tA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drawing>
          <wp:anchor distT="0" distB="0" distL="114300" distR="114300" simplePos="0" relativeHeight="251661312" behindDoc="1" locked="0" layoutInCell="1" allowOverlap="1">
            <wp:simplePos x="0" y="0"/>
            <wp:positionH relativeFrom="column">
              <wp:posOffset>-1024890</wp:posOffset>
            </wp:positionH>
            <wp:positionV relativeFrom="paragraph">
              <wp:posOffset>-1351915</wp:posOffset>
            </wp:positionV>
            <wp:extent cx="7585710" cy="10727055"/>
            <wp:effectExtent l="0" t="0" r="15240" b="17145"/>
            <wp:wrapNone/>
            <wp:docPr id="3"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descr="2"/>
                    <pic:cNvPicPr>
                      <a:picLocks noChangeAspect="1"/>
                    </pic:cNvPicPr>
                  </pic:nvPicPr>
                  <pic:blipFill>
                    <a:blip r:embed="rId7"/>
                    <a:stretch>
                      <a:fillRect/>
                    </a:stretch>
                  </pic:blipFill>
                  <pic:spPr>
                    <a:xfrm>
                      <a:off x="0" y="0"/>
                      <a:ext cx="7585710" cy="10727055"/>
                    </a:xfrm>
                    <a:prstGeom prst="rect">
                      <a:avLst/>
                    </a:prstGeom>
                    <a:noFill/>
                    <a:ln>
                      <a:noFill/>
                    </a:ln>
                  </pic:spPr>
                </pic:pic>
              </a:graphicData>
            </a:graphic>
          </wp:anchor>
        </w:drawing>
      </w:r>
      <w:r>
        <w:pict>
          <v:shape id="文本框 118" o:spid="_x0000_s1081" o:spt="202" type="#_x0000_t202" style="position:absolute;left:0pt;margin-left:-97.3pt;margin-top:259.1pt;height:81.7pt;width:613.65pt;z-index:251670528;mso-width-relative:page;mso-height-relative:page;" filled="f" stroked="f" coordsize="21600,21600" o:gfxdata="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iKw6neAAAADQEAAA8AAAAAAAAAAQAgAAAAIgAAAGRycy9kb3ducmV2Lnht&#10;bFBLAQIUABQAAAAIAIdO4kDtD4JlugEAAFsDAAAOAAAAAAAAAAEAIAAAAC0BAABkcnMvZTJvRG9j&#10;LnhtbFBLBQYAAAAABgAGAFkBAABZBQAAAAA=&#1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w:r>
    </w:p>
    <w:p/>
    <w:p/>
    <w:p/>
    <w:p/>
    <w:p/>
    <w:p/>
    <w:p/>
    <w:p/>
    <w:p/>
    <w:p/>
    <w:p/>
    <w:p/>
    <w:p/>
    <w:p/>
    <w:p/>
    <w:p>
      <w:pPr>
        <w:pStyle w:val="2"/>
        <w:spacing w:before="0" w:after="0" w:line="600" w:lineRule="exact"/>
        <w:jc w:val="left"/>
        <w:rPr>
          <w:rFonts w:ascii="黑体" w:hAnsi="Cambria" w:eastAsia="黑体" w:cs="黑体"/>
          <w:b w:val="0"/>
          <w:bCs w:val="0"/>
          <w:kern w:val="0"/>
          <w:sz w:val="32"/>
          <w:szCs w:val="32"/>
        </w:rPr>
      </w:pPr>
      <w:r>
        <w:pict>
          <v:group id="组合 15" o:spid="_x0000_s1078" o:spt="203" style="position:absolute;left:0pt;margin-left:-80.8pt;margin-top:39.5pt;height:46.7pt;width:245.25pt;mso-position-vertical-relative:page;z-index:251662336;mso-width-relative:page;mso-height-relative:page;" coordorigin="4551,52615" coordsize="8546,1398203" o:gfxdata="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IMnUENsAAAALAQAADwAA&#10;AAAAAAABACAAAAAiAAAAZHJzL2Rvd25yZXYueG1sUEsBAhQAFAAAAAgAh07iQMskJe6+AgAABwcA&#10;AA4AAAAAAAAAAQAgAAAAKgEAAGRycy9lMm9Eb2MueG1sUEsFBgAAAAAGAAYAWQEAAFoGAAAAAA==&#10;">
            <o:lock v:ext="edit"/>
            <v:rect id="矩形 13" o:spid="_x0000_s1080" o:spt="1" style="position:absolute;left:4551;top:52615;height:1175;width:8546;v-text-anchor:middle;" fillcolor="#96DA9D" filled="t" stroked="f" coordsize="21600,21600" o:gfxdata="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2kEFugAAANo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79" o:spt="1" style="position:absolute;left:4577;top:52890;height:1123;width:8324;v-text-anchor:middle;" fillcolor="#AD002D" filled="t" stroked="t" coordsize="21600,21600" o:gfxdata="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rFvzvQAA&#10;ANo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根据《中华人民共和国预算法》《河北省人民政府信息公开条例》《中共河北省委办公厅 河北省人民政府办公厅印发&lt;关于进一步推进预算公开工作的实施意见&gt;的通知》（冀办发【2016】29号）、《河北省财政厅关于印发&lt;河北省省级预算公开办法&gt;的通知》（冀财预【2016】61号）、《河北省预决算公开操作规程实施细则》（冀财预【2016】129号）和政府信息公开制度等相关要求，现将2018年度阜平县公安局决算公开如下：</w:t>
      </w:r>
    </w:p>
    <w:p>
      <w:pPr>
        <w:spacing w:line="360" w:lineRule="auto"/>
        <w:rPr>
          <w:rFonts w:ascii="宋体" w:hAnsi="宋体" w:cs="宋体"/>
          <w:b/>
          <w:bCs/>
          <w:sz w:val="32"/>
          <w:szCs w:val="32"/>
        </w:rPr>
      </w:pPr>
      <w:r>
        <w:rPr>
          <w:rFonts w:hint="eastAsia" w:ascii="宋体" w:hAnsi="宋体" w:cs="宋体"/>
          <w:b/>
          <w:bCs/>
          <w:sz w:val="32"/>
          <w:szCs w:val="32"/>
        </w:rPr>
        <w:t>2018年度部门决算 ☞部门概况</w:t>
      </w:r>
    </w:p>
    <w:p>
      <w:pPr>
        <w:spacing w:line="360" w:lineRule="auto"/>
        <w:rPr>
          <w:rFonts w:ascii="仿宋" w:hAnsi="仿宋" w:eastAsia="仿宋"/>
          <w:sz w:val="32"/>
          <w:szCs w:val="32"/>
        </w:rPr>
      </w:pPr>
      <w:r>
        <w:rPr>
          <w:rFonts w:hint="eastAsia" w:ascii="仿宋_GB2312" w:hAnsi="仿宋" w:eastAsia="仿宋_GB2312" w:cs="仿宋"/>
          <w:b/>
          <w:color w:val="FF0000"/>
          <w:sz w:val="32"/>
          <w:szCs w:val="32"/>
        </w:rPr>
        <w:t xml:space="preserve"> </w:t>
      </w:r>
      <w:r>
        <w:rPr>
          <w:rFonts w:hint="eastAsia" w:ascii="仿宋" w:hAnsi="仿宋" w:eastAsia="仿宋"/>
          <w:sz w:val="32"/>
          <w:szCs w:val="32"/>
        </w:rPr>
        <w:t>一、阜平县公安局部门职责</w:t>
      </w:r>
    </w:p>
    <w:p>
      <w:pPr>
        <w:spacing w:line="580" w:lineRule="exact"/>
        <w:ind w:firstLine="640"/>
        <w:rPr>
          <w:rFonts w:ascii="仿宋" w:hAnsi="仿宋" w:eastAsia="仿宋"/>
          <w:sz w:val="32"/>
          <w:szCs w:val="32"/>
        </w:rPr>
      </w:pPr>
      <w:bookmarkStart w:id="0" w:name="page2"/>
      <w:bookmarkEnd w:id="0"/>
      <w:r>
        <w:rPr>
          <w:rFonts w:hint="eastAsia" w:ascii="仿宋" w:hAnsi="仿宋" w:eastAsia="仿宋"/>
          <w:sz w:val="32"/>
          <w:szCs w:val="32"/>
        </w:rPr>
        <w:t>1、预防、制止和侦查违法犯罪活动；</w:t>
      </w:r>
    </w:p>
    <w:p>
      <w:pPr>
        <w:spacing w:line="580" w:lineRule="exact"/>
        <w:ind w:firstLine="640"/>
        <w:rPr>
          <w:rFonts w:ascii="仿宋" w:hAnsi="仿宋" w:eastAsia="仿宋"/>
          <w:sz w:val="32"/>
          <w:szCs w:val="32"/>
        </w:rPr>
      </w:pPr>
      <w:r>
        <w:rPr>
          <w:rFonts w:hint="eastAsia" w:ascii="仿宋" w:hAnsi="仿宋" w:eastAsia="仿宋"/>
          <w:sz w:val="32"/>
          <w:szCs w:val="32"/>
        </w:rPr>
        <w:t>2、维护社会治安秩序，制止危害社会治安秩序的行为；</w:t>
      </w:r>
    </w:p>
    <w:p>
      <w:pPr>
        <w:spacing w:line="580" w:lineRule="exact"/>
        <w:ind w:firstLine="640"/>
        <w:rPr>
          <w:rFonts w:ascii="仿宋" w:hAnsi="仿宋" w:eastAsia="仿宋"/>
          <w:sz w:val="32"/>
          <w:szCs w:val="32"/>
        </w:rPr>
      </w:pPr>
      <w:r>
        <w:rPr>
          <w:rFonts w:hint="eastAsia" w:ascii="仿宋" w:hAnsi="仿宋" w:eastAsia="仿宋"/>
          <w:sz w:val="32"/>
          <w:szCs w:val="32"/>
        </w:rPr>
        <w:t>3、维护交通安全和交通秩序，处理交通事故；</w:t>
      </w:r>
    </w:p>
    <w:p>
      <w:pPr>
        <w:spacing w:line="580" w:lineRule="exact"/>
        <w:ind w:firstLine="640"/>
        <w:rPr>
          <w:rFonts w:ascii="仿宋" w:hAnsi="仿宋" w:eastAsia="仿宋"/>
          <w:sz w:val="32"/>
          <w:szCs w:val="32"/>
        </w:rPr>
      </w:pPr>
      <w:r>
        <w:rPr>
          <w:rFonts w:hint="eastAsia" w:ascii="仿宋" w:hAnsi="仿宋" w:eastAsia="仿宋"/>
          <w:sz w:val="32"/>
          <w:szCs w:val="32"/>
        </w:rPr>
        <w:t>4、组织、实施消防工作，实行消防监督；</w:t>
      </w:r>
    </w:p>
    <w:p>
      <w:pPr>
        <w:spacing w:line="580" w:lineRule="exact"/>
        <w:ind w:firstLine="640"/>
        <w:rPr>
          <w:rFonts w:ascii="仿宋" w:hAnsi="仿宋" w:eastAsia="仿宋"/>
          <w:sz w:val="32"/>
          <w:szCs w:val="32"/>
        </w:rPr>
      </w:pPr>
      <w:r>
        <w:rPr>
          <w:rFonts w:hint="eastAsia" w:ascii="仿宋" w:hAnsi="仿宋" w:eastAsia="仿宋"/>
          <w:sz w:val="32"/>
          <w:szCs w:val="32"/>
        </w:rPr>
        <w:t>5、管理枪支弹药、管制刀具和易燃易爆、剧毒、放射性等危险物品；</w:t>
      </w:r>
    </w:p>
    <w:p>
      <w:pPr>
        <w:spacing w:line="580" w:lineRule="exact"/>
        <w:ind w:firstLine="640"/>
        <w:rPr>
          <w:rFonts w:ascii="仿宋" w:hAnsi="仿宋" w:eastAsia="仿宋"/>
          <w:sz w:val="32"/>
          <w:szCs w:val="32"/>
        </w:rPr>
      </w:pPr>
      <w:r>
        <w:rPr>
          <w:rFonts w:hint="eastAsia" w:ascii="仿宋" w:hAnsi="仿宋" w:eastAsia="仿宋"/>
          <w:sz w:val="32"/>
          <w:szCs w:val="32"/>
        </w:rPr>
        <w:t>6、对法律、法规规定的特种行业进行管理；</w:t>
      </w:r>
    </w:p>
    <w:p>
      <w:pPr>
        <w:spacing w:line="580" w:lineRule="exact"/>
        <w:ind w:firstLine="640"/>
        <w:rPr>
          <w:rFonts w:ascii="仿宋" w:hAnsi="仿宋" w:eastAsia="仿宋"/>
          <w:sz w:val="32"/>
          <w:szCs w:val="32"/>
        </w:rPr>
      </w:pPr>
      <w:r>
        <w:rPr>
          <w:rFonts w:hint="eastAsia" w:ascii="仿宋" w:hAnsi="仿宋" w:eastAsia="仿宋"/>
          <w:sz w:val="32"/>
          <w:szCs w:val="32"/>
        </w:rPr>
        <w:t>7、警卫国家规定的特定人员，守卫重要的场所和设施；</w:t>
      </w:r>
    </w:p>
    <w:p>
      <w:pPr>
        <w:spacing w:line="580" w:lineRule="exact"/>
        <w:ind w:firstLine="640"/>
        <w:rPr>
          <w:rFonts w:ascii="仿宋" w:hAnsi="仿宋" w:eastAsia="仿宋"/>
          <w:sz w:val="32"/>
          <w:szCs w:val="32"/>
        </w:rPr>
      </w:pPr>
      <w:r>
        <w:rPr>
          <w:rFonts w:hint="eastAsia" w:ascii="仿宋" w:hAnsi="仿宋" w:eastAsia="仿宋"/>
          <w:sz w:val="32"/>
          <w:szCs w:val="32"/>
        </w:rPr>
        <w:t>8、管理集会、游行、示威活动；</w:t>
      </w:r>
    </w:p>
    <w:p>
      <w:pPr>
        <w:spacing w:line="580" w:lineRule="exact"/>
        <w:ind w:firstLine="640"/>
        <w:rPr>
          <w:rFonts w:ascii="仿宋" w:hAnsi="仿宋" w:eastAsia="仿宋"/>
          <w:sz w:val="32"/>
          <w:szCs w:val="32"/>
        </w:rPr>
      </w:pPr>
      <w:r>
        <w:rPr>
          <w:rFonts w:hint="eastAsia" w:ascii="仿宋" w:hAnsi="仿宋" w:eastAsia="仿宋"/>
          <w:sz w:val="32"/>
          <w:szCs w:val="32"/>
        </w:rPr>
        <w:t>9、管理户政、国籍、入境出境事务和外国人在中国境内居留、旅行的有关事务；</w:t>
      </w:r>
    </w:p>
    <w:p>
      <w:pPr>
        <w:spacing w:line="580" w:lineRule="exact"/>
        <w:ind w:firstLine="640"/>
        <w:rPr>
          <w:rFonts w:ascii="仿宋" w:hAnsi="仿宋" w:eastAsia="仿宋"/>
          <w:sz w:val="32"/>
          <w:szCs w:val="32"/>
        </w:rPr>
      </w:pPr>
      <w:r>
        <w:rPr>
          <w:rFonts w:hint="eastAsia" w:ascii="仿宋" w:hAnsi="仿宋" w:eastAsia="仿宋"/>
          <w:sz w:val="32"/>
          <w:szCs w:val="32"/>
        </w:rPr>
        <w:t>10、维护国（边）境地区的治安秩序；</w:t>
      </w:r>
    </w:p>
    <w:p>
      <w:pPr>
        <w:spacing w:line="580" w:lineRule="exact"/>
        <w:ind w:firstLine="640"/>
        <w:rPr>
          <w:rFonts w:ascii="仿宋" w:hAnsi="仿宋" w:eastAsia="仿宋"/>
          <w:sz w:val="32"/>
          <w:szCs w:val="32"/>
        </w:rPr>
      </w:pPr>
      <w:r>
        <w:rPr>
          <w:rFonts w:hint="eastAsia" w:ascii="仿宋" w:hAnsi="仿宋" w:eastAsia="仿宋"/>
          <w:sz w:val="32"/>
          <w:szCs w:val="32"/>
        </w:rPr>
        <w:t>11、对被判处管制、拘役、剥夺政治权利的罪犯和监外执行的罪犯执行刑罚，对被宣告缓刑、假释的罪犯实行监督、考察；</w:t>
      </w:r>
    </w:p>
    <w:p>
      <w:pPr>
        <w:spacing w:line="580" w:lineRule="exact"/>
        <w:ind w:firstLine="640"/>
        <w:rPr>
          <w:rFonts w:ascii="仿宋" w:hAnsi="仿宋" w:eastAsia="仿宋"/>
          <w:sz w:val="32"/>
          <w:szCs w:val="32"/>
        </w:rPr>
      </w:pPr>
      <w:r>
        <w:rPr>
          <w:rFonts w:hint="eastAsia" w:ascii="仿宋" w:hAnsi="仿宋" w:eastAsia="仿宋"/>
          <w:sz w:val="32"/>
          <w:szCs w:val="32"/>
        </w:rPr>
        <w:t>12、监督管理计算机信息系统的安全保护工作；</w:t>
      </w:r>
    </w:p>
    <w:p>
      <w:pPr>
        <w:spacing w:line="580" w:lineRule="exact"/>
        <w:ind w:firstLine="640"/>
        <w:rPr>
          <w:rFonts w:ascii="仿宋" w:hAnsi="仿宋" w:eastAsia="仿宋"/>
          <w:sz w:val="32"/>
          <w:szCs w:val="32"/>
        </w:rPr>
      </w:pPr>
      <w:r>
        <w:rPr>
          <w:rFonts w:hint="eastAsia" w:ascii="仿宋" w:hAnsi="仿宋" w:eastAsia="仿宋"/>
          <w:sz w:val="32"/>
          <w:szCs w:val="32"/>
        </w:rPr>
        <w:t>13、指导和监督国家机关、社会团体、企业事业组织和重点建设工程的治安保卫工作，指导治安保卫委员会等群众性组织的治安防范工作；</w:t>
      </w:r>
    </w:p>
    <w:p>
      <w:pPr>
        <w:spacing w:line="580" w:lineRule="exact"/>
        <w:ind w:firstLine="640"/>
        <w:rPr>
          <w:rFonts w:ascii="仿宋" w:hAnsi="仿宋" w:eastAsia="仿宋"/>
          <w:sz w:val="32"/>
          <w:szCs w:val="32"/>
        </w:rPr>
      </w:pPr>
      <w:r>
        <w:rPr>
          <w:rFonts w:hint="eastAsia" w:ascii="仿宋" w:hAnsi="仿宋" w:eastAsia="仿宋"/>
          <w:sz w:val="32"/>
          <w:szCs w:val="32"/>
        </w:rPr>
        <w:t>14、法律、法规规定的其他职责。</w:t>
      </w:r>
    </w:p>
    <w:p>
      <w:pPr>
        <w:spacing w:line="580" w:lineRule="exact"/>
        <w:ind w:right="2380"/>
        <w:rPr>
          <w:rFonts w:ascii="仿宋" w:hAnsi="仿宋" w:eastAsia="仿宋"/>
          <w:sz w:val="32"/>
          <w:szCs w:val="32"/>
        </w:rPr>
      </w:pPr>
      <w:r>
        <w:rPr>
          <w:rFonts w:hint="eastAsia" w:ascii="仿宋" w:hAnsi="仿宋" w:eastAsia="仿宋"/>
          <w:sz w:val="32"/>
          <w:szCs w:val="32"/>
        </w:rPr>
        <w:t>二、2018年度机构设置</w:t>
      </w:r>
    </w:p>
    <w:p>
      <w:pPr>
        <w:spacing w:line="580" w:lineRule="exact"/>
        <w:ind w:firstLine="640"/>
        <w:rPr>
          <w:rFonts w:ascii="仿宋" w:hAnsi="仿宋" w:eastAsia="仿宋"/>
          <w:sz w:val="32"/>
          <w:szCs w:val="32"/>
        </w:rPr>
      </w:pPr>
      <w:bookmarkStart w:id="1" w:name="page3"/>
      <w:bookmarkEnd w:id="1"/>
      <w:r>
        <w:rPr>
          <w:rFonts w:hint="eastAsia" w:ascii="仿宋" w:hAnsi="仿宋" w:eastAsia="仿宋"/>
          <w:sz w:val="32"/>
          <w:szCs w:val="32"/>
        </w:rPr>
        <w:t>2018年度部门决算汇编范围独立核算单位2个，行政单位录入1个，执行行政单位会计制度，单位预算级次：一级预算单位。公安局包括12个内设机构,其中执法勤务机构9个,指挥中心、国内安全保卫大队、治安管理大队、刑事侦查大队、交通管理大队、缉毒大队、巡警特警大队、网络安全保卫大队、法制大队；综合管理机构3个，政治处、纪检监察室、警务保障室。13个派出机构及监管场所。</w:t>
      </w:r>
    </w:p>
    <w:p>
      <w:pPr>
        <w:spacing w:line="580" w:lineRule="exact"/>
        <w:ind w:firstLine="640"/>
        <w:rPr>
          <w:rFonts w:ascii="仿宋" w:hAnsi="仿宋" w:eastAsia="仿宋"/>
          <w:sz w:val="32"/>
          <w:szCs w:val="32"/>
        </w:rPr>
      </w:pPr>
      <w:r>
        <w:rPr>
          <w:rFonts w:hint="eastAsia" w:ascii="仿宋" w:hAnsi="仿宋" w:eastAsia="仿宋"/>
          <w:sz w:val="32"/>
          <w:szCs w:val="32"/>
        </w:rPr>
        <w:t>政法专项编制146名。股级职数44名（内设机构和监管场所各1名，派出机构各2名）。</w:t>
      </w: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after="0" w:line="560" w:lineRule="exact"/>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w:t>
      </w:r>
      <w:r>
        <w:rPr>
          <w:rFonts w:ascii="仿宋_GB2312" w:hAnsi="Cambria" w:eastAsia="仿宋_GB2312" w:cs="ArialUnicodeMS"/>
          <w:kern w:val="0"/>
          <w:sz w:val="32"/>
          <w:szCs w:val="32"/>
        </w:rPr>
        <w:t xml:space="preserve"> </w:t>
      </w:r>
      <w:r>
        <w:rPr>
          <w:rFonts w:hint="eastAsia" w:ascii="仿宋_GB2312" w:hAnsi="Cambria" w:eastAsia="仿宋_GB2312" w:cs="ArialUnicodeMS"/>
          <w:kern w:val="0"/>
          <w:sz w:val="32"/>
          <w:szCs w:val="32"/>
        </w:rPr>
        <w:t>3个，具体情况如下：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4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44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485"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阜平县公安局</w:t>
            </w:r>
          </w:p>
        </w:tc>
        <w:tc>
          <w:tcPr>
            <w:tcW w:w="244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行政单位</w:t>
            </w:r>
          </w:p>
        </w:tc>
        <w:tc>
          <w:tcPr>
            <w:tcW w:w="266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2</w:t>
            </w:r>
          </w:p>
        </w:tc>
        <w:tc>
          <w:tcPr>
            <w:tcW w:w="3485"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阜平县看守所</w:t>
            </w:r>
          </w:p>
        </w:tc>
        <w:tc>
          <w:tcPr>
            <w:tcW w:w="244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行政单位</w:t>
            </w:r>
          </w:p>
        </w:tc>
        <w:tc>
          <w:tcPr>
            <w:tcW w:w="266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3</w:t>
            </w:r>
          </w:p>
        </w:tc>
        <w:tc>
          <w:tcPr>
            <w:tcW w:w="3485"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阜平县交通管理大队</w:t>
            </w:r>
          </w:p>
        </w:tc>
        <w:tc>
          <w:tcPr>
            <w:tcW w:w="244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行政单位</w:t>
            </w:r>
          </w:p>
        </w:tc>
        <w:tc>
          <w:tcPr>
            <w:tcW w:w="266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after="0" w:line="560" w:lineRule="exact"/>
              <w:ind w:firstLine="560" w:firstLineChars="200"/>
              <w:jc w:val="left"/>
              <w:rPr>
                <w:rFonts w:ascii="仿宋_GB2312" w:hAnsi="Cambria" w:eastAsia="仿宋_GB2312" w:cs="ArialUnicodeMS"/>
                <w:kern w:val="0"/>
                <w:sz w:val="28"/>
                <w:szCs w:val="28"/>
              </w:rPr>
            </w:pPr>
          </w:p>
        </w:tc>
      </w:tr>
    </w:tbl>
    <w:p>
      <w:pPr>
        <w:spacing w:after="0" w:line="560" w:lineRule="exact"/>
        <w:rPr>
          <w:rFonts w:ascii="仿宋_GB2312" w:hAnsi="Cambria" w:eastAsia="仿宋_GB2312" w:cs="ArialUnicodeMS"/>
          <w:kern w:val="0"/>
          <w:sz w:val="32"/>
          <w:szCs w:val="3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drawing>
          <wp:anchor distT="0" distB="0" distL="114300" distR="114300" simplePos="0" relativeHeight="251664384" behindDoc="1" locked="0" layoutInCell="1" allowOverlap="1">
            <wp:simplePos x="0" y="0"/>
            <wp:positionH relativeFrom="column">
              <wp:posOffset>-1023620</wp:posOffset>
            </wp:positionH>
            <wp:positionV relativeFrom="paragraph">
              <wp:posOffset>-1327150</wp:posOffset>
            </wp:positionV>
            <wp:extent cx="7571105" cy="10680065"/>
            <wp:effectExtent l="0" t="0" r="10795" b="6985"/>
            <wp:wrapNone/>
            <wp:docPr id="8"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descr="2"/>
                    <pic:cNvPicPr>
                      <a:picLocks noChangeAspect="1"/>
                    </pic:cNvPicPr>
                  </pic:nvPicPr>
                  <pic:blipFill>
                    <a:blip r:embed="rId7"/>
                    <a:stretch>
                      <a:fillRect/>
                    </a:stretch>
                  </pic:blipFill>
                  <pic:spPr>
                    <a:xfrm>
                      <a:off x="0" y="0"/>
                      <a:ext cx="7571105" cy="10680065"/>
                    </a:xfrm>
                    <a:prstGeom prst="rect">
                      <a:avLst/>
                    </a:prstGeom>
                    <a:noFill/>
                    <a:ln>
                      <a:noFill/>
                    </a:ln>
                  </pic:spPr>
                </pic:pic>
              </a:graphicData>
            </a:graphic>
          </wp:anchor>
        </w:drawing>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77" o:spt="202" type="#_x0000_t202" style="position:absolute;left:0pt;margin-left:-74.2pt;margin-top:120.3pt;height:159.1pt;width:596.2pt;z-index:251663360;mso-width-relative:page;mso-height-relative:page;" filled="f" stroked="f" coordsize="21600,21600" o:gfxdata="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5rPdDcAAAADQEAAA8AAAAAAAAAAQAgAAAAIgAAAGRycy9kb3ducmV2LnhtbFBLAQIU&#10;ABQAAAAIAIdO4kAupLS+tgEAAFkDAAAOAAAAAAAAAAEAIAAAACsBAABkcnMvZTJvRG9jLnhtbFBL&#10;BQYAAAAABgAGAFkBAABTBQ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tbl>
      <w:tblPr>
        <w:tblStyle w:val="13"/>
        <w:tblW w:w="9300" w:type="dxa"/>
        <w:jc w:val="center"/>
        <w:tblLayout w:type="fixed"/>
        <w:tblCellMar>
          <w:top w:w="0" w:type="dxa"/>
          <w:left w:w="0" w:type="dxa"/>
          <w:bottom w:w="0" w:type="dxa"/>
          <w:right w:w="0" w:type="dxa"/>
        </w:tblCellMar>
      </w:tblPr>
      <w:tblGrid>
        <w:gridCol w:w="2700"/>
        <w:gridCol w:w="567"/>
        <w:gridCol w:w="1336"/>
        <w:gridCol w:w="2700"/>
        <w:gridCol w:w="567"/>
        <w:gridCol w:w="1430"/>
      </w:tblGrid>
      <w:tr>
        <w:tblPrEx>
          <w:tblCellMar>
            <w:top w:w="0" w:type="dxa"/>
            <w:left w:w="0" w:type="dxa"/>
            <w:bottom w:w="0" w:type="dxa"/>
            <w:right w:w="0" w:type="dxa"/>
          </w:tblCellMar>
        </w:tblPrEx>
        <w:trPr>
          <w:trHeight w:val="567" w:hRule="atLeast"/>
          <w:jc w:val="center"/>
        </w:trPr>
        <w:tc>
          <w:tcPr>
            <w:tcW w:w="9300" w:type="dxa"/>
            <w:gridSpan w:val="6"/>
            <w:tcBorders>
              <w:top w:val="nil"/>
              <w:left w:val="nil"/>
              <w:bottom w:val="nil"/>
              <w:right w:val="nil"/>
            </w:tcBorders>
            <w:tcMar>
              <w:top w:w="15" w:type="dxa"/>
              <w:left w:w="15" w:type="dxa"/>
              <w:right w:w="15" w:type="dxa"/>
            </w:tcMar>
            <w:vAlign w:val="center"/>
          </w:tcPr>
          <w:p>
            <w:pPr>
              <w:widowControl/>
              <w:spacing w:after="0" w:line="440" w:lineRule="exact"/>
              <w:jc w:val="center"/>
              <w:textAlignment w:val="center"/>
              <w:rPr>
                <w:rFonts w:ascii="黑体" w:hAnsi="宋体" w:eastAsia="黑体" w:cs="黑体"/>
                <w:color w:val="000000"/>
                <w:sz w:val="40"/>
                <w:szCs w:val="40"/>
              </w:rPr>
            </w:pPr>
            <w:r>
              <w:pict>
                <v:group id="组合 10" o:spid="_x0000_s1074" o:spt="203" style="position:absolute;left:0pt;margin-left:-70.25pt;margin-top:-81.85pt;height:41.2pt;width:243.2pt;mso-position-vertical-relative:page;z-index:251674624;mso-width-relative:page;mso-height-relative:page;" coordorigin="4551,52615" coordsize="8546,1398203" o:gfxdata="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DgrxUj3AAAAA0BAAAPAAAAAAAA&#10;AAEAIAAAACIAAABkcnMvZG93bnJldi54bWxQSwECFAAUAAAACACHTuJABHC547kCAAAKBwAADgAA&#10;AAAAAAABACAAAAArAQAAZHJzL2Uyb0RvYy54bWxQSwUGAAAAAAYABgBZAQAAVgYAAAAA&#10;">
                  <o:lock v:ext="edit"/>
                  <v:rect id="矩形 13" o:spid="_x0000_s1076" o:spt="1" style="position:absolute;left:4551;top:52615;height:1175;width:8546;v-text-anchor:middle;" fillcolor="#96DA9D" filled="t" stroked="f" coordsize="21600,21600" o:gfxdata="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DsK7L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75" o:spt="1" style="position:absolute;left:4577;top:52890;height:1123;width:8324;v-text-anchor:middle;" fillcolor="#AD002D" filled="t" stroked="t" coordsize="21600,21600" o:gfxdata="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86bj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收入支出决算总表</w:t>
            </w:r>
          </w:p>
        </w:tc>
      </w:tr>
      <w:tr>
        <w:tblPrEx>
          <w:tblCellMar>
            <w:top w:w="0" w:type="dxa"/>
            <w:left w:w="0" w:type="dxa"/>
            <w:bottom w:w="0" w:type="dxa"/>
            <w:right w:w="0" w:type="dxa"/>
          </w:tblCellMar>
        </w:tblPrEx>
        <w:trPr>
          <w:trHeight w:val="321" w:hRule="atLeast"/>
          <w:jc w:val="center"/>
        </w:trPr>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336"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430" w:type="dxa"/>
            <w:tcBorders>
              <w:top w:val="nil"/>
              <w:left w:val="nil"/>
              <w:bottom w:val="nil"/>
              <w:right w:val="nil"/>
            </w:tcBorders>
            <w:noWrap/>
            <w:tcMar>
              <w:top w:w="15" w:type="dxa"/>
              <w:left w:w="15" w:type="dxa"/>
              <w:right w:w="15" w:type="dxa"/>
            </w:tcMar>
            <w:vAlign w:val="center"/>
          </w:tcPr>
          <w:p>
            <w:pPr>
              <w:widowControl/>
              <w:spacing w:after="0" w:line="240" w:lineRule="exact"/>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01</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418" w:hRule="atLeast"/>
          <w:jc w:val="center"/>
        </w:trPr>
        <w:tc>
          <w:tcPr>
            <w:tcW w:w="2700" w:type="dxa"/>
            <w:tcBorders>
              <w:top w:val="nil"/>
              <w:left w:val="nil"/>
              <w:bottom w:val="nil"/>
              <w:right w:val="nil"/>
            </w:tcBorders>
            <w:tcMar>
              <w:top w:w="15" w:type="dxa"/>
              <w:left w:w="15" w:type="dxa"/>
              <w:right w:w="15" w:type="dxa"/>
            </w:tcMar>
            <w:vAlign w:val="center"/>
          </w:tcPr>
          <w:p>
            <w:pPr>
              <w:widowControl/>
              <w:spacing w:after="0" w:line="240" w:lineRule="exact"/>
              <w:jc w:val="left"/>
              <w:textAlignment w:val="center"/>
              <w:rPr>
                <w:rFonts w:ascii="宋体" w:cs="宋体"/>
                <w:color w:val="000000"/>
                <w:sz w:val="20"/>
                <w:szCs w:val="20"/>
              </w:rPr>
            </w:pPr>
            <w:r>
              <w:rPr>
                <w:rFonts w:hint="eastAsia" w:ascii="宋体" w:hAnsi="宋体" w:cs="宋体"/>
                <w:color w:val="000000"/>
                <w:kern w:val="0"/>
                <w:sz w:val="20"/>
                <w:szCs w:val="20"/>
              </w:rPr>
              <w:t>部门：</w:t>
            </w:r>
          </w:p>
        </w:tc>
        <w:tc>
          <w:tcPr>
            <w:tcW w:w="567"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1336"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567"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1430" w:type="dxa"/>
            <w:tcBorders>
              <w:top w:val="nil"/>
              <w:left w:val="nil"/>
              <w:bottom w:val="nil"/>
              <w:right w:val="nil"/>
            </w:tcBorders>
            <w:noWrap/>
            <w:tcMar>
              <w:top w:w="15" w:type="dxa"/>
              <w:left w:w="15" w:type="dxa"/>
              <w:right w:w="15" w:type="dxa"/>
            </w:tcMar>
            <w:vAlign w:val="center"/>
          </w:tcPr>
          <w:p>
            <w:pPr>
              <w:widowControl/>
              <w:spacing w:after="0" w:line="240" w:lineRule="exact"/>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295" w:hRule="atLeast"/>
          <w:jc w:val="center"/>
        </w:trPr>
        <w:tc>
          <w:tcPr>
            <w:tcW w:w="460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收入</w:t>
            </w:r>
          </w:p>
        </w:tc>
        <w:tc>
          <w:tcPr>
            <w:tcW w:w="4697"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支出</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行次</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金额</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行次</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金额</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rPr>
                <w:rFonts w:ascii="宋体" w:cs="宋体"/>
                <w:color w:val="000000"/>
                <w:sz w:val="20"/>
                <w:szCs w:val="20"/>
              </w:rPr>
            </w:pP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ascii="宋体" w:hAnsi="宋体" w:cs="宋体"/>
                <w:color w:val="000000"/>
                <w:kern w:val="0"/>
                <w:sz w:val="20"/>
                <w:szCs w:val="20"/>
              </w:rPr>
              <w:t>1</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rPr>
                <w:rFonts w:ascii="宋体" w:cs="宋体"/>
                <w:color w:val="000000"/>
                <w:sz w:val="20"/>
                <w:szCs w:val="20"/>
              </w:rPr>
            </w:pP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ascii="宋体" w:hAnsi="宋体" w:cs="宋体"/>
                <w:color w:val="000000"/>
                <w:kern w:val="0"/>
                <w:sz w:val="20"/>
                <w:szCs w:val="20"/>
              </w:rPr>
              <w:t>2</w:t>
            </w:r>
          </w:p>
        </w:tc>
      </w:tr>
      <w:tr>
        <w:tblPrEx>
          <w:tblCellMar>
            <w:top w:w="0" w:type="dxa"/>
            <w:left w:w="0" w:type="dxa"/>
            <w:bottom w:w="0" w:type="dxa"/>
            <w:right w:w="0" w:type="dxa"/>
          </w:tblCellMar>
        </w:tblPrEx>
        <w:trPr>
          <w:trHeight w:val="36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一、财政拨款收入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5572.87</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一、一般公共服务支出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136.99</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二、上级补助收入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二、外交支出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三、事业收入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三、国防支出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四、经营收入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四、公共安全支出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4647.13</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五、附属单位上缴收入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五、教育支出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六、其他收入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六、科学技术支出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七、文化体育与传媒支出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8</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八、社会保障和就业支出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35</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318.5</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9</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九、医疗卫生与计划生育支出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36</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77.087</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10</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十、节能环保支出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37</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十一、城乡社区支出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278.95</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十二、农林水支出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十三、交通运输支出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十四、资源勘探信息等支出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十五、商业服务业等支出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十六、金融支出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十七、援助其他地区支出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18</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十八、国土海洋气象等支出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45</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19</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十九、住房保障支出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46</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114.17</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20</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二十、粮油物资储备支出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47</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二十一、其他支出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二十二、债务还本支出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二十三、债务付息支出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hint="eastAsia" w:ascii="宋体" w:hAnsi="宋体" w:cs="宋体"/>
                <w:color w:val="000000"/>
                <w:kern w:val="0"/>
                <w:sz w:val="20"/>
                <w:szCs w:val="20"/>
              </w:rPr>
              <w:t>本年收入合计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18"/>
                <w:szCs w:val="18"/>
              </w:rPr>
            </w:pPr>
            <w:r>
              <w:rPr>
                <w:rFonts w:hint="eastAsia" w:ascii="宋体" w:cs="宋体"/>
                <w:color w:val="000000"/>
                <w:sz w:val="20"/>
                <w:szCs w:val="20"/>
              </w:rPr>
              <w:t>5572.87</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hint="eastAsia" w:ascii="宋体" w:hAnsi="宋体" w:cs="宋体"/>
                <w:color w:val="000000"/>
                <w:kern w:val="0"/>
                <w:sz w:val="20"/>
                <w:szCs w:val="20"/>
              </w:rPr>
              <w:t>本年支出合计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5572.87</w:t>
            </w:r>
          </w:p>
        </w:tc>
      </w:tr>
      <w:tr>
        <w:tblPrEx>
          <w:tblCellMar>
            <w:top w:w="0" w:type="dxa"/>
            <w:left w:w="0" w:type="dxa"/>
            <w:bottom w:w="0" w:type="dxa"/>
            <w:right w:w="0" w:type="dxa"/>
          </w:tblCellMar>
        </w:tblPrEx>
        <w:trPr>
          <w:trHeight w:val="38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用事业基金弥补收支差额</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结余分配</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年初结转和结余</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年末结转和结余</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tbl>
            <w:tblPr>
              <w:tblStyle w:val="13"/>
              <w:tblW w:w="9300" w:type="dxa"/>
              <w:jc w:val="center"/>
              <w:tblLayout w:type="fixed"/>
              <w:tblCellMar>
                <w:top w:w="0" w:type="dxa"/>
                <w:left w:w="0" w:type="dxa"/>
                <w:bottom w:w="0" w:type="dxa"/>
                <w:right w:w="0" w:type="dxa"/>
              </w:tblCellMar>
            </w:tblPr>
            <w:tblGrid>
              <w:gridCol w:w="9300"/>
            </w:tblGrid>
            <w:tr>
              <w:tblPrEx>
                <w:tblCellMar>
                  <w:top w:w="0" w:type="dxa"/>
                  <w:left w:w="0" w:type="dxa"/>
                  <w:bottom w:w="0" w:type="dxa"/>
                  <w:right w:w="0" w:type="dxa"/>
                </w:tblCellMar>
              </w:tblPrEx>
              <w:trPr>
                <w:trHeight w:val="337" w:hRule="atLeast"/>
                <w:jc w:val="center"/>
              </w:trPr>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5572.87</w:t>
                  </w:r>
                </w:p>
              </w:tc>
            </w:tr>
          </w:tbl>
          <w:p>
            <w:pPr>
              <w:widowControl/>
              <w:spacing w:after="0" w:line="200" w:lineRule="exact"/>
              <w:jc w:val="right"/>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tbl>
            <w:tblPr>
              <w:tblStyle w:val="13"/>
              <w:tblW w:w="9300" w:type="dxa"/>
              <w:jc w:val="center"/>
              <w:tblLayout w:type="fixed"/>
              <w:tblCellMar>
                <w:top w:w="0" w:type="dxa"/>
                <w:left w:w="0" w:type="dxa"/>
                <w:bottom w:w="0" w:type="dxa"/>
                <w:right w:w="0" w:type="dxa"/>
              </w:tblCellMar>
            </w:tblPr>
            <w:tblGrid>
              <w:gridCol w:w="9300"/>
            </w:tblGrid>
            <w:tr>
              <w:tblPrEx>
                <w:tblCellMar>
                  <w:top w:w="0" w:type="dxa"/>
                  <w:left w:w="0" w:type="dxa"/>
                  <w:bottom w:w="0" w:type="dxa"/>
                  <w:right w:w="0" w:type="dxa"/>
                </w:tblCellMar>
              </w:tblPrEx>
              <w:trPr>
                <w:trHeight w:val="337" w:hRule="atLeast"/>
                <w:jc w:val="center"/>
              </w:trPr>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rPr>
                    <w:t>5572.87</w:t>
                  </w:r>
                </w:p>
              </w:tc>
            </w:tr>
          </w:tbl>
          <w:p>
            <w:pPr>
              <w:widowControl/>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417" w:hRule="atLeast"/>
          <w:jc w:val="center"/>
        </w:trPr>
        <w:tc>
          <w:tcPr>
            <w:tcW w:w="9300" w:type="dxa"/>
            <w:gridSpan w:val="6"/>
            <w:tcBorders>
              <w:top w:val="nil"/>
              <w:left w:val="nil"/>
              <w:bottom w:val="nil"/>
              <w:right w:val="nil"/>
            </w:tcBorders>
            <w:tcMar>
              <w:top w:w="15" w:type="dxa"/>
              <w:left w:w="15" w:type="dxa"/>
              <w:right w:w="15" w:type="dxa"/>
            </w:tcMar>
            <w:vAlign w:val="center"/>
          </w:tcPr>
          <w:p>
            <w:pPr>
              <w:widowControl/>
              <w:spacing w:after="0" w:line="200" w:lineRule="exact"/>
              <w:jc w:val="left"/>
              <w:textAlignment w:val="center"/>
              <w:rPr>
                <w:rFonts w:ascii="宋体" w:cs="宋体"/>
                <w:color w:val="000000"/>
                <w:szCs w:val="21"/>
              </w:rPr>
            </w:pPr>
            <w:r>
              <w:rPr>
                <w:rFonts w:hint="eastAsia" w:ascii="宋体" w:hAnsi="宋体" w:cs="宋体"/>
                <w:color w:val="000000"/>
                <w:kern w:val="0"/>
                <w:szCs w:val="21"/>
              </w:rPr>
              <w:t>注：本表反映部门本年度的总收支和年末结转结余情况。</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widowControl/>
        <w:spacing w:after="0" w:line="240" w:lineRule="auto"/>
        <w:jc w:val="left"/>
        <w:rPr>
          <w:rFonts w:ascii="仿宋_GB2312" w:hAnsi="宋体" w:eastAsia="仿宋_GB2312"/>
          <w:b/>
          <w:sz w:val="28"/>
          <w:szCs w:val="28"/>
          <w:highlight w:val="yellow"/>
        </w:rPr>
        <w:sectPr>
          <w:pgSz w:w="16838" w:h="11906" w:orient="landscape"/>
          <w:pgMar w:top="1588" w:right="2098" w:bottom="1474" w:left="1984" w:header="851" w:footer="992" w:gutter="0"/>
          <w:cols w:space="0" w:num="1"/>
          <w:docGrid w:type="lines" w:linePitch="312" w:charSpace="0"/>
        </w:sectPr>
      </w:pPr>
      <w:r>
        <w:rPr>
          <w:rFonts w:hint="eastAsia" w:ascii="仿宋_GB2312" w:hAnsi="宋体" w:eastAsia="仿宋_GB2312"/>
          <w:b/>
          <w:sz w:val="28"/>
          <w:szCs w:val="28"/>
          <w:highlight w:val="yellow"/>
        </w:rPr>
        <w:drawing>
          <wp:inline distT="0" distB="0" distL="114300" distR="114300">
            <wp:extent cx="8094345" cy="5798820"/>
            <wp:effectExtent l="0" t="0" r="1905" b="11430"/>
            <wp:docPr id="72" name="图片 4" descr="QQ截图2021052015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 descr="QQ截图20210520150733"/>
                    <pic:cNvPicPr>
                      <a:picLocks noChangeAspect="1"/>
                    </pic:cNvPicPr>
                  </pic:nvPicPr>
                  <pic:blipFill>
                    <a:blip r:embed="rId8"/>
                    <a:stretch>
                      <a:fillRect/>
                    </a:stretch>
                  </pic:blipFill>
                  <pic:spPr>
                    <a:xfrm>
                      <a:off x="0" y="0"/>
                      <a:ext cx="8094345" cy="5798820"/>
                    </a:xfrm>
                    <a:prstGeom prst="rect">
                      <a:avLst/>
                    </a:prstGeom>
                    <a:noFill/>
                    <a:ln>
                      <a:noFill/>
                    </a:ln>
                  </pic:spPr>
                </pic:pic>
              </a:graphicData>
            </a:graphic>
          </wp:inline>
        </w:drawing>
      </w:r>
    </w:p>
    <w:p>
      <w:pPr>
        <w:widowControl/>
        <w:spacing w:after="0" w:line="240" w:lineRule="auto"/>
        <w:ind w:firstLine="562" w:firstLineChars="200"/>
        <w:jc w:val="left"/>
        <w:rPr>
          <w:rFonts w:ascii="仿宋_GB2312" w:hAnsi="宋体" w:eastAsia="仿宋_GB2312"/>
          <w:b/>
          <w:sz w:val="28"/>
          <w:szCs w:val="28"/>
          <w:highlight w:val="yellow"/>
        </w:rPr>
        <w:sectPr>
          <w:pgSz w:w="16838" w:h="11906" w:orient="landscape"/>
          <w:pgMar w:top="1588" w:right="2098" w:bottom="1474" w:left="1984" w:header="851" w:footer="992" w:gutter="0"/>
          <w:cols w:space="0" w:num="1"/>
          <w:docGrid w:type="lines" w:linePitch="312" w:charSpace="0"/>
        </w:sectPr>
      </w:pPr>
      <w:r>
        <w:rPr>
          <w:rFonts w:hint="eastAsia" w:ascii="仿宋_GB2312" w:hAnsi="宋体" w:eastAsia="仿宋_GB2312"/>
          <w:b/>
          <w:sz w:val="28"/>
          <w:szCs w:val="28"/>
          <w:highlight w:val="yellow"/>
        </w:rPr>
        <w:drawing>
          <wp:inline distT="0" distB="0" distL="114300" distR="114300">
            <wp:extent cx="7490460" cy="5997575"/>
            <wp:effectExtent l="0" t="0" r="15240" b="3175"/>
            <wp:docPr id="73" name="图片 5" descr="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 descr="支出决算表"/>
                    <pic:cNvPicPr>
                      <a:picLocks noChangeAspect="1"/>
                    </pic:cNvPicPr>
                  </pic:nvPicPr>
                  <pic:blipFill>
                    <a:blip r:embed="rId9"/>
                    <a:stretch>
                      <a:fillRect/>
                    </a:stretch>
                  </pic:blipFill>
                  <pic:spPr>
                    <a:xfrm>
                      <a:off x="0" y="0"/>
                      <a:ext cx="7490460" cy="5997575"/>
                    </a:xfrm>
                    <a:prstGeom prst="rect">
                      <a:avLst/>
                    </a:prstGeom>
                    <a:noFill/>
                    <a:ln>
                      <a:noFill/>
                    </a:ln>
                  </pic:spPr>
                </pic:pic>
              </a:graphicData>
            </a:graphic>
          </wp:inline>
        </w:drawing>
      </w:r>
    </w:p>
    <w:tbl>
      <w:tblPr>
        <w:tblStyle w:val="13"/>
        <w:tblW w:w="8940" w:type="dxa"/>
        <w:tblInd w:w="0" w:type="dxa"/>
        <w:tblLayout w:type="fixed"/>
        <w:tblCellMar>
          <w:top w:w="0" w:type="dxa"/>
          <w:left w:w="0" w:type="dxa"/>
          <w:bottom w:w="0" w:type="dxa"/>
          <w:right w:w="0" w:type="dxa"/>
        </w:tblCellMar>
      </w:tblPr>
      <w:tblGrid>
        <w:gridCol w:w="1717"/>
        <w:gridCol w:w="745"/>
        <w:gridCol w:w="325"/>
        <w:gridCol w:w="850"/>
        <w:gridCol w:w="2124"/>
        <w:gridCol w:w="191"/>
        <w:gridCol w:w="360"/>
        <w:gridCol w:w="650"/>
        <w:gridCol w:w="226"/>
        <w:gridCol w:w="599"/>
        <w:gridCol w:w="277"/>
        <w:gridCol w:w="876"/>
      </w:tblGrid>
      <w:tr>
        <w:tblPrEx>
          <w:tblCellMar>
            <w:top w:w="0" w:type="dxa"/>
            <w:left w:w="0" w:type="dxa"/>
            <w:bottom w:w="0" w:type="dxa"/>
            <w:right w:w="0" w:type="dxa"/>
          </w:tblCellMar>
        </w:tblPrEx>
        <w:trPr>
          <w:trHeight w:val="152" w:hRule="atLeast"/>
        </w:trPr>
        <w:tc>
          <w:tcPr>
            <w:tcW w:w="8940" w:type="dxa"/>
            <w:gridSpan w:val="12"/>
            <w:tcBorders>
              <w:top w:val="nil"/>
              <w:left w:val="nil"/>
              <w:bottom w:val="nil"/>
              <w:right w:val="nil"/>
            </w:tcBorders>
            <w:noWrap/>
            <w:tcMar>
              <w:top w:w="15" w:type="dxa"/>
              <w:left w:w="15" w:type="dxa"/>
              <w:right w:w="15" w:type="dxa"/>
            </w:tcMar>
            <w:vAlign w:val="center"/>
          </w:tcPr>
          <w:p>
            <w:pPr>
              <w:widowControl/>
              <w:spacing w:after="0" w:line="240" w:lineRule="atLeast"/>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财政拨款收入支出决</w:t>
            </w:r>
            <w:r>
              <w:pict>
                <v:group id="组合 43" o:spid="_x0000_s1071" o:spt="203" style="position:absolute;left:0pt;margin-left:-80.9pt;margin-top:-81.1pt;height:41.2pt;width:243.2pt;mso-position-vertical-relative:page;z-index:251675648;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ByaUsrcAAAADQEA&#10;AA8AAAAAAAAAAQAgAAAAIgAAAGRycy9kb3ducmV2LnhtbFBLAQIUABQAAAAIAIdO4kA5Y0TzwQIA&#10;AAoHAAAOAAAAAAAAAAEAIAAAACsBAABkcnMvZTJvRG9jLnhtbFBLBQYAAAAABgAGAFkBAABeBgAA&#10;AAA=&#10;">
                  <o:lock v:ext="edit"/>
                  <v:rect id="矩形 13" o:spid="_x0000_s1073" o:spt="1" style="position:absolute;left:4551;top:52615;height:1175;width:8546;v-text-anchor:middle;" fillcolor="#96DA9D" filled="t" stroked="f" coordsize="21600,21600" o:gfxdata="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OmUm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72" o:spt="1" style="position:absolute;left:4577;top:52890;height:1123;width:8324;v-text-anchor:middle;" fillcolor="#AD002D" filled="t" stroked="t" coordsize="21600,21600" o:gfxdata="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fyCX28AAAA&#10;2wAAAA8AAAAAAAAAAQAgAAAAIgAAAGRycy9kb3ducmV2LnhtbFBLAQIUABQAAAAIAIdO4kAzLwWe&#10;OwAAADkAAAAQAAAAAAAAAAEAIAAAAAsBAABkcnMvc2hhcGV4bWwueG1sUEsFBgAAAAAGAAYAWwEA&#10;ALUDA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算总表</w:t>
            </w:r>
          </w:p>
        </w:tc>
      </w:tr>
      <w:tr>
        <w:tblPrEx>
          <w:tblCellMar>
            <w:top w:w="0" w:type="dxa"/>
            <w:left w:w="0" w:type="dxa"/>
            <w:bottom w:w="0" w:type="dxa"/>
            <w:right w:w="0" w:type="dxa"/>
          </w:tblCellMar>
        </w:tblPrEx>
        <w:trPr>
          <w:trHeight w:val="90" w:hRule="atLeast"/>
        </w:trPr>
        <w:tc>
          <w:tcPr>
            <w:tcW w:w="171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74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32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2974"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55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65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825"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153" w:type="dxa"/>
            <w:gridSpan w:val="2"/>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04</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152" w:hRule="atLeast"/>
        </w:trPr>
        <w:tc>
          <w:tcPr>
            <w:tcW w:w="6312" w:type="dxa"/>
            <w:gridSpan w:val="7"/>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20"/>
                <w:szCs w:val="20"/>
              </w:rPr>
            </w:pPr>
            <w:r>
              <w:rPr>
                <w:rFonts w:hint="eastAsia" w:ascii="宋体" w:hAnsi="宋体" w:cs="宋体"/>
                <w:color w:val="000000"/>
                <w:kern w:val="0"/>
                <w:sz w:val="20"/>
                <w:szCs w:val="20"/>
              </w:rPr>
              <w:t>部门：</w:t>
            </w:r>
          </w:p>
        </w:tc>
        <w:tc>
          <w:tcPr>
            <w:tcW w:w="65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978" w:type="dxa"/>
            <w:gridSpan w:val="4"/>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90" w:hRule="atLeast"/>
        </w:trPr>
        <w:tc>
          <w:tcPr>
            <w:tcW w:w="2787"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收</w:t>
            </w:r>
            <w:r>
              <w:rPr>
                <w:rFonts w:ascii="宋体" w:hAnsi="宋体" w:cs="宋体"/>
                <w:color w:val="000000"/>
                <w:kern w:val="0"/>
                <w:sz w:val="20"/>
                <w:szCs w:val="20"/>
              </w:rPr>
              <w:t xml:space="preserve">     </w:t>
            </w:r>
            <w:r>
              <w:rPr>
                <w:rFonts w:hint="eastAsia" w:ascii="宋体" w:hAnsi="宋体" w:cs="宋体"/>
                <w:color w:val="000000"/>
                <w:kern w:val="0"/>
                <w:sz w:val="20"/>
                <w:szCs w:val="20"/>
              </w:rPr>
              <w:t>入</w:t>
            </w:r>
          </w:p>
        </w:tc>
        <w:tc>
          <w:tcPr>
            <w:tcW w:w="6153" w:type="dxa"/>
            <w:gridSpan w:val="9"/>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支</w:t>
            </w:r>
            <w:r>
              <w:rPr>
                <w:rFonts w:ascii="宋体" w:hAnsi="宋体" w:cs="宋体"/>
                <w:color w:val="000000"/>
                <w:kern w:val="0"/>
                <w:sz w:val="20"/>
                <w:szCs w:val="20"/>
              </w:rPr>
              <w:t xml:space="preserve">     </w:t>
            </w:r>
            <w:r>
              <w:rPr>
                <w:rFonts w:hint="eastAsia" w:ascii="宋体" w:hAnsi="宋体" w:cs="宋体"/>
                <w:color w:val="000000"/>
                <w:kern w:val="0"/>
                <w:sz w:val="20"/>
                <w:szCs w:val="20"/>
              </w:rPr>
              <w:t>出</w:t>
            </w:r>
          </w:p>
        </w:tc>
      </w:tr>
      <w:tr>
        <w:tblPrEx>
          <w:tblCellMar>
            <w:top w:w="0" w:type="dxa"/>
            <w:left w:w="0" w:type="dxa"/>
            <w:bottom w:w="0" w:type="dxa"/>
            <w:right w:w="0" w:type="dxa"/>
          </w:tblCellMar>
        </w:tblPrEx>
        <w:trPr>
          <w:trHeight w:val="17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项目</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行次</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金额</w:t>
            </w: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项目</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行次</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合计</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一般公共预算财政拨款</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政府性基金预算财政拨款</w:t>
            </w: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一、一般公共预算财政拨款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5293.93</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一、一般公共服务支出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136.99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136.99</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二、政府性基金预算财政拨款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278.95</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二、外交支出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三、国防支出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四、公共安全支出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4647.13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4647.13</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五、教育支出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六、科学技术支出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七、文化体育与传媒支出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八、社会保障和就业支出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318.57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318.57</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9</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6"/>
                <w:szCs w:val="16"/>
              </w:rPr>
              <w:t>九、医疗卫生与计划生育支出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77.08</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77.08</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10</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十、节能环保支出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38</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十一、城乡社区支出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278.95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278.95</w:t>
            </w: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十二、农林水支出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十三、交通运输支出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十四、资源勘探信息等支出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十五、商业服务业等支出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十六、金融支出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十七、援助其他地区支出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十八、国土海洋气象等支出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19</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十九、住房保障支出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114.17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114.17</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20</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二十、粮油物资储备支出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48</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二十一、其他支出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二十二、债务还本支出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二十三、债务付息支出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本年收入合计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5572.87</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本年支出合计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5572.87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5293.93</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278.95</w:t>
            </w: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年初财政拨款结转和结余</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年末财政拨款结转和结余</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ascii="宋体" w:hAnsi="宋体" w:cs="宋体"/>
                <w:color w:val="000000"/>
                <w:kern w:val="0"/>
                <w:sz w:val="18"/>
                <w:szCs w:val="18"/>
              </w:rPr>
              <w:t xml:space="preserve">  </w:t>
            </w:r>
            <w:r>
              <w:rPr>
                <w:rFonts w:hint="eastAsia" w:ascii="宋体" w:hAnsi="宋体" w:cs="宋体"/>
                <w:color w:val="000000"/>
                <w:kern w:val="0"/>
                <w:sz w:val="18"/>
                <w:szCs w:val="18"/>
              </w:rPr>
              <w:t>一般公共预算财政拨款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ascii="宋体" w:hAnsi="宋体" w:cs="宋体"/>
                <w:color w:val="000000"/>
                <w:kern w:val="0"/>
                <w:sz w:val="18"/>
                <w:szCs w:val="18"/>
              </w:rPr>
              <w:t xml:space="preserve">  </w:t>
            </w:r>
            <w:r>
              <w:rPr>
                <w:rFonts w:hint="eastAsia" w:ascii="宋体" w:hAnsi="宋体" w:cs="宋体"/>
                <w:color w:val="000000"/>
                <w:kern w:val="0"/>
                <w:sz w:val="18"/>
                <w:szCs w:val="18"/>
              </w:rPr>
              <w:t>政府性基金预算财政拨款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总计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5572.87</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总计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5572.87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5293.93</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rPr>
              <w:t>278.95</w:t>
            </w:r>
          </w:p>
        </w:tc>
      </w:tr>
      <w:tr>
        <w:tblPrEx>
          <w:tblCellMar>
            <w:top w:w="0" w:type="dxa"/>
            <w:left w:w="0" w:type="dxa"/>
            <w:bottom w:w="0" w:type="dxa"/>
            <w:right w:w="0" w:type="dxa"/>
          </w:tblCellMar>
        </w:tblPrEx>
        <w:trPr>
          <w:trHeight w:val="155" w:hRule="atLeast"/>
        </w:trPr>
        <w:tc>
          <w:tcPr>
            <w:tcW w:w="8940" w:type="dxa"/>
            <w:gridSpan w:val="12"/>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注：本表反映部门本年度一般公共预算财政拨款和政府性基金预算财政拨款的总收支和年末结转结余情况。</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widowControl/>
        <w:spacing w:after="0" w:line="240" w:lineRule="auto"/>
        <w:jc w:val="left"/>
        <w:rPr>
          <w:rFonts w:ascii="仿宋_GB2312" w:hAnsi="宋体" w:eastAsia="仿宋_GB2312"/>
          <w:b/>
          <w:sz w:val="28"/>
          <w:szCs w:val="28"/>
          <w:highlight w:val="yellow"/>
        </w:rPr>
        <w:sectPr>
          <w:pgSz w:w="16838" w:h="11906" w:orient="landscape"/>
          <w:pgMar w:top="1588" w:right="2098" w:bottom="1474" w:left="1984" w:header="851" w:footer="992" w:gutter="0"/>
          <w:cols w:space="0" w:num="1"/>
          <w:docGrid w:type="lines" w:linePitch="312" w:charSpace="0"/>
        </w:sectPr>
      </w:pPr>
      <w:r>
        <w:rPr>
          <w:rFonts w:hint="eastAsia" w:ascii="仿宋_GB2312" w:hAnsi="宋体" w:eastAsia="仿宋_GB2312"/>
          <w:b/>
          <w:sz w:val="28"/>
          <w:szCs w:val="28"/>
          <w:highlight w:val="yellow"/>
        </w:rPr>
        <w:drawing>
          <wp:inline distT="0" distB="0" distL="114300" distR="114300">
            <wp:extent cx="5639435" cy="5614035"/>
            <wp:effectExtent l="0" t="0" r="18415" b="5715"/>
            <wp:docPr id="74" name="图片 6" descr="一般公共预算财政拨款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 descr="一般公共预算财政拨款支出决算表"/>
                    <pic:cNvPicPr>
                      <a:picLocks noChangeAspect="1"/>
                    </pic:cNvPicPr>
                  </pic:nvPicPr>
                  <pic:blipFill>
                    <a:blip r:embed="rId10"/>
                    <a:stretch>
                      <a:fillRect/>
                    </a:stretch>
                  </pic:blipFill>
                  <pic:spPr>
                    <a:xfrm>
                      <a:off x="0" y="0"/>
                      <a:ext cx="5639435" cy="5614035"/>
                    </a:xfrm>
                    <a:prstGeom prst="rect">
                      <a:avLst/>
                    </a:prstGeom>
                    <a:noFill/>
                    <a:ln>
                      <a:noFill/>
                    </a:ln>
                  </pic:spPr>
                </pic:pic>
              </a:graphicData>
            </a:graphic>
          </wp:inline>
        </w:drawing>
      </w:r>
    </w:p>
    <w:p>
      <w:pPr>
        <w:widowControl/>
        <w:spacing w:after="0" w:line="240" w:lineRule="auto"/>
        <w:jc w:val="left"/>
        <w:rPr>
          <w:rFonts w:ascii="仿宋_GB2312" w:hAnsi="宋体" w:eastAsia="仿宋_GB2312"/>
          <w:b/>
          <w:sz w:val="28"/>
          <w:szCs w:val="28"/>
          <w:highlight w:val="yellow"/>
        </w:rPr>
        <w:sectPr>
          <w:pgSz w:w="16838" w:h="11906" w:orient="landscape"/>
          <w:pgMar w:top="1588" w:right="2098" w:bottom="1474" w:left="1984" w:header="851" w:footer="992" w:gutter="0"/>
          <w:cols w:space="0" w:num="1"/>
          <w:docGrid w:type="lines" w:linePitch="312" w:charSpace="0"/>
        </w:sectPr>
      </w:pPr>
      <w:r>
        <w:rPr>
          <w:rFonts w:hint="eastAsia" w:ascii="仿宋_GB2312" w:hAnsi="宋体" w:eastAsia="仿宋_GB2312"/>
          <w:b/>
          <w:sz w:val="28"/>
          <w:szCs w:val="28"/>
          <w:highlight w:val="yellow"/>
        </w:rPr>
        <w:drawing>
          <wp:inline distT="0" distB="0" distL="114300" distR="114300">
            <wp:extent cx="8787130" cy="5446395"/>
            <wp:effectExtent l="0" t="0" r="13970" b="1905"/>
            <wp:docPr id="75" name="图片 7" descr="一般公共预算财政拨款基本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 descr="一般公共预算财政拨款基本支出决算表"/>
                    <pic:cNvPicPr>
                      <a:picLocks noChangeAspect="1"/>
                    </pic:cNvPicPr>
                  </pic:nvPicPr>
                  <pic:blipFill>
                    <a:blip r:embed="rId11"/>
                    <a:stretch>
                      <a:fillRect/>
                    </a:stretch>
                  </pic:blipFill>
                  <pic:spPr>
                    <a:xfrm>
                      <a:off x="0" y="0"/>
                      <a:ext cx="8787130" cy="5446395"/>
                    </a:xfrm>
                    <a:prstGeom prst="rect">
                      <a:avLst/>
                    </a:prstGeom>
                    <a:noFill/>
                    <a:ln>
                      <a:noFill/>
                    </a:ln>
                  </pic:spPr>
                </pic:pic>
              </a:graphicData>
            </a:graphic>
          </wp:inline>
        </w:drawing>
      </w:r>
    </w:p>
    <w:tbl>
      <w:tblPr>
        <w:tblStyle w:val="13"/>
        <w:tblW w:w="8800" w:type="dxa"/>
        <w:jc w:val="center"/>
        <w:tblLayout w:type="fixed"/>
        <w:tblCellMar>
          <w:top w:w="0" w:type="dxa"/>
          <w:left w:w="0" w:type="dxa"/>
          <w:bottom w:w="0" w:type="dxa"/>
          <w:right w:w="0" w:type="dxa"/>
        </w:tblCellMar>
      </w:tblPr>
      <w:tblGrid>
        <w:gridCol w:w="1158"/>
        <w:gridCol w:w="1527"/>
        <w:gridCol w:w="1528"/>
        <w:gridCol w:w="1530"/>
        <w:gridCol w:w="1530"/>
        <w:gridCol w:w="1527"/>
      </w:tblGrid>
      <w:tr>
        <w:tblPrEx>
          <w:tblCellMar>
            <w:top w:w="0" w:type="dxa"/>
            <w:left w:w="0" w:type="dxa"/>
            <w:bottom w:w="0" w:type="dxa"/>
            <w:right w:w="0" w:type="dxa"/>
          </w:tblCellMar>
        </w:tblPrEx>
        <w:trPr>
          <w:trHeight w:val="584" w:hRule="atLeast"/>
          <w:jc w:val="center"/>
        </w:trPr>
        <w:tc>
          <w:tcPr>
            <w:tcW w:w="8800" w:type="dxa"/>
            <w:gridSpan w:val="6"/>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w:t>
            </w:r>
            <w:r>
              <w:pict>
                <v:group id="组合 52" o:spid="_x0000_s1068" o:spt="203" style="position:absolute;left:0pt;margin-left:-82.75pt;margin-top:-81.1pt;height:41.2pt;width:243.2pt;mso-position-vertical-relative:page;z-index:251676672;mso-width-relative:page;mso-height-relative:page;" coordorigin="4551,52615" coordsize="8546,1398203" o:gfxdata="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AcJ5uI3AAAAA0BAAAPAAAAAAAA&#10;AAEAIAAAACIAAABkcnMvZG93bnJldi54bWxQSwECFAAUAAAACACHTuJAGjUsM7kCAAAKBwAADgAA&#10;AAAAAAABACAAAAArAQAAZHJzL2Uyb0RvYy54bWxQSwUGAAAAAAYABgBZAQAAVgYAAAAA&#10;">
                  <o:lock v:ext="edit"/>
                  <v:rect id="矩形 13" o:spid="_x0000_s1070" o:spt="1" style="position:absolute;left:4551;top:52615;height:1175;width:8546;v-text-anchor:middle;" fillcolor="#96DA9D" filled="t" stroked="f" coordsize="21600,21600" o:gfxdata="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tmaMr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69" o:spt="1" style="position:absolute;left:4577;top:52890;height:1123;width:8324;v-text-anchor:middle;" fillcolor="#AD002D" filled="t" stroked="t" coordsize="21600,21600" o:gfxdata="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xE2Pb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三公”经费支出决算表</w:t>
            </w:r>
          </w:p>
        </w:tc>
      </w:tr>
      <w:tr>
        <w:tblPrEx>
          <w:tblCellMar>
            <w:top w:w="0" w:type="dxa"/>
            <w:left w:w="0" w:type="dxa"/>
            <w:bottom w:w="0" w:type="dxa"/>
            <w:right w:w="0" w:type="dxa"/>
          </w:tblCellMar>
        </w:tblPrEx>
        <w:trPr>
          <w:trHeight w:val="347" w:hRule="atLeast"/>
          <w:jc w:val="center"/>
        </w:trPr>
        <w:tc>
          <w:tcPr>
            <w:tcW w:w="1158"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8"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07</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347" w:hRule="atLeast"/>
          <w:jc w:val="center"/>
        </w:trPr>
        <w:tc>
          <w:tcPr>
            <w:tcW w:w="7273" w:type="dxa"/>
            <w:gridSpan w:val="5"/>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 w:val="20"/>
                <w:szCs w:val="20"/>
              </w:rPr>
            </w:pPr>
            <w:r>
              <w:rPr>
                <w:rFonts w:hint="eastAsia" w:ascii="宋体" w:hAnsi="宋体" w:cs="宋体"/>
                <w:color w:val="000000"/>
                <w:kern w:val="0"/>
                <w:sz w:val="20"/>
                <w:szCs w:val="20"/>
              </w:rPr>
              <w:t>部门：</w:t>
            </w: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482"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预算数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86"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hint="default" w:ascii="宋体" w:eastAsia="宋体" w:cs="宋体"/>
                <w:color w:val="000000"/>
                <w:szCs w:val="21"/>
                <w:lang w:val="en-US" w:eastAsia="zh-CN"/>
              </w:rPr>
            </w:pPr>
            <w:r>
              <w:rPr>
                <w:rFonts w:hint="eastAsia" w:ascii="宋体" w:cs="宋体"/>
                <w:color w:val="000000"/>
                <w:szCs w:val="21"/>
              </w:rPr>
              <w:t>92</w:t>
            </w:r>
            <w:r>
              <w:rPr>
                <w:rFonts w:hint="eastAsia" w:ascii="宋体" w:cs="宋体"/>
                <w:color w:val="000000"/>
                <w:szCs w:val="21"/>
                <w:lang w:val="en-US" w:eastAsia="zh-CN"/>
              </w:rPr>
              <w:t>.00</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hint="default" w:ascii="宋体" w:eastAsia="宋体" w:cs="宋体"/>
                <w:color w:val="000000"/>
                <w:szCs w:val="21"/>
                <w:lang w:val="en-US" w:eastAsia="zh-CN"/>
              </w:rPr>
            </w:pPr>
            <w:r>
              <w:rPr>
                <w:rFonts w:hint="eastAsia" w:ascii="宋体" w:cs="宋体"/>
                <w:color w:val="000000"/>
                <w:szCs w:val="21"/>
              </w:rPr>
              <w:t>92</w:t>
            </w:r>
            <w:r>
              <w:rPr>
                <w:rFonts w:hint="eastAsia" w:ascii="宋体" w:cs="宋体"/>
                <w:color w:val="000000"/>
                <w:szCs w:val="21"/>
                <w:lang w:val="en-US" w:eastAsia="zh-CN"/>
              </w:rPr>
              <w:t>.00</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hint="default" w:ascii="宋体" w:eastAsia="宋体" w:cs="宋体"/>
                <w:color w:val="000000"/>
                <w:szCs w:val="21"/>
                <w:lang w:val="en-US" w:eastAsia="zh-CN"/>
              </w:rPr>
            </w:pPr>
            <w:r>
              <w:rPr>
                <w:rFonts w:hint="eastAsia" w:ascii="宋体" w:cs="宋体"/>
                <w:color w:val="000000"/>
                <w:szCs w:val="21"/>
              </w:rPr>
              <w:t>92</w:t>
            </w:r>
            <w:r>
              <w:rPr>
                <w:rFonts w:hint="eastAsia" w:ascii="宋体" w:cs="宋体"/>
                <w:color w:val="000000"/>
                <w:szCs w:val="21"/>
                <w:lang w:val="en-US" w:eastAsia="zh-CN"/>
              </w:rPr>
              <w:t>.00</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498"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72"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7</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8</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9</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10</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11</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12</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rPr>
              <w:t>67.49</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rPr>
              <w:t>67.49</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rPr>
              <w:t>67.49</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782" w:hRule="atLeast"/>
          <w:jc w:val="center"/>
        </w:trPr>
        <w:tc>
          <w:tcPr>
            <w:tcW w:w="8800" w:type="dxa"/>
            <w:gridSpan w:val="6"/>
            <w:tcBorders>
              <w:top w:val="nil"/>
              <w:left w:val="nil"/>
              <w:bottom w:val="nil"/>
              <w:right w:val="nil"/>
            </w:tcBorders>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注：本表反映部门本年度“三公”经费支出预决算情况。其中：预算数为“三公”经费年初预算数，决算数是包括当年一般公共预算财政拨款和以前年度结转资金安排的实际支出。</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11784" w:type="dxa"/>
        <w:tblInd w:w="0" w:type="dxa"/>
        <w:tblLayout w:type="fixed"/>
        <w:tblCellMar>
          <w:top w:w="0" w:type="dxa"/>
          <w:left w:w="0" w:type="dxa"/>
          <w:bottom w:w="0" w:type="dxa"/>
          <w:right w:w="0" w:type="dxa"/>
        </w:tblCellMar>
      </w:tblPr>
      <w:tblGrid>
        <w:gridCol w:w="296"/>
        <w:gridCol w:w="191"/>
        <w:gridCol w:w="479"/>
        <w:gridCol w:w="669"/>
        <w:gridCol w:w="2767"/>
        <w:gridCol w:w="624"/>
        <w:gridCol w:w="708"/>
        <w:gridCol w:w="910"/>
        <w:gridCol w:w="1112"/>
        <w:gridCol w:w="1787"/>
        <w:gridCol w:w="2241"/>
      </w:tblGrid>
      <w:tr>
        <w:tblPrEx>
          <w:tblCellMar>
            <w:top w:w="0" w:type="dxa"/>
            <w:left w:w="0" w:type="dxa"/>
            <w:bottom w:w="0" w:type="dxa"/>
            <w:right w:w="0" w:type="dxa"/>
          </w:tblCellMar>
        </w:tblPrEx>
        <w:trPr>
          <w:trHeight w:val="707" w:hRule="atLeast"/>
        </w:trPr>
        <w:tc>
          <w:tcPr>
            <w:tcW w:w="11784" w:type="dxa"/>
            <w:gridSpan w:val="11"/>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center"/>
              <w:textAlignment w:val="center"/>
              <w:rPr>
                <w:rFonts w:ascii="黑体" w:hAnsi="宋体" w:eastAsia="黑体" w:cs="黑体"/>
                <w:color w:val="000000"/>
                <w:sz w:val="36"/>
                <w:szCs w:val="36"/>
              </w:rPr>
            </w:pPr>
            <w:r>
              <w:rPr>
                <w:rFonts w:hint="eastAsia" w:ascii="黑体" w:hAnsi="宋体" w:eastAsia="黑体" w:cs="黑体"/>
                <w:color w:val="000000"/>
                <w:kern w:val="0"/>
                <w:sz w:val="36"/>
                <w:szCs w:val="36"/>
              </w:rPr>
              <w:t>政府性基金预算财政拨款</w:t>
            </w:r>
            <w:r>
              <w:pict>
                <v:group id="组合 55" o:spid="_x0000_s1065" o:spt="203" style="position:absolute;left:0pt;margin-left:-80.9pt;margin-top:-81.1pt;height:41.2pt;width:243.2pt;mso-position-vertical-relative:page;z-index:251677696;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ByaUsrcAAAADQEAAA8AAAAA&#10;AAAAAQAgAAAAIgAAAGRycy9kb3ducmV2LnhtbFBLAQIUABQAAAAIAIdO4kDm8ivUuwIAAAoHAAAO&#10;AAAAAAAAAAEAIAAAACsBAABkcnMvZTJvRG9jLnhtbFBLBQYAAAAABgAGAFkBAABYBgAAAAA=&#10;">
                  <o:lock v:ext="edit"/>
                  <v:rect id="矩形 13" o:spid="_x0000_s1067" o:spt="1" style="position:absolute;left:4551;top:52615;height:1175;width:8546;v-text-anchor:middle;" fillcolor="#96DA9D" filled="t" stroked="f" coordsize="21600,21600" o:gfxdata="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gsERb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66" o:spt="1" style="position:absolute;left:4577;top:52890;height:1123;width:8324;v-text-anchor:middle;" fillcolor="#AD002D" filled="t" stroked="t" coordsize="21600,21600" o:gfxdata="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NmlaW/&#10;AAAA2wAAAA8AAAAAAAAAAQAgAAAAIgAAAGRycy9kb3ducmV2LnhtbFBLAQIUABQAAAAIAIdO4kAz&#10;LwWeOwAAADkAAAAQAAAAAAAAAAEAIAAAAA4BAABkcnMvc2hhcGV4bWwueG1sUEsFBgAAAAAGAAYA&#10;WwEAALgDA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36"/>
                <w:szCs w:val="36"/>
              </w:rPr>
              <w:t>收入支出决算表</w:t>
            </w:r>
          </w:p>
        </w:tc>
      </w:tr>
      <w:tr>
        <w:tblPrEx>
          <w:tblCellMar>
            <w:top w:w="0" w:type="dxa"/>
            <w:left w:w="0" w:type="dxa"/>
            <w:bottom w:w="0" w:type="dxa"/>
            <w:right w:w="0" w:type="dxa"/>
          </w:tblCellMar>
        </w:tblPrEx>
        <w:trPr>
          <w:trHeight w:val="315" w:hRule="atLeast"/>
        </w:trPr>
        <w:tc>
          <w:tcPr>
            <w:tcW w:w="296"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91"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479"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669"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3391" w:type="dxa"/>
            <w:gridSpan w:val="2"/>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708"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910"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12"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787"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2241"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08</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411" w:hRule="atLeast"/>
        </w:trPr>
        <w:tc>
          <w:tcPr>
            <w:tcW w:w="5026" w:type="dxa"/>
            <w:gridSpan w:val="6"/>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部门：</w:t>
            </w:r>
          </w:p>
        </w:tc>
        <w:tc>
          <w:tcPr>
            <w:tcW w:w="708"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910"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12"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4028" w:type="dxa"/>
            <w:gridSpan w:val="2"/>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24" w:hRule="atLeast"/>
        </w:trPr>
        <w:tc>
          <w:tcPr>
            <w:tcW w:w="4402"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624"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年初结转和结余</w:t>
            </w:r>
          </w:p>
        </w:tc>
        <w:tc>
          <w:tcPr>
            <w:tcW w:w="708"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本年收入</w:t>
            </w:r>
          </w:p>
        </w:tc>
        <w:tc>
          <w:tcPr>
            <w:tcW w:w="3809"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本年支出</w:t>
            </w:r>
          </w:p>
        </w:tc>
        <w:tc>
          <w:tcPr>
            <w:tcW w:w="2241"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年末结转和结余</w:t>
            </w:r>
          </w:p>
        </w:tc>
      </w:tr>
      <w:tr>
        <w:tblPrEx>
          <w:tblCellMar>
            <w:top w:w="0" w:type="dxa"/>
            <w:left w:w="0" w:type="dxa"/>
            <w:bottom w:w="0" w:type="dxa"/>
            <w:right w:w="0" w:type="dxa"/>
          </w:tblCellMar>
        </w:tblPrEx>
        <w:trPr>
          <w:trHeight w:val="324" w:hRule="atLeast"/>
        </w:trPr>
        <w:tc>
          <w:tcPr>
            <w:tcW w:w="966"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3436" w:type="dxa"/>
            <w:gridSpan w:val="2"/>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62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70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91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11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基本支出</w:t>
            </w:r>
          </w:p>
        </w:tc>
        <w:tc>
          <w:tcPr>
            <w:tcW w:w="1787"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项目支出</w:t>
            </w:r>
          </w:p>
        </w:tc>
        <w:tc>
          <w:tcPr>
            <w:tcW w:w="224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3436" w:type="dxa"/>
            <w:gridSpan w:val="2"/>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62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70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910"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1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787"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224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12" w:hRule="atLeast"/>
        </w:trPr>
        <w:tc>
          <w:tcPr>
            <w:tcW w:w="96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3436" w:type="dxa"/>
            <w:gridSpan w:val="2"/>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62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70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910"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1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787"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224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4402"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62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70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9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1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787"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22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24" w:hRule="atLeast"/>
        </w:trPr>
        <w:tc>
          <w:tcPr>
            <w:tcW w:w="4402"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62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70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9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11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787"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22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cs="宋体"/>
                <w:color w:val="000000"/>
                <w:sz w:val="18"/>
                <w:szCs w:val="18"/>
              </w:rPr>
            </w:pPr>
            <w:r>
              <w:rPr>
                <w:rFonts w:hint="eastAsia" w:ascii="宋体" w:hAnsi="宋体" w:cs="宋体"/>
                <w:color w:val="000000"/>
                <w:kern w:val="0"/>
                <w:sz w:val="18"/>
                <w:szCs w:val="18"/>
              </w:rPr>
              <w:t>212</w:t>
            </w:r>
          </w:p>
        </w:tc>
        <w:tc>
          <w:tcPr>
            <w:tcW w:w="343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cs="宋体"/>
                <w:color w:val="000000"/>
                <w:sz w:val="18"/>
                <w:szCs w:val="18"/>
              </w:rPr>
            </w:pPr>
            <w:r>
              <w:rPr>
                <w:rFonts w:hint="eastAsia" w:ascii="宋体" w:hAnsi="宋体" w:cs="宋体"/>
                <w:color w:val="000000"/>
                <w:kern w:val="0"/>
                <w:sz w:val="18"/>
                <w:szCs w:val="18"/>
              </w:rPr>
              <w:t>城乡社区支出</w:t>
            </w:r>
          </w:p>
        </w:tc>
        <w:tc>
          <w:tcPr>
            <w:tcW w:w="62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708"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b/>
                <w:color w:val="000000"/>
                <w:kern w:val="0"/>
                <w:sz w:val="22"/>
                <w:szCs w:val="22"/>
              </w:rPr>
              <w:t>278.95</w:t>
            </w:r>
          </w:p>
        </w:tc>
        <w:tc>
          <w:tcPr>
            <w:tcW w:w="9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b/>
                <w:color w:val="000000"/>
                <w:kern w:val="0"/>
                <w:sz w:val="22"/>
                <w:szCs w:val="22"/>
              </w:rPr>
              <w:t>278.95</w:t>
            </w:r>
          </w:p>
        </w:tc>
        <w:tc>
          <w:tcPr>
            <w:tcW w:w="111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cs="宋体"/>
                <w:color w:val="000000"/>
                <w:szCs w:val="21"/>
              </w:rPr>
            </w:pPr>
          </w:p>
        </w:tc>
        <w:tc>
          <w:tcPr>
            <w:tcW w:w="1787"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b/>
                <w:color w:val="000000"/>
                <w:kern w:val="0"/>
                <w:sz w:val="22"/>
                <w:szCs w:val="22"/>
              </w:rPr>
              <w:t>278.95</w:t>
            </w:r>
          </w:p>
        </w:tc>
        <w:tc>
          <w:tcPr>
            <w:tcW w:w="22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cs="宋体"/>
                <w:color w:val="000000"/>
                <w:sz w:val="18"/>
                <w:szCs w:val="18"/>
              </w:rPr>
            </w:pPr>
            <w:r>
              <w:rPr>
                <w:rFonts w:hint="eastAsia" w:ascii="宋体" w:hAnsi="宋体" w:cs="宋体"/>
                <w:color w:val="000000"/>
                <w:kern w:val="0"/>
                <w:sz w:val="18"/>
                <w:szCs w:val="18"/>
              </w:rPr>
              <w:t>21208</w:t>
            </w:r>
          </w:p>
        </w:tc>
        <w:tc>
          <w:tcPr>
            <w:tcW w:w="343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cs="宋体"/>
                <w:color w:val="000000"/>
                <w:sz w:val="18"/>
                <w:szCs w:val="18"/>
              </w:rPr>
            </w:pPr>
            <w:r>
              <w:rPr>
                <w:rFonts w:hint="eastAsia" w:ascii="宋体" w:hAnsi="宋体" w:cs="宋体"/>
                <w:color w:val="000000"/>
                <w:kern w:val="0"/>
                <w:sz w:val="18"/>
                <w:szCs w:val="18"/>
              </w:rPr>
              <w:t>国有土地使用权出让收入及对应专项债务收入安排的支出</w:t>
            </w:r>
          </w:p>
        </w:tc>
        <w:tc>
          <w:tcPr>
            <w:tcW w:w="62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708"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278.95</w:t>
            </w:r>
          </w:p>
        </w:tc>
        <w:tc>
          <w:tcPr>
            <w:tcW w:w="9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278.95</w:t>
            </w:r>
          </w:p>
        </w:tc>
        <w:tc>
          <w:tcPr>
            <w:tcW w:w="111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cs="宋体"/>
                <w:color w:val="000000"/>
                <w:szCs w:val="21"/>
              </w:rPr>
            </w:pPr>
          </w:p>
        </w:tc>
        <w:tc>
          <w:tcPr>
            <w:tcW w:w="1787"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278.95</w:t>
            </w:r>
          </w:p>
        </w:tc>
        <w:tc>
          <w:tcPr>
            <w:tcW w:w="22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cs="宋体"/>
                <w:color w:val="000000"/>
                <w:sz w:val="18"/>
                <w:szCs w:val="18"/>
              </w:rPr>
            </w:pPr>
            <w:r>
              <w:rPr>
                <w:rFonts w:hint="eastAsia" w:ascii="宋体" w:hAnsi="宋体" w:cs="宋体"/>
                <w:color w:val="000000"/>
                <w:kern w:val="0"/>
                <w:sz w:val="18"/>
                <w:szCs w:val="18"/>
              </w:rPr>
              <w:t>2120899</w:t>
            </w:r>
          </w:p>
        </w:tc>
        <w:tc>
          <w:tcPr>
            <w:tcW w:w="343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cs="宋体"/>
                <w:color w:val="000000"/>
                <w:sz w:val="18"/>
                <w:szCs w:val="18"/>
              </w:rPr>
            </w:pPr>
            <w:r>
              <w:rPr>
                <w:rFonts w:hint="eastAsia" w:ascii="宋体" w:hAnsi="宋体" w:cs="宋体"/>
                <w:color w:val="000000"/>
                <w:kern w:val="0"/>
                <w:sz w:val="18"/>
                <w:szCs w:val="18"/>
              </w:rPr>
              <w:t xml:space="preserve">  其他国有土地使用权出让收入安排的支出</w:t>
            </w:r>
          </w:p>
        </w:tc>
        <w:tc>
          <w:tcPr>
            <w:tcW w:w="62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708"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278.95</w:t>
            </w:r>
          </w:p>
        </w:tc>
        <w:tc>
          <w:tcPr>
            <w:tcW w:w="9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278.95</w:t>
            </w:r>
          </w:p>
        </w:tc>
        <w:tc>
          <w:tcPr>
            <w:tcW w:w="111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cs="宋体"/>
                <w:color w:val="000000"/>
                <w:szCs w:val="21"/>
              </w:rPr>
            </w:pPr>
          </w:p>
        </w:tc>
        <w:tc>
          <w:tcPr>
            <w:tcW w:w="1787"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278.95</w:t>
            </w:r>
          </w:p>
        </w:tc>
        <w:tc>
          <w:tcPr>
            <w:tcW w:w="22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343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62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70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9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1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787"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22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343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62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70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9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1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787"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22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11784" w:type="dxa"/>
            <w:gridSpan w:val="11"/>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注：本表反映部门本年度政府性基金预算财政拨款收入、支出及结转和结余情况。</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sectPr>
          <w:pgSz w:w="16838" w:h="11906" w:orient="landscape"/>
          <w:pgMar w:top="1588" w:right="2098" w:bottom="1474" w:left="1984" w:header="851" w:footer="992" w:gutter="0"/>
          <w:cols w:space="0" w:num="1"/>
          <w:docGrid w:type="lines" w:linePitch="312" w:charSpace="0"/>
        </w:sectPr>
      </w:pPr>
    </w:p>
    <w:tbl>
      <w:tblPr>
        <w:tblStyle w:val="13"/>
        <w:tblW w:w="8800" w:type="dxa"/>
        <w:tblInd w:w="0" w:type="dxa"/>
        <w:tblLayout w:type="fixed"/>
        <w:tblCellMar>
          <w:top w:w="0" w:type="dxa"/>
          <w:left w:w="0" w:type="dxa"/>
          <w:bottom w:w="0" w:type="dxa"/>
          <w:right w:w="0" w:type="dxa"/>
        </w:tblCellMar>
      </w:tblPr>
      <w:tblGrid>
        <w:gridCol w:w="442"/>
        <w:gridCol w:w="208"/>
        <w:gridCol w:w="504"/>
        <w:gridCol w:w="274"/>
        <w:gridCol w:w="894"/>
        <w:gridCol w:w="783"/>
        <w:gridCol w:w="252"/>
        <w:gridCol w:w="1646"/>
        <w:gridCol w:w="359"/>
        <w:gridCol w:w="1539"/>
        <w:gridCol w:w="1899"/>
      </w:tblGrid>
      <w:tr>
        <w:tblPrEx>
          <w:tblCellMar>
            <w:top w:w="0" w:type="dxa"/>
            <w:left w:w="0" w:type="dxa"/>
            <w:bottom w:w="0" w:type="dxa"/>
            <w:right w:w="0" w:type="dxa"/>
          </w:tblCellMar>
        </w:tblPrEx>
        <w:trPr>
          <w:trHeight w:val="656" w:hRule="atLeast"/>
        </w:trPr>
        <w:tc>
          <w:tcPr>
            <w:tcW w:w="8800" w:type="dxa"/>
            <w:gridSpan w:val="11"/>
            <w:tcBorders>
              <w:top w:val="nil"/>
              <w:left w:val="nil"/>
              <w:bottom w:val="nil"/>
              <w:right w:val="nil"/>
            </w:tcBorders>
            <w:noWrap/>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国有资本经营预算财政拨</w:t>
            </w:r>
            <w:r>
              <w:pict>
                <v:group id="组合 58" o:spid="_x0000_s1062" o:spt="203" style="position:absolute;left:0pt;margin-left:-80.9pt;margin-top:-81.1pt;height:41.2pt;width:243.2pt;mso-position-vertical-relative:page;z-index:251678720;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ByaUsrcAAAADQEAAA8AAAAA&#10;AAAAAQAgAAAAIgAAAGRycy9kb3ducmV2LnhtbFBLAQIUABQAAAAIAIdO4kC4/oO6uwIAAAoHAAAO&#10;AAAAAAAAAAEAIAAAACsBAABkcnMvZTJvRG9jLnhtbFBLBQYAAAAABgAGAFkBAABYBgAAAAA=&#10;">
                  <o:lock v:ext="edit"/>
                  <v:rect id="矩形 13" o:spid="_x0000_s1064" o:spt="1" style="position:absolute;left:4551;top:52615;height:1175;width:8546;v-text-anchor:middle;" fillcolor="#96DA9D" filled="t" stroked="f" coordsize="21600,21600" o:gfxdata="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nyn3b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63" o:spt="1" style="position:absolute;left:4577;top:52890;height:1123;width:8324;v-text-anchor:middle;" fillcolor="#AD002D" filled="t" stroked="t" coordsize="21600,21600" o:gfxdata="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7QL0r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5" w:hRule="atLeast"/>
        </w:trPr>
        <w:tc>
          <w:tcPr>
            <w:tcW w:w="442"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8"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04"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168"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03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0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noWrap/>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公开</w:t>
            </w:r>
            <w:r>
              <w:rPr>
                <w:rFonts w:ascii="宋体" w:hAnsi="宋体" w:cs="宋体"/>
                <w:color w:val="000000"/>
                <w:kern w:val="0"/>
                <w:sz w:val="22"/>
                <w:szCs w:val="22"/>
              </w:rPr>
              <w:t>09</w:t>
            </w:r>
            <w:r>
              <w:rPr>
                <w:rFonts w:hint="eastAsia" w:ascii="宋体" w:hAnsi="宋体" w:cs="宋体"/>
                <w:color w:val="000000"/>
                <w:kern w:val="0"/>
                <w:sz w:val="22"/>
                <w:szCs w:val="22"/>
              </w:rPr>
              <w:t>表</w:t>
            </w:r>
          </w:p>
        </w:tc>
      </w:tr>
      <w:tr>
        <w:tblPrEx>
          <w:tblCellMar>
            <w:top w:w="0" w:type="dxa"/>
            <w:left w:w="0" w:type="dxa"/>
            <w:bottom w:w="0" w:type="dxa"/>
            <w:right w:w="0" w:type="dxa"/>
          </w:tblCellMar>
        </w:tblPrEx>
        <w:trPr>
          <w:trHeight w:val="335" w:hRule="atLeast"/>
        </w:trPr>
        <w:tc>
          <w:tcPr>
            <w:tcW w:w="3357" w:type="dxa"/>
            <w:gridSpan w:val="7"/>
            <w:tcBorders>
              <w:top w:val="nil"/>
              <w:left w:val="nil"/>
              <w:bottom w:val="nil"/>
              <w:right w:val="nil"/>
            </w:tcBorders>
            <w:noWrap/>
            <w:tcMar>
              <w:top w:w="15" w:type="dxa"/>
              <w:left w:w="15" w:type="dxa"/>
              <w:right w:w="15" w:type="dxa"/>
            </w:tcMar>
            <w:vAlign w:val="center"/>
          </w:tcPr>
          <w:p>
            <w:pPr>
              <w:widowControl/>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编制单位：</w:t>
            </w:r>
          </w:p>
        </w:tc>
        <w:tc>
          <w:tcPr>
            <w:tcW w:w="200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noWrap/>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358" w:hRule="atLeast"/>
        </w:trPr>
        <w:tc>
          <w:tcPr>
            <w:tcW w:w="3105"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科目</w:t>
            </w:r>
          </w:p>
        </w:tc>
        <w:tc>
          <w:tcPr>
            <w:tcW w:w="5695" w:type="dxa"/>
            <w:gridSpan w:val="5"/>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本年支出</w:t>
            </w:r>
          </w:p>
        </w:tc>
      </w:tr>
      <w:tr>
        <w:tblPrEx>
          <w:tblCellMar>
            <w:top w:w="0" w:type="dxa"/>
            <w:left w:w="0" w:type="dxa"/>
            <w:bottom w:w="0" w:type="dxa"/>
            <w:right w:w="0" w:type="dxa"/>
          </w:tblCellMar>
        </w:tblPrEx>
        <w:trPr>
          <w:trHeight w:val="82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功能分类科目编码</w:t>
            </w: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科目名称</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小计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基本支出</w:t>
            </w: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项目支出</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栏次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1</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2</w:t>
            </w: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3</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合计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58" w:hRule="atLeast"/>
        </w:trPr>
        <w:tc>
          <w:tcPr>
            <w:tcW w:w="8800" w:type="dxa"/>
            <w:gridSpan w:val="11"/>
            <w:tcBorders>
              <w:top w:val="nil"/>
              <w:left w:val="nil"/>
              <w:bottom w:val="nil"/>
              <w:right w:val="nil"/>
            </w:tcBorders>
            <w:tcMar>
              <w:top w:w="15" w:type="dxa"/>
              <w:left w:w="15" w:type="dxa"/>
              <w:right w:w="15" w:type="dxa"/>
            </w:tcMar>
            <w:vAlign w:val="center"/>
          </w:tcPr>
          <w:p>
            <w:pPr>
              <w:widowControl/>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注：本表反映部门本年度国有资本经营预算财政拨款支出情况。本部门本年度无相关支出情况，按要求以空表列示。</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940" w:type="dxa"/>
        <w:tblInd w:w="0" w:type="dxa"/>
        <w:tblLayout w:type="fixed"/>
        <w:tblCellMar>
          <w:top w:w="0" w:type="dxa"/>
          <w:left w:w="0" w:type="dxa"/>
          <w:bottom w:w="0" w:type="dxa"/>
          <w:right w:w="0" w:type="dxa"/>
        </w:tblCellMar>
      </w:tblPr>
      <w:tblGrid>
        <w:gridCol w:w="1901"/>
        <w:gridCol w:w="1203"/>
        <w:gridCol w:w="790"/>
        <w:gridCol w:w="362"/>
        <w:gridCol w:w="911"/>
        <w:gridCol w:w="241"/>
        <w:gridCol w:w="1032"/>
        <w:gridCol w:w="120"/>
        <w:gridCol w:w="1154"/>
        <w:gridCol w:w="1226"/>
      </w:tblGrid>
      <w:tr>
        <w:tblPrEx>
          <w:tblCellMar>
            <w:top w:w="0" w:type="dxa"/>
            <w:left w:w="0" w:type="dxa"/>
            <w:bottom w:w="0" w:type="dxa"/>
            <w:right w:w="0" w:type="dxa"/>
          </w:tblCellMar>
        </w:tblPrEx>
        <w:trPr>
          <w:trHeight w:val="635" w:hRule="atLeast"/>
        </w:trPr>
        <w:tc>
          <w:tcPr>
            <w:tcW w:w="8940" w:type="dxa"/>
            <w:gridSpan w:val="10"/>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政府采购</w:t>
            </w:r>
            <w:r>
              <w:pict>
                <v:group id="组合 61" o:spid="_x0000_s1059" o:spt="203" style="position:absolute;left:0pt;margin-left:-80.9pt;margin-top:-81.1pt;height:41.2pt;width:243.2pt;mso-position-vertical-relative:page;z-index:251679744;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HJpSytwAAAANAQAADwAA&#10;AAAAAAABACAAAAAiAAAAZHJzL2Rvd25yZXYueG1sUEsBAhQAFAAAAAgAh07iQFbvAae9AgAACgcA&#10;AA4AAAAAAAAAAQAgAAAAKwEAAGRycy9lMm9Eb2MueG1sUEsFBgAAAAAGAAYAWQEAAFoGAAAAAA==&#10;">
                  <o:lock v:ext="edit"/>
                  <v:rect id="矩形 13" o:spid="_x0000_s1061" o:spt="1" style="position:absolute;left:4551;top:52615;height:1175;width:8546;v-text-anchor:middle;" fillcolor="#96DA9D" filled="t" stroked="f" coordsize="21600,21600" o:gfxdata="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Mzr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60" o:spt="1" style="position:absolute;left:4577;top:52890;height:1123;width:8324;v-text-anchor:middle;" fillcolor="#AD002D" filled="t" stroked="t" coordsize="21600,21600" o:gfxdata="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W+Db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情况表</w:t>
            </w:r>
          </w:p>
        </w:tc>
      </w:tr>
      <w:tr>
        <w:tblPrEx>
          <w:tblCellMar>
            <w:top w:w="0" w:type="dxa"/>
            <w:left w:w="0" w:type="dxa"/>
            <w:bottom w:w="0" w:type="dxa"/>
            <w:right w:w="0" w:type="dxa"/>
          </w:tblCellMar>
        </w:tblPrEx>
        <w:trPr>
          <w:trHeight w:val="326" w:hRule="atLeast"/>
        </w:trPr>
        <w:tc>
          <w:tcPr>
            <w:tcW w:w="1901"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03"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79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2500" w:type="dxa"/>
            <w:gridSpan w:val="3"/>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10</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360" w:hRule="atLeast"/>
        </w:trPr>
        <w:tc>
          <w:tcPr>
            <w:tcW w:w="6440" w:type="dxa"/>
            <w:gridSpan w:val="7"/>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编制单位：</w:t>
            </w:r>
          </w:p>
        </w:tc>
        <w:tc>
          <w:tcPr>
            <w:tcW w:w="2500" w:type="dxa"/>
            <w:gridSpan w:val="3"/>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09" w:hRule="atLeast"/>
        </w:trPr>
        <w:tc>
          <w:tcPr>
            <w:tcW w:w="1901"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7039" w:type="dxa"/>
            <w:gridSpan w:val="9"/>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采购计划金额</w:t>
            </w:r>
          </w:p>
        </w:tc>
      </w:tr>
      <w:tr>
        <w:tblPrEx>
          <w:tblCellMar>
            <w:top w:w="0" w:type="dxa"/>
            <w:left w:w="0" w:type="dxa"/>
            <w:bottom w:w="0" w:type="dxa"/>
            <w:right w:w="0" w:type="dxa"/>
          </w:tblCellMar>
        </w:tblPrEx>
        <w:trPr>
          <w:trHeight w:val="398" w:hRule="atLeast"/>
        </w:trPr>
        <w:tc>
          <w:tcPr>
            <w:tcW w:w="1901"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473" w:hRule="atLeast"/>
        </w:trPr>
        <w:tc>
          <w:tcPr>
            <w:tcW w:w="1901"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597"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w:t>
            </w:r>
            <w:r>
              <w:rPr>
                <w:rFonts w:ascii="宋体" w:hAnsi="宋体" w:cs="宋体"/>
                <w:color w:val="000000"/>
                <w:kern w:val="0"/>
                <w:szCs w:val="21"/>
              </w:rPr>
              <w:t xml:space="preserve">       </w:t>
            </w:r>
            <w:r>
              <w:rPr>
                <w:rFonts w:hint="eastAsia" w:ascii="宋体" w:hAnsi="宋体" w:cs="宋体"/>
                <w:color w:val="000000"/>
                <w:kern w:val="0"/>
                <w:szCs w:val="21"/>
              </w:rPr>
              <w:t>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Cs w:val="21"/>
              </w:rPr>
              <w:t>1,940.84</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Cs w:val="21"/>
              </w:rPr>
              <w:t>1,940.84</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Cs w:val="21"/>
              </w:rPr>
              <w:t>236.45</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Cs w:val="21"/>
              </w:rPr>
              <w:t>1,704.39</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63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Cs w:val="21"/>
              </w:rPr>
              <w:t>1,940.84</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Cs w:val="21"/>
              </w:rPr>
              <w:t>1,940.84</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Cs w:val="21"/>
              </w:rPr>
              <w:t>236.45</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Cs w:val="21"/>
              </w:rPr>
              <w:t>1,704.39</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58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09" w:hRule="atLeast"/>
        </w:trPr>
        <w:tc>
          <w:tcPr>
            <w:tcW w:w="1901" w:type="dxa"/>
            <w:vMerge w:val="restart"/>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7039" w:type="dxa"/>
            <w:gridSpan w:val="9"/>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实际采购金额</w:t>
            </w:r>
          </w:p>
        </w:tc>
      </w:tr>
      <w:tr>
        <w:tblPrEx>
          <w:tblCellMar>
            <w:top w:w="0" w:type="dxa"/>
            <w:left w:w="0" w:type="dxa"/>
            <w:bottom w:w="0" w:type="dxa"/>
            <w:right w:w="0" w:type="dxa"/>
          </w:tblCellMar>
        </w:tblPrEx>
        <w:trPr>
          <w:trHeight w:val="350" w:hRule="atLeast"/>
        </w:trPr>
        <w:tc>
          <w:tcPr>
            <w:tcW w:w="1901" w:type="dxa"/>
            <w:vMerge w:val="continue"/>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543" w:hRule="atLeast"/>
        </w:trPr>
        <w:tc>
          <w:tcPr>
            <w:tcW w:w="1901" w:type="dxa"/>
            <w:vMerge w:val="continue"/>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09"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w:t>
            </w:r>
            <w:r>
              <w:rPr>
                <w:rFonts w:ascii="宋体" w:hAnsi="宋体" w:cs="宋体"/>
                <w:color w:val="000000"/>
                <w:kern w:val="0"/>
                <w:szCs w:val="21"/>
              </w:rPr>
              <w:t xml:space="preserve">       </w:t>
            </w:r>
            <w:r>
              <w:rPr>
                <w:rFonts w:hint="eastAsia" w:ascii="宋体" w:hAnsi="宋体" w:cs="宋体"/>
                <w:color w:val="000000"/>
                <w:kern w:val="0"/>
                <w:szCs w:val="21"/>
              </w:rPr>
              <w:t>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1,897.09</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1,897.09</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231.20</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1,665.90</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1,897.09</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1,897.09</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231.20</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r>
              <w:rPr>
                <w:rFonts w:hint="eastAsia" w:ascii="宋体" w:hAnsi="宋体" w:cs="宋体"/>
                <w:color w:val="000000"/>
                <w:kern w:val="0"/>
                <w:sz w:val="22"/>
                <w:szCs w:val="22"/>
              </w:rPr>
              <w:t>1,665.90</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98" w:hRule="atLeast"/>
        </w:trPr>
        <w:tc>
          <w:tcPr>
            <w:tcW w:w="8940" w:type="dxa"/>
            <w:gridSpan w:val="10"/>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注：本表反映部门本年度纳入部门预算范围的政府采购预算及支出情况。</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pPr>
    </w:p>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6432"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10"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2"/>
                    <pic:cNvPicPr>
                      <a:picLocks noChangeAspect="1"/>
                    </pic:cNvPicPr>
                  </pic:nvPicPr>
                  <pic:blipFill>
                    <a:blip r:embed="rId7"/>
                    <a:stretch>
                      <a:fillRect/>
                    </a:stretch>
                  </pic:blipFill>
                  <pic:spPr>
                    <a:xfrm>
                      <a:off x="0" y="0"/>
                      <a:ext cx="7550150" cy="10680065"/>
                    </a:xfrm>
                    <a:prstGeom prst="rect">
                      <a:avLst/>
                    </a:prstGeom>
                    <a:noFill/>
                    <a:ln>
                      <a:noFill/>
                    </a:ln>
                  </pic:spPr>
                </pic:pic>
              </a:graphicData>
            </a:graphic>
          </wp:anchor>
        </w:drawing>
      </w:r>
      <w:r>
        <w:pict>
          <v:shape id="文本框 5" o:spid="_x0000_s1058" o:spt="202" type="#_x0000_t202" style="position:absolute;left:0pt;margin-left:-78.7pt;margin-top:232.8pt;height:159.1pt;width:596.2pt;z-index:251665408;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lmnozeAAAADQEAAA8AAAAAAAAAAQAgAAAAIgAAAGRycy9kb3ducmV2LnhtbFBL&#10;AQIUABQAAAAIAIdO4kA4sT/xtwEAAFgDAAAOAAAAAAAAAAEAIAAAAC0BAABkcnMvZTJvRG9jLnht&#10;bFBLBQYAAAAABgAGAFkBAABWBQ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055" o:spt="203" style="position:absolute;left:0pt;margin-left:-79.5pt;margin-top:29.3pt;height:43.95pt;width:301.85pt;mso-position-vertical-relative:page;z-index:251687936;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P8VeorbAAAACwEAAA8AAAAA&#10;AAAAAQAgAAAAIgAAAGRycy9kb3ducmV2LnhtbFBLAQIUABQAAAAIAIdO4kCZqWGSvAIAAAoHAAAO&#10;AAAAAAAAAAEAIAAAACoBAABkcnMvZTJvRG9jLnhtbFBLBQYAAAAABgAGAFkBAABYBgAAAAA=&#10;">
            <o:lock v:ext="edit"/>
            <v:rect id="矩形 13" o:spid="_x0000_s1057" o:spt="1" style="position:absolute;left:4551;top:52615;height:1175;width:8546;v-text-anchor:middle;" fillcolor="#96DA9D" filled="t" stroked="f" coordsize="21600,21600" o:gfxdata="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z4jA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56" o:spt="1" style="position:absolute;left:4577;top:52890;height:1123;width:8324;v-text-anchor:middle;" fillcolor="#AD002D" filled="t" stroked="t" coordsize="21600,21600" o:gfxdata="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Ackz7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spacing w:line="600" w:lineRule="exact"/>
        <w:ind w:firstLine="688"/>
        <w:rPr>
          <w:rFonts w:ascii="仿宋" w:hAnsi="仿宋" w:eastAsia="仿宋" w:cs="仿宋"/>
          <w:bCs/>
          <w:spacing w:val="12"/>
          <w:sz w:val="32"/>
        </w:rPr>
      </w:pPr>
      <w:r>
        <w:rPr>
          <w:rFonts w:hint="eastAsia" w:ascii="仿宋" w:hAnsi="仿宋" w:eastAsia="仿宋" w:cs="仿宋"/>
          <w:bCs/>
          <w:spacing w:val="12"/>
          <w:sz w:val="32"/>
        </w:rPr>
        <w:t>2018年度阜平县公安局全年财政总收入(含结转和结余)5572.87万元，其中：财政拨款收入5572.87万元，占总收入100%。全年财政总收入较上年增加493.08万元，增长8.85%，主要</w:t>
      </w:r>
      <w:r>
        <w:rPr>
          <w:rFonts w:hint="eastAsia" w:ascii="仿宋_GB2312" w:hAnsi="仿宋_GB2312" w:eastAsia="仿宋_GB2312" w:cs="仿宋_GB2312"/>
          <w:color w:val="000000"/>
          <w:sz w:val="32"/>
          <w:szCs w:val="32"/>
        </w:rPr>
        <w:t>原因是较上年人员工资上涨、后期追加项目较多和房屋租赁费用及</w:t>
      </w:r>
      <w:r>
        <w:rPr>
          <w:rFonts w:hint="eastAsia" w:ascii="仿宋" w:hAnsi="仿宋" w:eastAsia="仿宋" w:cs="仿宋"/>
          <w:bCs/>
          <w:spacing w:val="12"/>
          <w:sz w:val="32"/>
        </w:rPr>
        <w:t>按照上级指示精神加大智能化交通建设；全年财政总支出(含结转和结余)5572.87万元，较上年增加493.08万元，增长8.85%。其中：基本支出3295.03万元，较上年减少753.69万元，降低22.87%，主要原因是认真贯彻落实党中央、国务院厉行节约精神，压减一般性支出，</w:t>
      </w:r>
      <w:r>
        <w:rPr>
          <w:rFonts w:hint="eastAsia" w:ascii="仿宋_GB2312" w:hAnsi="仿宋_GB2312" w:eastAsia="仿宋_GB2312" w:cs="仿宋_GB2312"/>
          <w:sz w:val="32"/>
          <w:szCs w:val="32"/>
        </w:rPr>
        <w:t>且将县级项目支出有之前的基本支出列为项目支出</w:t>
      </w:r>
      <w:r>
        <w:rPr>
          <w:rFonts w:hint="eastAsia" w:ascii="仿宋" w:hAnsi="仿宋" w:eastAsia="仿宋" w:cs="仿宋"/>
          <w:bCs/>
          <w:spacing w:val="12"/>
          <w:sz w:val="32"/>
        </w:rPr>
        <w:t>;项目支出2277.84万元，较上年增加1246.76万元，增长54.73%，主要原因是</w:t>
      </w:r>
      <w:r>
        <w:rPr>
          <w:rFonts w:hint="eastAsia" w:ascii="仿宋_GB2312" w:hAnsi="仿宋_GB2312" w:eastAsia="仿宋_GB2312" w:cs="仿宋_GB2312"/>
          <w:sz w:val="32"/>
          <w:szCs w:val="32"/>
        </w:rPr>
        <w:t>较上年将县级追加项目列入项目支出，之前为基本支出及</w:t>
      </w:r>
      <w:r>
        <w:rPr>
          <w:rFonts w:hint="eastAsia" w:ascii="仿宋" w:hAnsi="仿宋" w:eastAsia="仿宋" w:cs="仿宋"/>
          <w:bCs/>
          <w:spacing w:val="12"/>
          <w:sz w:val="32"/>
        </w:rPr>
        <w:t>按照上级指示精神加大智能化交通建设。无年初结转结余资金和年末结转结余资金。</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autoSpaceDE w:val="0"/>
        <w:autoSpaceDN w:val="0"/>
        <w:adjustRightInd w:val="0"/>
        <w:spacing w:line="580" w:lineRule="exact"/>
        <w:ind w:firstLine="640" w:firstLineChars="200"/>
        <w:rPr>
          <w:rFonts w:ascii="黑体" w:eastAsia="黑体"/>
        </w:rPr>
      </w:pPr>
      <w:r>
        <w:rPr>
          <w:rFonts w:hint="eastAsia" w:ascii="仿宋_GB2312" w:hAnsi="仿宋_GB2312" w:eastAsia="仿宋_GB2312" w:cs="仿宋_GB2312"/>
          <w:color w:val="000000"/>
          <w:sz w:val="32"/>
          <w:szCs w:val="32"/>
        </w:rPr>
        <w:t>阜平县公安局</w:t>
      </w:r>
      <w:r>
        <w:rPr>
          <w:rFonts w:hint="eastAsia" w:ascii="仿宋_GB2312" w:hAnsi="仿宋_GB2312" w:eastAsia="仿宋_GB2312" w:cs="仿宋_GB2312"/>
          <w:bCs/>
          <w:color w:val="000000"/>
          <w:sz w:val="32"/>
          <w:szCs w:val="32"/>
        </w:rPr>
        <w:t>2018 年度本年收入合计</w:t>
      </w:r>
      <w:r>
        <w:rPr>
          <w:rFonts w:hint="eastAsia" w:ascii="仿宋_GB2312" w:hAnsi="仿宋_GB2312" w:eastAsia="仿宋_GB2312" w:cs="仿宋_GB2312"/>
          <w:color w:val="000000"/>
          <w:sz w:val="32"/>
          <w:szCs w:val="32"/>
        </w:rPr>
        <w:t>5572.87</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color w:val="000000"/>
          <w:sz w:val="32"/>
          <w:szCs w:val="32"/>
        </w:rPr>
        <w:t>5572.87</w:t>
      </w:r>
      <w:r>
        <w:rPr>
          <w:rFonts w:hint="eastAsia" w:ascii="仿宋_GB2312" w:hAnsi="仿宋_GB2312" w:eastAsia="仿宋_GB2312" w:cs="仿宋_GB2312"/>
          <w:sz w:val="32"/>
          <w:szCs w:val="32"/>
        </w:rPr>
        <w:t>万元，占本年收入的100%;事业收入0万元，占本年收入0%;经营收入0万元，占本年收入0%;其他收入0万元，占本年收入0%。</w:t>
      </w: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autoSpaceDE w:val="0"/>
        <w:autoSpaceDN w:val="0"/>
        <w:adjustRightInd w:val="0"/>
        <w:spacing w:line="580" w:lineRule="exact"/>
        <w:ind w:firstLine="640" w:firstLineChars="200"/>
        <w:rPr>
          <w:rFonts w:ascii="黑体" w:eastAsia="黑体"/>
        </w:rPr>
      </w:pPr>
      <w:r>
        <w:rPr>
          <w:rFonts w:hint="eastAsia" w:ascii="仿宋_GB2312" w:hAnsi="仿宋_GB2312" w:eastAsia="仿宋_GB2312" w:cs="仿宋_GB2312"/>
          <w:color w:val="000000"/>
          <w:sz w:val="32"/>
          <w:szCs w:val="32"/>
        </w:rPr>
        <w:t>本年支出合计5572.87</w:t>
      </w:r>
      <w:r>
        <w:rPr>
          <w:rFonts w:hint="eastAsia" w:ascii="仿宋_GB2312" w:hAnsi="仿宋_GB2312" w:eastAsia="仿宋_GB2312" w:cs="仿宋_GB2312"/>
          <w:sz w:val="32"/>
          <w:szCs w:val="32"/>
        </w:rPr>
        <w:t>万元，其中：基本支出3295.03万元，占本年支出的59.13%。项目支出2277.84万元，占本年支出的40.87%。经营支出0万元，占本年支出0%;其他支出0万元，占本年支出0%。</w:t>
      </w:r>
      <w:r>
        <w:pict>
          <v:group id="组合 70" o:spid="_x0000_s1052" o:spt="203" style="position:absolute;left:0pt;margin-left:-79.5pt;margin-top:29.3pt;height:43.95pt;width:301.85pt;mso-position-vertical-relative:page;z-index:251680768;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P8VeorbAAAACwEAAA8AAAAA&#10;AAAAAQAgAAAAIgAAAGRycy9kb3ducmV2LnhtbFBLAQIUABQAAAAIAIdO4kCDTYPCvAIAAAoHAAAO&#10;AAAAAAAAAAEAIAAAACoBAABkcnMvZTJvRG9jLnhtbFBLBQYAAAAABgAGAFkBAABYBgAAAAA=&#10;">
            <o:lock v:ext="edit"/>
            <v:rect id="矩形 13" o:spid="_x0000_s1054" o:spt="1" style="position:absolute;left:4551;top:52615;height:1175;width:8546;v-text-anchor:middle;" fillcolor="#96DA9D" filled="t" stroked="f" coordsize="21600,21600" o:gfxdata="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HSo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53" o:spt="1" style="position:absolute;left:4577;top:52890;height:1123;width:8324;v-text-anchor:middle;" fillcolor="#AD002D" filled="t" stroked="t" coordsize="21600,21600" o:gfxdata="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Jfqy/&#10;AAAA2wAAAA8AAAAAAAAAAQAgAAAAIgAAAGRycy9kb3ducmV2LnhtbFBLAQIUABQAAAAIAIdO4kAz&#10;LwWeOwAAADkAAAAQAAAAAAAAAAEAIAAAAA4BAABkcnMvc2hhcGV4bWwueG1sUEsFBgAAAAAGAAYA&#10;WwEAALgDA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hAnsi="仿宋_GB2312" w:eastAsia="仿宋_GB2312" w:cs="仿宋_GB2312"/>
          <w:color w:val="000000"/>
          <w:sz w:val="32"/>
          <w:szCs w:val="32"/>
        </w:rPr>
        <w:t>阜平县公安局2018 年度财政拨款年初结转和结余 0 万元本年度财政拨款收入决算总计5572.87</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000000"/>
          <w:sz w:val="32"/>
          <w:szCs w:val="32"/>
        </w:rPr>
        <w:t>财政拨款支出决算总计5572.87</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000000"/>
          <w:sz w:val="32"/>
          <w:szCs w:val="32"/>
        </w:rPr>
        <w:t>年末结转和结余 0 万元。</w:t>
      </w:r>
      <w:r>
        <w:rPr>
          <w:rFonts w:hint="eastAsia" w:ascii="仿宋_GB2312" w:hAnsi="仿宋_GB2312" w:eastAsia="仿宋_GB2312" w:cs="仿宋_GB2312"/>
          <w:sz w:val="32"/>
          <w:szCs w:val="32"/>
        </w:rPr>
        <w:t>与2017年相比，收入总计</w:t>
      </w:r>
      <w:r>
        <w:rPr>
          <w:rFonts w:hint="eastAsia" w:ascii="仿宋_GB2312" w:hAnsi="仿宋_GB2312" w:eastAsia="仿宋_GB2312" w:cs="仿宋_GB2312"/>
          <w:color w:val="000000"/>
          <w:sz w:val="32"/>
          <w:szCs w:val="32"/>
        </w:rPr>
        <w:t>增加</w:t>
      </w:r>
      <w:r>
        <w:rPr>
          <w:rFonts w:hint="eastAsia" w:ascii="仿宋" w:hAnsi="仿宋" w:eastAsia="仿宋" w:cs="仿宋"/>
          <w:bCs/>
          <w:spacing w:val="12"/>
          <w:sz w:val="32"/>
        </w:rPr>
        <w:t>493.08万元，增长8.85%</w:t>
      </w:r>
      <w:r>
        <w:rPr>
          <w:rFonts w:hint="eastAsia" w:ascii="仿宋_GB2312" w:hAnsi="仿宋_GB2312" w:eastAsia="仿宋_GB2312" w:cs="仿宋_GB2312"/>
          <w:color w:val="000000"/>
          <w:sz w:val="32"/>
          <w:szCs w:val="32"/>
        </w:rPr>
        <w:t>，主要原因是较上年人员工资上涨、后期追加项目较多和房屋租赁费用，支出</w:t>
      </w:r>
      <w:r>
        <w:rPr>
          <w:rFonts w:hint="eastAsia" w:ascii="仿宋_GB2312" w:hAnsi="仿宋_GB2312" w:eastAsia="仿宋_GB2312" w:cs="仿宋_GB2312"/>
          <w:sz w:val="32"/>
          <w:szCs w:val="32"/>
        </w:rPr>
        <w:t>总计</w:t>
      </w:r>
      <w:r>
        <w:rPr>
          <w:rFonts w:hint="eastAsia" w:ascii="仿宋_GB2312" w:hAnsi="仿宋_GB2312" w:eastAsia="仿宋_GB2312" w:cs="仿宋_GB2312"/>
          <w:color w:val="000000"/>
          <w:sz w:val="32"/>
          <w:szCs w:val="32"/>
        </w:rPr>
        <w:t>增加</w:t>
      </w:r>
      <w:r>
        <w:rPr>
          <w:rFonts w:hint="eastAsia" w:ascii="仿宋" w:hAnsi="仿宋" w:eastAsia="仿宋" w:cs="仿宋"/>
          <w:bCs/>
          <w:spacing w:val="12"/>
          <w:sz w:val="32"/>
        </w:rPr>
        <w:t>493.08万元，增长8.85%</w:t>
      </w:r>
      <w:r>
        <w:rPr>
          <w:rFonts w:hint="eastAsia" w:ascii="仿宋_GB2312" w:hAnsi="仿宋_GB2312" w:eastAsia="仿宋_GB2312" w:cs="仿宋_GB2312"/>
          <w:color w:val="000000"/>
          <w:sz w:val="32"/>
          <w:szCs w:val="32"/>
        </w:rPr>
        <w:t>，主要原因是较上年人员工资上涨、后期追加项目较多和房屋租赁费用。</w:t>
      </w:r>
      <w:r>
        <w:rPr>
          <w:rFonts w:hint="eastAsia" w:ascii="仿宋_GB2312" w:hAnsi="仿宋_GB2312" w:eastAsia="仿宋_GB2312" w:cs="仿宋_GB2312"/>
          <w:sz w:val="32"/>
          <w:szCs w:val="32"/>
        </w:rPr>
        <w:t>其中：一般公共预算财政拨款本年收入5293.93万元，比上年增加359.74万元,</w:t>
      </w:r>
      <w:r>
        <w:rPr>
          <w:rFonts w:hint="eastAsia" w:ascii="仿宋_GB2312" w:hAnsi="仿宋_GB2312" w:eastAsia="仿宋_GB2312" w:cs="仿宋_GB2312"/>
          <w:color w:val="000000"/>
          <w:sz w:val="32"/>
          <w:szCs w:val="32"/>
        </w:rPr>
        <w:t>增长6.46%，主要原因是较上年人员工资上涨、后期追加项目较多和房屋租赁费用;</w:t>
      </w:r>
      <w:r>
        <w:rPr>
          <w:rFonts w:hint="eastAsia" w:ascii="仿宋_GB2312" w:hAnsi="仿宋_GB2312" w:eastAsia="仿宋_GB2312" w:cs="仿宋_GB2312"/>
          <w:sz w:val="32"/>
          <w:szCs w:val="32"/>
        </w:rPr>
        <w:t>一般公共预算财政拨款本年支出5293.93万元，比上年增加359.74万元,</w:t>
      </w:r>
      <w:r>
        <w:rPr>
          <w:rFonts w:hint="eastAsia" w:ascii="仿宋_GB2312" w:hAnsi="仿宋_GB2312" w:eastAsia="仿宋_GB2312" w:cs="仿宋_GB2312"/>
          <w:color w:val="000000"/>
          <w:sz w:val="32"/>
          <w:szCs w:val="32"/>
        </w:rPr>
        <w:t>增长6.46%</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rPr>
        <w:t>主要原因是较上年人员工资上涨、后期追加项目较多和房屋租赁费用</w:t>
      </w:r>
      <w:r>
        <w:rPr>
          <w:rFonts w:hint="eastAsia" w:ascii="仿宋_GB2312" w:hAnsi="仿宋_GB2312" w:eastAsia="仿宋_GB2312" w:cs="仿宋_GB2312"/>
          <w:sz w:val="32"/>
          <w:szCs w:val="32"/>
        </w:rPr>
        <w:t>。政府性基金预算财政拨款本年收入</w:t>
      </w:r>
      <w:r>
        <w:rPr>
          <w:rFonts w:hint="eastAsia" w:ascii="仿宋_GB2312" w:hAnsi="仿宋_GB2312" w:eastAsia="仿宋_GB2312" w:cs="仿宋_GB2312"/>
          <w:color w:val="000000"/>
          <w:sz w:val="32"/>
          <w:szCs w:val="32"/>
        </w:rPr>
        <w:t>278.95</w:t>
      </w:r>
      <w:r>
        <w:rPr>
          <w:rFonts w:hint="eastAsia" w:ascii="仿宋_GB2312" w:hAnsi="仿宋_GB2312" w:eastAsia="仿宋_GB2312" w:cs="仿宋_GB2312"/>
          <w:sz w:val="32"/>
          <w:szCs w:val="32"/>
        </w:rPr>
        <w:t>万元，比上年增加</w:t>
      </w:r>
      <w:r>
        <w:rPr>
          <w:rFonts w:hint="eastAsia" w:ascii="仿宋_GB2312" w:hAnsi="仿宋_GB2312" w:eastAsia="仿宋_GB2312" w:cs="仿宋_GB2312"/>
          <w:color w:val="000000"/>
          <w:sz w:val="32"/>
          <w:szCs w:val="32"/>
        </w:rPr>
        <w:t>133.34万元，增长47.8%</w:t>
      </w:r>
      <w:r>
        <w:rPr>
          <w:rFonts w:hint="eastAsia" w:ascii="仿宋_GB2312" w:hAnsi="仿宋_GB2312" w:eastAsia="仿宋_GB2312" w:cs="仿宋_GB2312"/>
          <w:sz w:val="32"/>
          <w:szCs w:val="32"/>
        </w:rPr>
        <w:t>，主要原因是</w:t>
      </w:r>
      <w:r>
        <w:rPr>
          <w:rFonts w:hint="eastAsia" w:ascii="仿宋_GB2312" w:hAnsi="仿宋_GB2312" w:eastAsia="仿宋_GB2312" w:cs="仿宋_GB2312"/>
          <w:color w:val="000000"/>
          <w:sz w:val="32"/>
          <w:szCs w:val="32"/>
        </w:rPr>
        <w:t>2018年增加全县高点监控的安装，</w:t>
      </w:r>
      <w:r>
        <w:rPr>
          <w:rFonts w:hint="eastAsia" w:ascii="仿宋_GB2312" w:hAnsi="仿宋_GB2312" w:eastAsia="仿宋_GB2312" w:cs="仿宋_GB2312"/>
          <w:sz w:val="32"/>
          <w:szCs w:val="32"/>
        </w:rPr>
        <w:t>本年支出</w:t>
      </w:r>
      <w:r>
        <w:rPr>
          <w:rFonts w:hint="eastAsia" w:ascii="仿宋_GB2312" w:hAnsi="仿宋_GB2312" w:eastAsia="仿宋_GB2312" w:cs="仿宋_GB2312"/>
          <w:color w:val="000000"/>
          <w:sz w:val="32"/>
          <w:szCs w:val="32"/>
        </w:rPr>
        <w:t>133.34万元，增长47.80%</w:t>
      </w:r>
      <w:r>
        <w:rPr>
          <w:rFonts w:hint="eastAsia" w:ascii="仿宋_GB2312" w:hAnsi="仿宋_GB2312" w:eastAsia="仿宋_GB2312" w:cs="仿宋_GB2312"/>
          <w:sz w:val="32"/>
          <w:szCs w:val="32"/>
        </w:rPr>
        <w:t xml:space="preserve"> 主要原因是</w:t>
      </w:r>
      <w:r>
        <w:rPr>
          <w:rFonts w:hint="eastAsia" w:ascii="仿宋_GB2312" w:hAnsi="仿宋_GB2312" w:eastAsia="仿宋_GB2312" w:cs="仿宋_GB2312"/>
          <w:color w:val="000000"/>
          <w:sz w:val="32"/>
          <w:szCs w:val="32"/>
        </w:rPr>
        <w:t>2018年增加全县高点监控的安装费用及</w:t>
      </w:r>
      <w:r>
        <w:rPr>
          <w:rFonts w:hint="eastAsia" w:ascii="仿宋" w:hAnsi="仿宋" w:eastAsia="仿宋" w:cs="仿宋"/>
          <w:bCs/>
          <w:spacing w:val="12"/>
          <w:sz w:val="32"/>
        </w:rPr>
        <w:t>按照上级指示精神加大智能化交通建设</w:t>
      </w:r>
      <w:r>
        <w:rPr>
          <w:rFonts w:hint="eastAsia" w:ascii="仿宋_GB2312" w:hAnsi="仿宋_GB2312" w:eastAsia="仿宋_GB2312" w:cs="仿宋_GB2312"/>
          <w:color w:val="000000"/>
          <w:sz w:val="32"/>
          <w:szCs w:val="32"/>
        </w:rPr>
        <w:t>。</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pStyle w:val="11"/>
        <w:spacing w:before="0" w:beforeAutospacing="0" w:after="0" w:afterAutospacing="0" w:line="580" w:lineRule="exact"/>
        <w:ind w:firstLine="640" w:firstLineChars="200"/>
        <w:jc w:val="both"/>
        <w:rPr>
          <w:rFonts w:ascii="仿宋_GB2312" w:eastAsia="仿宋_GB2312" w:cs="DengXian-Regular"/>
          <w:sz w:val="32"/>
          <w:szCs w:val="32"/>
          <w:highlight w:val="yellow"/>
        </w:rPr>
      </w:pPr>
      <w:r>
        <w:rPr>
          <w:rFonts w:hint="eastAsia" w:ascii="仿宋_GB2312" w:hAnsi="仿宋_GB2312" w:eastAsia="仿宋_GB2312" w:cs="仿宋_GB2312"/>
          <w:sz w:val="32"/>
          <w:szCs w:val="32"/>
        </w:rPr>
        <w:t>本单位2018年度财政拨款本年收入</w:t>
      </w:r>
      <w:r>
        <w:rPr>
          <w:rFonts w:hint="eastAsia" w:ascii="仿宋_GB2312" w:hAnsi="仿宋_GB2312" w:eastAsia="仿宋_GB2312" w:cs="仿宋_GB2312"/>
          <w:color w:val="000000"/>
          <w:sz w:val="32"/>
          <w:szCs w:val="32"/>
        </w:rPr>
        <w:t>5572.87</w:t>
      </w:r>
      <w:r>
        <w:rPr>
          <w:rFonts w:hint="eastAsia" w:ascii="仿宋_GB2312" w:hAnsi="仿宋_GB2312" w:eastAsia="仿宋_GB2312" w:cs="仿宋_GB2312"/>
          <w:sz w:val="32"/>
          <w:szCs w:val="32"/>
        </w:rPr>
        <w:t>万元，年初预算数4901.58万元，完成年初预算的113.70%，比年初预算</w:t>
      </w:r>
      <w:r>
        <w:rPr>
          <w:rFonts w:hint="eastAsia" w:ascii="仿宋_GB2312" w:hAnsi="仿宋_GB2312" w:eastAsia="仿宋_GB2312" w:cs="仿宋_GB2312"/>
          <w:color w:val="000000"/>
          <w:sz w:val="32"/>
          <w:szCs w:val="32"/>
        </w:rPr>
        <w:t>增加671.29万元，</w:t>
      </w:r>
      <w:r>
        <w:rPr>
          <w:rFonts w:hint="eastAsia" w:ascii="仿宋_GB2312" w:hAnsi="仿宋_GB2312" w:eastAsia="仿宋_GB2312" w:cs="仿宋_GB2312"/>
          <w:sz w:val="32"/>
          <w:szCs w:val="32"/>
        </w:rPr>
        <w:t>决算数大于预算数的主要原因主要是</w:t>
      </w:r>
      <w:r>
        <w:rPr>
          <w:rFonts w:hint="eastAsia" w:ascii="仿宋_GB2312" w:hAnsi="仿宋_GB2312" w:eastAsia="仿宋_GB2312" w:cs="仿宋_GB2312"/>
          <w:color w:val="000000"/>
          <w:sz w:val="32"/>
          <w:szCs w:val="32"/>
        </w:rPr>
        <w:t>人员工资上涨、后期追加项目较多和房屋租赁费用及</w:t>
      </w:r>
      <w:r>
        <w:rPr>
          <w:rFonts w:hint="eastAsia" w:ascii="仿宋" w:hAnsi="仿宋" w:eastAsia="仿宋" w:cs="仿宋"/>
          <w:bCs/>
          <w:spacing w:val="12"/>
          <w:sz w:val="32"/>
        </w:rPr>
        <w:t>按照上级指示精神加大智能化交通建设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财政拨款</w:t>
      </w:r>
      <w:r>
        <w:rPr>
          <w:rFonts w:hint="eastAsia" w:ascii="仿宋_GB2312" w:hAnsi="仿宋_GB2312" w:eastAsia="仿宋_GB2312" w:cs="仿宋_GB2312"/>
          <w:color w:val="000000"/>
          <w:sz w:val="32"/>
          <w:szCs w:val="32"/>
        </w:rPr>
        <w:t>本年支出5572.87</w:t>
      </w:r>
      <w:r>
        <w:rPr>
          <w:rFonts w:hint="eastAsia" w:ascii="仿宋_GB2312" w:hAnsi="仿宋_GB2312" w:eastAsia="仿宋_GB2312" w:cs="仿宋_GB2312"/>
          <w:sz w:val="32"/>
          <w:szCs w:val="32"/>
        </w:rPr>
        <w:t>万元，年初预算数4901.58万元，完成年初预算的113.70%，比年初预算增加</w:t>
      </w:r>
      <w:r>
        <w:rPr>
          <w:rFonts w:hint="eastAsia" w:ascii="仿宋_GB2312" w:hAnsi="仿宋_GB2312" w:eastAsia="仿宋_GB2312" w:cs="仿宋_GB2312"/>
          <w:color w:val="000000"/>
          <w:sz w:val="32"/>
          <w:szCs w:val="32"/>
        </w:rPr>
        <w:t>671.29万元，</w:t>
      </w:r>
      <w:r>
        <w:rPr>
          <w:rFonts w:hint="eastAsia" w:ascii="仿宋_GB2312" w:hAnsi="仿宋_GB2312" w:eastAsia="仿宋_GB2312" w:cs="仿宋_GB2312"/>
          <w:sz w:val="32"/>
          <w:szCs w:val="32"/>
        </w:rPr>
        <w:t>决算数大于预算数的主要原因主要是</w:t>
      </w:r>
      <w:r>
        <w:rPr>
          <w:rFonts w:hint="eastAsia" w:ascii="仿宋_GB2312" w:hAnsi="仿宋_GB2312" w:eastAsia="仿宋_GB2312" w:cs="仿宋_GB2312"/>
          <w:color w:val="000000"/>
          <w:sz w:val="32"/>
          <w:szCs w:val="32"/>
        </w:rPr>
        <w:t>人员工资上涨、后期追加项目较多和房屋租赁费用及</w:t>
      </w:r>
      <w:r>
        <w:rPr>
          <w:rFonts w:hint="eastAsia" w:ascii="仿宋" w:hAnsi="仿宋" w:eastAsia="仿宋" w:cs="仿宋"/>
          <w:bCs/>
          <w:spacing w:val="12"/>
          <w:sz w:val="32"/>
        </w:rPr>
        <w:t>按照上级指示精神加大智能化交通建设</w:t>
      </w:r>
      <w:r>
        <w:rPr>
          <w:rFonts w:hint="eastAsia" w:ascii="仿宋_GB2312" w:hAnsi="仿宋_GB2312" w:eastAsia="仿宋_GB2312" w:cs="仿宋_GB2312"/>
          <w:color w:val="000000"/>
          <w:sz w:val="32"/>
          <w:szCs w:val="32"/>
        </w:rPr>
        <w:t>。其中，一般公共预算财政拨款支出</w:t>
      </w:r>
      <w:r>
        <w:rPr>
          <w:rFonts w:hint="eastAsia" w:ascii="仿宋_GB2312" w:hAnsi="仿宋_GB2312" w:eastAsia="仿宋_GB2312" w:cs="仿宋_GB2312"/>
          <w:sz w:val="32"/>
          <w:szCs w:val="32"/>
        </w:rPr>
        <w:t>5293.93</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sz w:val="32"/>
          <w:szCs w:val="32"/>
        </w:rPr>
        <w:t>年初预算数4609.61万元，</w:t>
      </w:r>
      <w:r>
        <w:rPr>
          <w:rFonts w:hint="eastAsia" w:ascii="仿宋_GB2312" w:hAnsi="仿宋_GB2312" w:eastAsia="仿宋_GB2312" w:cs="仿宋_GB2312"/>
          <w:color w:val="000000"/>
          <w:sz w:val="32"/>
          <w:szCs w:val="32"/>
        </w:rPr>
        <w:t>完成年初预算的114.85%，比年初预算增加684.32万元，主要是增加后期追加项目较多和房屋租赁费用。</w:t>
      </w:r>
      <w:r>
        <w:rPr>
          <w:rFonts w:hint="eastAsia" w:ascii="仿宋_GB2312" w:hAnsi="仿宋_GB2312" w:eastAsia="仿宋_GB2312" w:cs="仿宋_GB2312"/>
          <w:sz w:val="32"/>
          <w:szCs w:val="32"/>
        </w:rPr>
        <w:t>政府性基金预算财政拨款支出</w:t>
      </w:r>
      <w:r>
        <w:rPr>
          <w:rFonts w:hint="eastAsia" w:ascii="仿宋_GB2312" w:hAnsi="仿宋_GB2312" w:eastAsia="仿宋_GB2312" w:cs="仿宋_GB2312"/>
          <w:color w:val="000000"/>
          <w:sz w:val="32"/>
          <w:szCs w:val="32"/>
        </w:rPr>
        <w:t>278.95</w:t>
      </w:r>
      <w:r>
        <w:rPr>
          <w:rFonts w:hint="eastAsia" w:ascii="仿宋_GB2312" w:hAnsi="仿宋_GB2312" w:eastAsia="仿宋_GB2312" w:cs="仿宋_GB2312"/>
          <w:sz w:val="32"/>
          <w:szCs w:val="32"/>
        </w:rPr>
        <w:t>万元，较年初预算增加</w:t>
      </w:r>
      <w:r>
        <w:rPr>
          <w:rFonts w:hint="eastAsia" w:ascii="仿宋_GB2312" w:hAnsi="仿宋_GB2312" w:eastAsia="仿宋_GB2312" w:cs="仿宋_GB2312"/>
          <w:color w:val="000000"/>
          <w:sz w:val="32"/>
          <w:szCs w:val="32"/>
        </w:rPr>
        <w:t>18.99万元，</w:t>
      </w:r>
      <w:r>
        <w:rPr>
          <w:rFonts w:hint="eastAsia" w:ascii="仿宋_GB2312" w:hAnsi="仿宋_GB2312" w:eastAsia="仿宋_GB2312" w:cs="仿宋_GB2312"/>
          <w:sz w:val="32"/>
          <w:szCs w:val="32"/>
        </w:rPr>
        <w:t>原因为2018年增加全县高点监控的安装</w:t>
      </w:r>
      <w:r>
        <w:rPr>
          <w:rFonts w:hint="eastAsia" w:ascii="仿宋_GB2312" w:hAnsi="仿宋_GB2312" w:eastAsia="仿宋_GB2312" w:cs="仿宋_GB2312"/>
          <w:color w:val="000000"/>
          <w:sz w:val="32"/>
          <w:szCs w:val="32"/>
        </w:rPr>
        <w:t>及</w:t>
      </w:r>
      <w:r>
        <w:rPr>
          <w:rFonts w:hint="eastAsia" w:ascii="仿宋" w:hAnsi="仿宋" w:eastAsia="仿宋" w:cs="仿宋"/>
          <w:bCs/>
          <w:spacing w:val="12"/>
          <w:sz w:val="32"/>
        </w:rPr>
        <w:t>按照上级指示精神加大智能化交通建设</w:t>
      </w:r>
      <w:r>
        <w:rPr>
          <w:rFonts w:hint="eastAsia" w:ascii="仿宋_GB2312" w:hAnsi="仿宋_GB2312" w:eastAsia="仿宋_GB2312" w:cs="仿宋_GB2312"/>
          <w:sz w:val="32"/>
          <w:szCs w:val="32"/>
        </w:rPr>
        <w:t xml:space="preserve">。 </w:t>
      </w:r>
    </w:p>
    <w:p>
      <w:pPr>
        <w:numPr>
          <w:ilvl w:val="0"/>
          <w:numId w:val="1"/>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utoSpaceDE w:val="0"/>
        <w:autoSpaceDN w:val="0"/>
        <w:adjustRightInd w:val="0"/>
        <w:spacing w:line="580" w:lineRule="exact"/>
        <w:ind w:firstLine="640" w:firstLineChars="200"/>
        <w:rPr>
          <w:rFonts w:ascii="楷体_GB2312" w:eastAsia="楷体_GB2312" w:cs="DengXian-Bold"/>
          <w:b/>
          <w:bCs/>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年度财政拨款支出5572.87万元，</w:t>
      </w:r>
      <w:r>
        <w:rPr>
          <w:rFonts w:hint="eastAsia" w:ascii="仿宋_GB2312" w:hAnsi="仿宋_GB2312" w:eastAsia="仿宋_GB2312" w:cs="仿宋_GB2312"/>
          <w:sz w:val="32"/>
          <w:szCs w:val="32"/>
        </w:rPr>
        <w:t>一般公共服务支出136.99万元，占全年支出2.46%。公共安全支出4647.14万元，占全年支出83.39%。社会保障和就业支出318.57万元，占全年支出5.72%</w:t>
      </w:r>
      <w:r>
        <w:rPr>
          <w:rFonts w:hint="eastAsia" w:ascii="仿宋_GB2312" w:hAnsi="仿宋_GB2312" w:eastAsia="仿宋_GB2312" w:cs="仿宋_GB2312"/>
          <w:color w:val="000000"/>
          <w:sz w:val="32"/>
          <w:szCs w:val="32"/>
        </w:rPr>
        <w:t>。医疗卫生与计划生育支出77.07万元，</w:t>
      </w:r>
      <w:r>
        <w:rPr>
          <w:rFonts w:hint="eastAsia" w:ascii="仿宋_GB2312" w:hAnsi="仿宋_GB2312" w:eastAsia="仿宋_GB2312" w:cs="仿宋_GB2312"/>
          <w:sz w:val="32"/>
          <w:szCs w:val="32"/>
        </w:rPr>
        <w:t>占全年支出1.38%</w:t>
      </w:r>
      <w:r>
        <w:rPr>
          <w:rFonts w:hint="eastAsia" w:ascii="仿宋_GB2312" w:hAnsi="仿宋_GB2312" w:eastAsia="仿宋_GB2312" w:cs="仿宋_GB2312"/>
          <w:color w:val="000000"/>
          <w:sz w:val="32"/>
          <w:szCs w:val="32"/>
        </w:rPr>
        <w:t>。住房保障支出114.17万元，</w:t>
      </w:r>
      <w:r>
        <w:rPr>
          <w:rFonts w:hint="eastAsia" w:ascii="仿宋_GB2312" w:hAnsi="仿宋_GB2312" w:eastAsia="仿宋_GB2312" w:cs="仿宋_GB2312"/>
          <w:sz w:val="32"/>
          <w:szCs w:val="32"/>
        </w:rPr>
        <w:t>占全年支出2.05%</w:t>
      </w:r>
      <w:r>
        <w:rPr>
          <w:rFonts w:hint="eastAsia" w:ascii="仿宋_GB2312" w:hAnsi="仿宋_GB2312" w:eastAsia="仿宋_GB2312" w:cs="仿宋_GB2312"/>
          <w:color w:val="000000"/>
          <w:sz w:val="32"/>
          <w:szCs w:val="32"/>
        </w:rPr>
        <w:t>。城乡社区支出278.95万元，</w:t>
      </w:r>
      <w:r>
        <w:rPr>
          <w:rFonts w:hint="eastAsia" w:ascii="仿宋_GB2312" w:hAnsi="仿宋_GB2312" w:eastAsia="仿宋_GB2312" w:cs="仿宋_GB2312"/>
          <w:sz w:val="32"/>
          <w:szCs w:val="32"/>
        </w:rPr>
        <w:t>占全年支出5%</w:t>
      </w:r>
      <w:r>
        <w:rPr>
          <w:rFonts w:hint="eastAsia" w:ascii="仿宋_GB2312" w:hAnsi="仿宋_GB2312" w:eastAsia="仿宋_GB2312" w:cs="仿宋_GB2312"/>
          <w:color w:val="000000"/>
          <w:sz w:val="32"/>
          <w:szCs w:val="32"/>
        </w:rPr>
        <w:t>。</w:t>
      </w:r>
    </w:p>
    <w:p>
      <w:pPr>
        <w:adjustRightInd w:val="0"/>
        <w:snapToGrid w:val="0"/>
        <w:spacing w:after="0" w:line="580" w:lineRule="exact"/>
        <w:ind w:left="420" w:leftChars="200"/>
        <w:rPr>
          <w:rFonts w:ascii="仿宋_GB2312" w:eastAsia="仿宋_GB2312" w:cs="DengXian-Regular"/>
          <w:sz w:val="32"/>
          <w:szCs w:val="32"/>
          <w:highlight w:val="yellow"/>
        </w:rPr>
      </w:pPr>
      <w:r>
        <w:pict>
          <v:group id="组合 79" o:spid="_x0000_s1049" o:spt="203" style="position:absolute;left:0pt;margin-left:-79.5pt;margin-top:29.3pt;height:43.95pt;width:301.85pt;mso-position-vertical-relative:page;z-index:251681792;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xV6itsAAAALAQAADwAA&#10;AAAAAAABACAAAAAiAAAAZHJzL2Rvd25yZXYueG1sUEsBAhQAFAAAAAgAh07iQK7aUIG+AgAACgcA&#10;AA4AAAAAAAAAAQAgAAAAKgEAAGRycy9lMm9Eb2MueG1sUEsFBgAAAAAGAAYAWQEAAFoGAAAAAA==&#10;">
            <o:lock v:ext="edit"/>
            <v:rect id="矩形 13" o:spid="_x0000_s1051" o:spt="1" style="position:absolute;left:4551;top:52615;height:1175;width:8546;v-text-anchor:middle;" fillcolor="#96DA9D" filled="t" stroked="f" coordsize="21600,21600" o:gfxdata="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qhK1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50" o:spt="1" style="position:absolute;left:4577;top:52890;height:1123;width:8324;v-text-anchor:middle;" fillcolor="#AD002D" filled="t" stroked="t" coordsize="21600,21600" o:gfxdata="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P7dNL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r>
        <w:pict>
          <v:group id="组合 23" o:spid="_x0000_s1046" o:spt="203" style="position:absolute;left:0pt;margin-left:-79.5pt;margin-top:29.3pt;height:43.95pt;width:301.85pt;mso-position-vertical-relative:page;z-index:251688960;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xV6itsAAAALAQAA&#10;DwAAAAAAAAABACAAAAAiAAAAZHJzL2Rvd25yZXYueG1sUEsBAhQAFAAAAAgAh07iQPUWSYXBAgAA&#10;CgcAAA4AAAAAAAAAAQAgAAAAKgEAAGRycy9lMm9Eb2MueG1sUEsFBgAAAAAGAAYAWQEAAF0GAAAA&#10;AA==&#10;">
            <o:lock v:ext="edit"/>
            <v:rect id="矩形 13" o:spid="_x0000_s1048" o:spt="1" style="position:absolute;left:4551;top:52615;height:1175;width:8546;v-text-anchor:middle;" fillcolor="#96DA9D" filled="t" stroked="f" coordsize="21600,21600" o:gfxdata="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FAcsr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47" o:spt="1" style="position:absolute;left:4577;top:52890;height:1123;width:8324;v-text-anchor:middle;" fillcolor="#AD002D" filled="t" stroked="t" coordsize="21600,21600" o:gfxdata="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Nypm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一般公共预算财政拨款基本支出3295.03万元，其中：人员经费2591.72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ascii="仿宋_GB2312" w:eastAsia="仿宋_GB2312" w:cs="DengXian-Regular"/>
          <w:sz w:val="32"/>
          <w:szCs w:val="32"/>
        </w:rPr>
        <w:t xml:space="preserve"> </w:t>
      </w:r>
      <w:r>
        <w:rPr>
          <w:rFonts w:hint="eastAsia" w:ascii="仿宋_GB2312" w:eastAsia="仿宋_GB2312" w:cs="DengXian-Regular"/>
          <w:sz w:val="32"/>
          <w:szCs w:val="32"/>
        </w:rPr>
        <w:t>703.31万元，主要包括办公费、印刷费、咨询费、手续费、水费、电费、邮电费、取暖费、物业管理费、差旅费、因公出国（境）费、维修（护）费、租赁费、会议费、培训费、公务接待费、专用材料费、劳务费、委</w:t>
      </w:r>
      <w:r>
        <w:rPr>
          <w:rFonts w:hint="eastAsia" w:ascii="宋体" w:hAnsi="宋体" w:cs="宋体"/>
          <w:sz w:val="32"/>
          <w:szCs w:val="32"/>
        </w:rPr>
        <w:t>托</w:t>
      </w:r>
      <w:r>
        <w:rPr>
          <w:rFonts w:hint="eastAsia" w:ascii="仿宋_GB2312" w:eastAsia="仿宋_GB2312" w:cs="DengXian-Regular"/>
          <w:sz w:val="32"/>
          <w:szCs w:val="32"/>
        </w:rPr>
        <w:t>业务费、工会经费、福利费、公务用车运行维护费、其他交通费用、税金及</w:t>
      </w:r>
      <w:r>
        <w:rPr>
          <w:rFonts w:hint="eastAsia" w:ascii="宋体" w:hAnsi="宋体" w:cs="宋体"/>
          <w:sz w:val="32"/>
          <w:szCs w:val="32"/>
        </w:rPr>
        <w:t>附</w:t>
      </w:r>
      <w:r>
        <w:rPr>
          <w:rFonts w:hint="eastAsia" w:ascii="仿宋_GB2312" w:eastAsia="仿宋_GB2312" w:cs="DengXian-Regular"/>
          <w:sz w:val="32"/>
          <w:szCs w:val="32"/>
        </w:rPr>
        <w:t>加费用、其他商品和服务支出、办公设备购置、专用设备购置、信息网络及</w:t>
      </w:r>
      <w:r>
        <w:rPr>
          <w:rFonts w:hint="eastAsia" w:ascii="宋体" w:hAnsi="宋体" w:cs="宋体"/>
          <w:sz w:val="32"/>
          <w:szCs w:val="32"/>
        </w:rPr>
        <w:t>软件</w:t>
      </w:r>
      <w:r>
        <w:rPr>
          <w:rFonts w:hint="eastAsia" w:ascii="仿宋_GB2312" w:eastAsia="仿宋_GB2312" w:cs="DengXian-Regular"/>
          <w:sz w:val="32"/>
          <w:szCs w:val="32"/>
        </w:rPr>
        <w:t>购置</w:t>
      </w:r>
      <w:r>
        <w:rPr>
          <w:rFonts w:hint="eastAsia" w:ascii="宋体" w:hAnsi="宋体" w:cs="宋体"/>
          <w:sz w:val="32"/>
          <w:szCs w:val="32"/>
        </w:rPr>
        <w:t>更新、公务用车购置、其他资本性支出</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“三公”经费支出共计67.49万元，</w:t>
      </w:r>
      <w:r>
        <w:rPr>
          <w:rFonts w:hint="eastAsia" w:ascii="仿宋_GB2312" w:eastAsia="仿宋_GB2312" w:cs="DengXian-Regular"/>
          <w:bCs/>
          <w:sz w:val="32"/>
          <w:szCs w:val="32"/>
        </w:rPr>
        <w:t>较年初预算减少24.51万元，降低26.64</w:t>
      </w:r>
      <w:r>
        <w:rPr>
          <w:rFonts w:ascii="仿宋_GB2312" w:eastAsia="仿宋_GB2312" w:cs="DengXian-Regular"/>
          <w:bCs/>
          <w:sz w:val="32"/>
          <w:szCs w:val="32"/>
        </w:rPr>
        <w:t>%</w:t>
      </w:r>
      <w:r>
        <w:rPr>
          <w:rFonts w:hint="eastAsia" w:ascii="仿宋_GB2312" w:eastAsia="仿宋_GB2312" w:cs="DengXian-Regular"/>
          <w:bCs/>
          <w:sz w:val="32"/>
          <w:szCs w:val="32"/>
        </w:rPr>
        <w:t>，</w:t>
      </w:r>
      <w:r>
        <w:rPr>
          <w:rFonts w:hint="eastAsia" w:ascii="仿宋_GB2312" w:eastAsia="仿宋_GB2312" w:cs="DengXian-Regular"/>
          <w:sz w:val="32"/>
          <w:szCs w:val="32"/>
        </w:rPr>
        <w:t>主要是认真贯彻落实中央“八项规定”精神和厉行节约要求，从严控制“三公”经费开支，全年实际支出比预算有所节约；较上年增加36.61万元，增长118.56%，主要原因是业务量增加，车辆老化严重，维修次数增多。具体情况如下：</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w:t>
      </w:r>
      <w:r>
        <w:pict>
          <v:group id="组合 82" o:spid="_x0000_s1043" o:spt="203" style="position:absolute;left:0pt;margin-left:-79.5pt;margin-top:29.3pt;height:43.95pt;width:301.85pt;mso-position-vertical-relative:page;z-index:251682816;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xV6itsAAAALAQAADwAAAAAA&#10;AAABACAAAAAiAAAAZHJzL2Rvd25yZXYueG1sUEsBAhQAFAAAAAgAh07iQODSiR27AgAACgcAAA4A&#10;AAAAAAAAAQAgAAAAKgEAAGRycy9lMm9Eb2MueG1sUEsFBgAAAAAGAAYAWQEAAFcGAAAAAA==&#10;">
            <o:lock v:ext="edit"/>
            <v:rect id="矩形 13" o:spid="_x0000_s1045" o:spt="1" style="position:absolute;left:4551;top:52615;height:1175;width:8546;v-text-anchor:middle;" fillcolor="#96DA9D" filled="t" stroked="f" coordsize="21600,21600" o:gfxdata="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KnlSb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44" o:spt="1" style="position:absolute;left:4577;top:52890;height:1123;width:8324;v-text-anchor:middle;" fillcolor="#AD002D" filled="t" stroked="t" coordsize="21600,21600" o:gfxdata="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WFJRr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一）因公出国（境）费支出0万元。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年度因公出国（境）团组0个、共0人</w:t>
      </w:r>
      <w:r>
        <w:rPr>
          <w:rFonts w:ascii="仿宋_GB2312" w:eastAsia="仿宋_GB2312" w:cs="DengXian-Regular"/>
          <w:sz w:val="32"/>
          <w:szCs w:val="32"/>
        </w:rPr>
        <w:t>/</w:t>
      </w:r>
      <w:r>
        <w:rPr>
          <w:rFonts w:hint="eastAsia" w:ascii="仿宋_GB2312" w:eastAsia="仿宋_GB2312" w:cs="DengXian-Regular"/>
          <w:sz w:val="32"/>
          <w:szCs w:val="32"/>
        </w:rPr>
        <w:t>参加其他单位组织的因公出国（境）团组0个、共0人</w:t>
      </w:r>
      <w:r>
        <w:rPr>
          <w:rFonts w:ascii="仿宋_GB2312" w:eastAsia="仿宋_GB2312" w:cs="DengXian-Regular"/>
          <w:sz w:val="32"/>
          <w:szCs w:val="32"/>
        </w:rPr>
        <w:t>/</w:t>
      </w:r>
      <w:r>
        <w:rPr>
          <w:rFonts w:hint="eastAsia" w:ascii="仿宋_GB2312" w:eastAsia="仿宋_GB2312" w:cs="DengXian-Regular"/>
          <w:sz w:val="32"/>
          <w:szCs w:val="32"/>
        </w:rPr>
        <w:t>无本单位组织的出国（境）团组。未发生因公出国（境）支出，与年初预算持平，较上年无变化。</w:t>
      </w:r>
    </w:p>
    <w:p>
      <w:pPr>
        <w:adjustRightInd w:val="0"/>
        <w:snapToGrid w:val="0"/>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（二）公务用车购置及运行维护费支出67.49万元。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年度公务用车购置及运行维护费较年初预算减少24.51万元，降低26.64</w:t>
      </w:r>
      <w:r>
        <w:rPr>
          <w:rFonts w:ascii="仿宋_GB2312" w:eastAsia="仿宋_GB2312" w:cs="DengXian-Regular"/>
          <w:sz w:val="32"/>
          <w:szCs w:val="32"/>
        </w:rPr>
        <w:t>%,</w:t>
      </w:r>
      <w:r>
        <w:rPr>
          <w:rFonts w:hint="eastAsia" w:ascii="仿宋_GB2312" w:eastAsia="仿宋_GB2312" w:cs="DengXian-Regular"/>
          <w:sz w:val="32"/>
          <w:szCs w:val="32"/>
        </w:rPr>
        <w:t>主要是认真贯彻落实中央“八项规定”精神和厉行节约要求，从严控制“三公”经费开支，全年实际支出比预算有所节约，较上年增加36.61万元，增长118.56%，主要原因是业务量增加，车辆老化严重，维修次数增多。</w:t>
      </w:r>
      <w:r>
        <w:rPr>
          <w:rFonts w:hint="eastAsia" w:ascii="仿宋_GB2312" w:eastAsia="仿宋_GB2312" w:cs="DengXian-Bold"/>
          <w:b/>
          <w:bCs/>
          <w:sz w:val="32"/>
          <w:szCs w:val="32"/>
        </w:rPr>
        <w:t>其中：</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公务用车购置费</w:t>
      </w:r>
      <w:r>
        <w:rPr>
          <w:rFonts w:hint="eastAsia" w:ascii="楷体_GB2312" w:eastAsia="楷体_GB2312" w:cs="DengXian-Bold"/>
          <w:b/>
          <w:bCs/>
          <w:sz w:val="32"/>
          <w:szCs w:val="32"/>
        </w:rPr>
        <w:t>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年度公务用车购置量0辆，发生“公务用车购置”经费支出0万元。未发生公务用车购置费支出，较年初预算持平，较上年无变化。</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公务用车运行维护费</w:t>
      </w:r>
      <w:r>
        <w:rPr>
          <w:rFonts w:hint="eastAsia" w:ascii="楷体_GB2312" w:eastAsia="楷体_GB2312" w:cs="DengXian-Bold"/>
          <w:b/>
          <w:bCs/>
          <w:sz w:val="32"/>
          <w:szCs w:val="32"/>
        </w:rPr>
        <w:t>67.49万元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年度单位公务用车保有量62辆。公车运行维护费支出较年初预算减少24.51万元，降低26.64</w:t>
      </w:r>
      <w:r>
        <w:rPr>
          <w:rFonts w:ascii="仿宋_GB2312" w:eastAsia="仿宋_GB2312" w:cs="DengXian-Regular"/>
          <w:sz w:val="32"/>
          <w:szCs w:val="32"/>
        </w:rPr>
        <w:t>%,</w:t>
      </w:r>
      <w:r>
        <w:rPr>
          <w:rFonts w:hint="eastAsia" w:ascii="仿宋_GB2312" w:eastAsia="仿宋_GB2312" w:cs="DengXian-Regular"/>
          <w:sz w:val="32"/>
          <w:szCs w:val="32"/>
        </w:rPr>
        <w:t>主要是认真贯彻落实中央“八项规定”精神和厉行节约要求，从严控制“三公”经费开支，全年实际支出比预算有所节约；较上年增加36.61万元，增长118.56%，主要原因是业务量增加，车辆老化严重，维修次数增多。</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（三）公务接待费支出0万元。</w:t>
      </w:r>
      <w:r>
        <w:pict>
          <v:group id="_x0000_s1091" o:spid="_x0000_s1091" o:spt="203" style="position:absolute;left:0pt;margin-left:-14.55pt;margin-top:109.3pt;height:43.95pt;width:301.85pt;mso-position-vertical-relative:page;z-index:251689984;mso-width-relative:page;mso-height-relative:page;" coordorigin="4551,52615" coordsize="8546,1398203" o:gfxdata="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iNJGWtwAAAALAQAADwAAAAAAAAABACAAAAAiAAAAZHJzL2Rvd25yZXYu&#10;eG1sUEsBAhQAFAAAAAgAh07iQLPhuNWiAgAAvAYAAA4AAAAAAAAAAQAgAAAAKwEAAGRycy9lMm9E&#10;b2MueG1sUEsFBgAAAAAGAAYAWQEAAD8GAAAAAA==&#10;">
            <o:lock v:ext="edit"/>
            <v:rect id="矩形 13" o:spid="_x0000_s1092" o:spt="1" style="position:absolute;left:4551;top:52615;height:1175;width:8546;v-text-anchor:middle;" fillcolor="#96DA9D" filled="t" stroked="f" coordsize="21600,21600" o:gfxdata="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O/n5r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93" o:spt="1" style="position:absolute;left:4577;top:52890;height:1123;width:8324;v-text-anchor:middle;" fillcolor="#AD002D" filled="t" stroked="t" coordsize="21600,21600" o:gfxdata="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HoA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批次</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人次。公务接待费支出较年初预算相比</w:t>
      </w:r>
      <w:r>
        <w:rPr>
          <w:rFonts w:hint="eastAsia" w:ascii="仿宋" w:hAnsi="仿宋" w:eastAsia="仿宋"/>
          <w:sz w:val="32"/>
          <w:szCs w:val="32"/>
        </w:rPr>
        <w:t>增加0万元，增长0%</w:t>
      </w:r>
      <w:r>
        <w:rPr>
          <w:rFonts w:hint="eastAsia" w:ascii="仿宋_GB2312" w:eastAsia="仿宋_GB2312" w:cs="DengXian-Regular"/>
          <w:sz w:val="32"/>
          <w:szCs w:val="32"/>
        </w:rPr>
        <w:t>，</w:t>
      </w:r>
      <w:r>
        <w:rPr>
          <w:rFonts w:hint="eastAsia" w:ascii="仿宋" w:hAnsi="仿宋" w:eastAsia="仿宋" w:cs="仿宋"/>
          <w:sz w:val="32"/>
          <w:szCs w:val="32"/>
        </w:rPr>
        <w:t>较2017年决算</w:t>
      </w:r>
      <w:r>
        <w:rPr>
          <w:rFonts w:hint="eastAsia" w:ascii="仿宋_GB2312" w:eastAsia="仿宋_GB2312" w:cs="DengXian-Regular"/>
          <w:sz w:val="32"/>
          <w:szCs w:val="32"/>
        </w:rPr>
        <w:t>相比</w:t>
      </w:r>
      <w:r>
        <w:rPr>
          <w:rFonts w:hint="eastAsia" w:ascii="仿宋" w:hAnsi="仿宋" w:eastAsia="仿宋"/>
          <w:sz w:val="32"/>
          <w:szCs w:val="32"/>
        </w:rPr>
        <w:t>增加0万元，增长0%</w:t>
      </w:r>
      <w:r>
        <w:rPr>
          <w:rFonts w:hint="eastAsia" w:ascii="仿宋" w:hAnsi="仿宋" w:eastAsia="仿宋" w:cs="仿宋"/>
          <w:sz w:val="32"/>
          <w:szCs w:val="32"/>
        </w:rPr>
        <w:t>。</w:t>
      </w:r>
      <w:bookmarkStart w:id="2" w:name="_GoBack"/>
      <w:bookmarkEnd w:id="2"/>
      <w:r>
        <w:pict>
          <v:group id="组合 85" o:spid="_x0000_s1040" o:spt="203" style="position:absolute;left:0pt;margin-left:-79.5pt;margin-top:29.3pt;height:43.95pt;width:301.85pt;mso-position-vertical-relative:page;z-index:251683840;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P8VeorbAAAACwEAAA8AAAAAAAAA&#10;AQAgAAAAIgAAAGRycy9kb3ducmV2LnhtbFBLAQIUABQAAAAIAIdO4kA9dEhXuQIAAAoHAAAOAAAA&#10;AAAAAAEAIAAAACoBAABkcnMvZTJvRG9jLnhtbFBLBQYAAAAABgAGAFkBAABVBgAAAAA=&#10;">
            <o:lock v:ext="edit"/>
            <v:rect id="矩形 13" o:spid="_x0000_s1042" o:spt="1" style="position:absolute;left:4551;top:52615;height:1175;width:8546;v-text-anchor:middle;" fillcolor="#96DA9D" filled="t" stroked="f" coordsize="21600,21600" o:gfxdata="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StoJ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41" o:spt="1" style="position:absolute;left:4577;top:52890;height:1123;width:8324;v-text-anchor:middle;" fillcolor="#AD002D" filled="t" stroked="t" coordsize="21600,21600" o:gfxdata="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HE3q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（一）预算绩效管理工作开展情况。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扎实组织开展“打非治违”、“百日攻坚”严打整治行动，集中开展“两节”、“两会”安保工作，严密组织治安查缉布控，强化应急处突和夜间巡控，打击震慑违法犯罪活动，坚持以习近平新时代中国特色社会主义思想为指导，认真贯彻落实中央、省、市重大决策部署和一系列会议精神，围绕打击各类突出违法犯罪、整治各类突出治安问题，坚持以打开路、打防并举，全警参战，警种牵动，以扫黑除恶为龙头，拉开“打击、整治、维稳、防控、监管、思想政治”等六条战线，在全县迅速掀起打击整治斗争高潮，向各类违法犯罪发起猛烈攻势，形成打击、整治、维稳、防控相结合的立体网络，打出声势、打出平安，确保全县治安大局持续稳定。</w:t>
      </w:r>
    </w:p>
    <w:p>
      <w:pPr>
        <w:numPr>
          <w:ilvl w:val="0"/>
          <w:numId w:val="2"/>
        </w:num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项目绩效自评结果。</w:t>
      </w:r>
    </w:p>
    <w:p>
      <w:pPr>
        <w:pStyle w:val="3"/>
        <w:spacing w:before="0" w:after="0" w:line="580" w:lineRule="exact"/>
        <w:ind w:firstLine="640" w:firstLineChars="200"/>
        <w:rPr>
          <w:rFonts w:ascii="仿宋_GB2312" w:eastAsia="仿宋_GB2312" w:cs="DengXian-Regular"/>
        </w:rPr>
      </w:pPr>
      <w:r>
        <w:rPr>
          <w:rFonts w:hint="eastAsia" w:ascii="仿宋_GB2312" w:hAnsi="Times New Roman" w:eastAsia="仿宋_GB2312" w:cs="DengXian-Regular"/>
          <w:b w:val="0"/>
          <w:bCs w:val="0"/>
        </w:rPr>
        <w:t>2018年我单位取得了很好的成果，较好实现了预算项目绩效目标，绩效评价综合得分92.4分，绩效综合等级为良。</w:t>
      </w:r>
    </w:p>
    <w:p>
      <w:pPr>
        <w:numPr>
          <w:ilvl w:val="0"/>
          <w:numId w:val="2"/>
        </w:num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重点项目绩效评价结果。</w:t>
      </w:r>
    </w:p>
    <w:p>
      <w:pPr>
        <w:rPr>
          <w:rFonts w:eastAsia="仿宋_GB2312"/>
        </w:rPr>
      </w:pPr>
      <w:r>
        <w:rPr>
          <w:rFonts w:hint="eastAsia" w:ascii="仿宋_GB2312" w:eastAsia="仿宋_GB2312" w:cs="DengXian-Regular"/>
          <w:sz w:val="32"/>
          <w:szCs w:val="32"/>
        </w:rPr>
        <w:t>无</w:t>
      </w:r>
    </w:p>
    <w:p>
      <w:pPr>
        <w:pStyle w:val="3"/>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utoSpaceDE w:val="0"/>
        <w:autoSpaceDN w:val="0"/>
        <w:adjustRightInd w:val="0"/>
        <w:spacing w:line="580" w:lineRule="exact"/>
        <w:ind w:firstLine="640" w:firstLineChars="200"/>
        <w:rPr>
          <w:rFonts w:eastAsia="仿宋_GB2312" w:cs="仿宋_GB2312"/>
          <w:color w:val="000000"/>
          <w:sz w:val="32"/>
          <w:szCs w:val="32"/>
        </w:rPr>
      </w:pPr>
      <w:r>
        <w:rPr>
          <w:rFonts w:hint="eastAsia" w:eastAsia="仿宋_GB2312" w:cs="仿宋_GB2312"/>
          <w:color w:val="000000"/>
          <w:sz w:val="32"/>
          <w:szCs w:val="32"/>
        </w:rPr>
        <w:t>2018年单位机关运行经费支出703.31万元，</w:t>
      </w:r>
      <w:r>
        <w:rPr>
          <w:rFonts w:hint="eastAsia" w:ascii="仿宋" w:hAnsi="仿宋" w:eastAsia="仿宋" w:cs="仿宋"/>
          <w:bCs/>
          <w:spacing w:val="17"/>
          <w:position w:val="2"/>
          <w:sz w:val="32"/>
        </w:rPr>
        <w:t>比 2017年减少708.22 万元，减少100.6%，主要原因是例行节约。</w:t>
      </w:r>
      <w:r>
        <w:rPr>
          <w:rFonts w:hint="eastAsia" w:eastAsia="仿宋_GB2312" w:cs="仿宋_GB2312"/>
          <w:color w:val="000000"/>
          <w:sz w:val="32"/>
          <w:szCs w:val="32"/>
        </w:rPr>
        <w:t>较本年预算增加19.53万元，增长2.86%，原因为业务量增加</w:t>
      </w:r>
      <w:r>
        <w:rPr>
          <w:rFonts w:hint="eastAsia" w:ascii="仿宋" w:hAnsi="仿宋" w:eastAsia="仿宋" w:cs="仿宋"/>
          <w:bCs/>
          <w:spacing w:val="12"/>
          <w:sz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本单位2018年度政府采购支出总额1897.09万元。</w:t>
      </w:r>
      <w:r>
        <w:rPr>
          <w:rFonts w:hint="eastAsia" w:ascii="仿宋" w:hAnsi="仿宋" w:eastAsia="仿宋" w:cs="仿宋"/>
          <w:bCs/>
          <w:sz w:val="32"/>
        </w:rPr>
        <w:t>较年初预算减少43.75万元，</w:t>
      </w:r>
      <w:r>
        <w:rPr>
          <w:rFonts w:hint="eastAsia" w:ascii="仿宋" w:hAnsi="仿宋" w:eastAsia="仿宋" w:cs="仿宋"/>
          <w:bCs/>
          <w:spacing w:val="17"/>
          <w:position w:val="2"/>
          <w:sz w:val="32"/>
        </w:rPr>
        <w:t>减少2.25%，</w:t>
      </w:r>
      <w:r>
        <w:rPr>
          <w:rFonts w:hint="eastAsia" w:ascii="仿宋" w:hAnsi="仿宋" w:eastAsia="仿宋" w:cs="仿宋"/>
          <w:bCs/>
          <w:sz w:val="32"/>
        </w:rPr>
        <w:t>主要原因是</w:t>
      </w:r>
      <w:r>
        <w:rPr>
          <w:rFonts w:hint="eastAsia" w:ascii="仿宋" w:hAnsi="仿宋" w:eastAsia="仿宋" w:cs="仿宋"/>
          <w:bCs/>
          <w:spacing w:val="12"/>
          <w:sz w:val="32"/>
        </w:rPr>
        <w:t>政府采购项目实际采购金额比采购计划金额有所减少；</w:t>
      </w:r>
      <w:r>
        <w:rPr>
          <w:rFonts w:hint="eastAsia" w:ascii="仿宋" w:hAnsi="仿宋" w:eastAsia="仿宋" w:cs="仿宋_GB2312"/>
          <w:sz w:val="32"/>
          <w:szCs w:val="32"/>
        </w:rPr>
        <w:t>其中政府采购货物支出1897.09万元，较上年决算增加1190.76，增长168.58%</w:t>
      </w:r>
      <w:r>
        <w:rPr>
          <w:rFonts w:hint="eastAsia" w:ascii="仿宋_GB2312" w:hAnsi="仿宋_GB2312" w:eastAsia="仿宋_GB2312" w:cs="仿宋_GB2312"/>
          <w:sz w:val="32"/>
          <w:szCs w:val="32"/>
        </w:rPr>
        <w:t>，原因为</w:t>
      </w:r>
      <w:r>
        <w:rPr>
          <w:rFonts w:hint="eastAsia" w:ascii="仿宋" w:hAnsi="仿宋" w:eastAsia="仿宋" w:cs="仿宋"/>
          <w:bCs/>
          <w:spacing w:val="12"/>
          <w:sz w:val="32"/>
        </w:rPr>
        <w:t>按照上级指示精神加大智能化交通建设</w:t>
      </w:r>
      <w:r>
        <w:rPr>
          <w:rFonts w:hint="eastAsia" w:ascii="仿宋_GB2312" w:hAnsi="仿宋_GB2312" w:eastAsia="仿宋_GB2312" w:cs="仿宋_GB2312"/>
          <w:sz w:val="32"/>
          <w:szCs w:val="32"/>
        </w:rPr>
        <w:t>。政府采购工程支出0万元，较上年决算减少19.80万元，降低100%，原因为2018年无政府采购工程支出，与购置计划相比无变化。政府采购服务支出0万元，较上年决算与购置计划无变化，未授予中小、小微合同。</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62辆，比上年增加3辆。其中，副部（省）级及以上领导用车0辆，主要领导干部用车0辆，机要通信用车0辆，应急保障用车2辆，执法执勤用车39辆，特种专业技术用车18辆，离退休干部用车0辆，其他用车5辆；单位价值</w:t>
      </w:r>
      <w:r>
        <w:rPr>
          <w:rFonts w:ascii="仿宋_GB2312" w:hAnsi="TimesNewRomanPSMT" w:eastAsia="仿宋_GB2312" w:cs="TimesNewRomanPSMT"/>
          <w:sz w:val="32"/>
          <w:szCs w:val="32"/>
        </w:rPr>
        <w:t>50</w:t>
      </w:r>
      <w:r>
        <w:rPr>
          <w:rFonts w:hint="eastAsia" w:ascii="仿宋_GB2312" w:eastAsia="仿宋_GB2312" w:cs="DengXian-Regular"/>
          <w:sz w:val="32"/>
          <w:szCs w:val="32"/>
        </w:rPr>
        <w:t>万元以上通用设备0台（套），较上年无变化，单位价值</w:t>
      </w:r>
      <w:r>
        <w:rPr>
          <w:rFonts w:ascii="仿宋_GB2312" w:hAnsi="TimesNewRomanPSMT" w:eastAsia="仿宋_GB2312" w:cs="TimesNewRomanPSMT"/>
          <w:sz w:val="32"/>
          <w:szCs w:val="32"/>
        </w:rPr>
        <w:t>100</w:t>
      </w:r>
      <w:r>
        <w:rPr>
          <w:rFonts w:hint="eastAsia" w:ascii="仿宋_GB2312" w:eastAsia="仿宋_GB2312" w:cs="DengXian-Regular"/>
          <w:sz w:val="32"/>
          <w:szCs w:val="32"/>
        </w:rPr>
        <w:t>万元以上专用设备0台（套）比较上年无变化。</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spacing w:line="580" w:lineRule="exact"/>
        <w:ind w:firstLine="640" w:firstLineChars="200"/>
        <w:rPr>
          <w:rFonts w:ascii="仿宋_GB2312" w:hAnsi="仿宋_GB2312" w:eastAsia="仿宋_GB2312" w:cs="仿宋_GB2312"/>
          <w:sz w:val="32"/>
          <w:szCs w:val="32"/>
        </w:rPr>
      </w:pPr>
      <w:r>
        <w:rPr>
          <w:rFonts w:ascii="仿宋_GB2312" w:eastAsia="仿宋_GB2312" w:cs="DengXian-Regular"/>
          <w:sz w:val="32"/>
          <w:szCs w:val="32"/>
        </w:rPr>
        <w:t>1</w:t>
      </w:r>
      <w:r>
        <w:rPr>
          <w:rFonts w:hint="eastAsia" w:ascii="仿宋_GB2312" w:eastAsia="仿宋_GB2312" w:cs="DengXian-Regular"/>
          <w:sz w:val="32"/>
          <w:szCs w:val="32"/>
        </w:rPr>
        <w:t>、</w:t>
      </w:r>
      <w:r>
        <w:rPr>
          <w:rFonts w:hint="eastAsia" w:ascii="仿宋_GB2312" w:hAnsi="仿宋_GB2312" w:eastAsia="仿宋_GB2312" w:cs="仿宋_GB2312"/>
          <w:sz w:val="32"/>
          <w:szCs w:val="32"/>
        </w:rPr>
        <w:t xml:space="preserve">2018年培训费年初预算1.00万元，实际支出0元，比年初预算减少1.00万元，降低0%，主要原因是响应国家号召，厉行节约。比上年决算减少0万元，降低0%，主要原因是响应国家号召，厉行节约。较年初预算无增减变化，较2017年决算无增减变化。 </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2018年会议费无年初预算，无实际支出。同上年没有变化。较年初预算无增减变化，较2017年决算无增减变化。</w:t>
      </w:r>
    </w:p>
    <w:p>
      <w:pPr>
        <w:spacing w:line="580" w:lineRule="exact"/>
        <w:ind w:firstLine="640" w:firstLineChars="200"/>
        <w:rPr>
          <w:rFonts w:ascii="仿宋_GB2312" w:eastAsia="仿宋_GB2312" w:cs="DengXian-Regular"/>
          <w:sz w:val="32"/>
          <w:szCs w:val="32"/>
        </w:rPr>
      </w:pPr>
      <w:r>
        <w:rPr>
          <w:rFonts w:hint="eastAsia" w:ascii="仿宋_GB2312" w:hAnsi="仿宋_GB2312" w:eastAsia="仿宋_GB2312" w:cs="仿宋_GB2312"/>
          <w:sz w:val="32"/>
          <w:szCs w:val="32"/>
        </w:rPr>
        <w:t>本单位2018年度无国有资本经营预算财政拨款支出表、无政府采购情况表及结转结余情况，故公开09表国有资本经营预算财政拨款支出决算表以空表列示。</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2</w:t>
      </w:r>
      <w:r>
        <w:rPr>
          <w:rFonts w:hint="eastAsia" w:ascii="仿宋_GB2312" w:eastAsia="仿宋_GB2312" w:cs="DengXian-Regular"/>
          <w:sz w:val="32"/>
          <w:szCs w:val="32"/>
        </w:rPr>
        <w:t>、由于决算公开表格中金额数值应当保留两位小数，公开数据为四舍五入计算结</w:t>
      </w:r>
      <w:r>
        <w:pict>
          <v:group id="组合 91" o:spid="_x0000_s1037" o:spt="203" style="position:absolute;left:0pt;margin-left:-79.5pt;margin-top:29.3pt;height:43.95pt;width:301.85pt;mso-position-vertical-relative:page;z-index:251684864;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xV6itsAAAALAQAADwAA&#10;AAAAAAABACAAAAAiAAAAZHJzL2Rvd25yZXYueG1sUEsBAhQAFAAAAAgAh07iQAx9j3C+AgAACgcA&#10;AA4AAAAAAAAAAQAgAAAAKgEAAGRycy9lMm9Eb2MueG1sUEsFBgAAAAAGAAYAWQEAAFoGAAAAAA==&#10;">
            <o:lock v:ext="edit"/>
            <v:rect id="矩形 13" o:spid="_x0000_s1039" o:spt="1" style="position:absolute;left:4551;top:52615;height:1175;width:8546;v-text-anchor:middle;" fillcolor="#96DA9D" filled="t" stroked="f" coordsize="21600,21600" o:gfxdata="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O/n5rsAAADb&#10;AAAADwAAAAAAAAABACAAAAAiAAAAZHJzL2Rvd25yZXYueG1sUEsBAhQAFAAAAAgAh07iQDMvBZ47&#10;AAAAOQAAABAAAAAAAAAAAQAgAAAACgEAAGRycy9zaGFwZXhtbC54bWxQSwUGAAAAAAYABgBbAQAA&#10;tAMAAAAA&#10;">
              <v:path/>
              <v:fill on="t" focussize="0,0"/>
              <v:stroke on="f" weight="2pt"/>
              <v:imagedata o:title=""/>
              <o:lock v:ext="edit"/>
            </v:rect>
            <v:rect id="_x0000_s1038" o:spid="_x0000_s1038" o:spt="1" style="position:absolute;left:4577;top:52890;height:1123;width:8324;v-text-anchor:middle;" fillcolor="#AD002D" filled="t" stroked="t" coordsize="21600,21600" o:gfxdata="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HoA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8480"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12" name="图片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2"/>
                    <pic:cNvPicPr>
                      <a:picLocks noChangeAspect="1"/>
                    </pic:cNvPicPr>
                  </pic:nvPicPr>
                  <pic:blipFill>
                    <a:blip r:embed="rId7"/>
                    <a:stretch>
                      <a:fillRect/>
                    </a:stretch>
                  </pic:blipFill>
                  <pic:spPr>
                    <a:xfrm>
                      <a:off x="0" y="0"/>
                      <a:ext cx="7550150" cy="10680065"/>
                    </a:xfrm>
                    <a:prstGeom prst="rect">
                      <a:avLst/>
                    </a:prstGeom>
                    <a:noFill/>
                    <a:ln>
                      <a:noFill/>
                    </a:ln>
                  </pic:spPr>
                </pic:pic>
              </a:graphicData>
            </a:graphic>
          </wp:anchor>
        </w:drawing>
      </w:r>
      <w:r>
        <w:pict>
          <v:shape id="文本框 22" o:spid="_x0000_s1036" o:spt="202" type="#_x0000_t202" style="position:absolute;left:0pt;margin-left:-78.7pt;margin-top:232.8pt;height:159.1pt;width:596.2pt;z-index:251667456;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lmnozeAAAADQEAAA8AAAAAAAAAAQAgAAAAIgAAAGRycy9kb3ducmV2LnhtbFBL&#10;AQIUABQAAAAIAIdO4kDlQJcStwEAAFoDAAAOAAAAAAAAAAEAIAAAAC0BAABkcnMvZTJvRG9jLnht&#10;bFBLBQYAAAAABgAGAFkBAABWBQ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w:pict>
          <v:group id="组合 149" o:spid="_x0000_s1033" o:spt="203" style="position:absolute;left:0pt;margin-left:-81.05pt;margin-top:39.65pt;height:43.95pt;width:264.85pt;mso-position-vertical-relative:page;z-index:251671552;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IWM/JvbAAAACwEAAA8A&#10;AAAAAAAAAQAgAAAAIgAAAGRycy9kb3ducmV2LnhtbFBLAQIUABQAAAAIAIdO4kAHORc2vwIAAAsH&#10;AAAOAAAAAAAAAAEAIAAAACoBAABkcnMvZTJvRG9jLnhtbFBLBQYAAAAABgAGAFkBAABbBgAAAAA=&#10;">
            <o:lock v:ext="edit"/>
            <v:rect id="矩形 13" o:spid="_x0000_s1035" o:spt="1" style="position:absolute;left:4551;top:52615;height:1175;width:8546;v-text-anchor:middle;" fillcolor="#96DA9D" filled="t" stroked="f" coordsize="21600,21600" o:gfxdata="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tlyr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34" o:spt="1" style="position:absolute;left:4577;top:52890;height:1123;width:8324;v-text-anchor:middle;" fillcolor="#AD002D" filled="t" stroked="t" coordsize="21600,21600" o:gfxdata="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TfIp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pict>
          <v:group id="组合 94" o:spid="_x0000_s1030" o:spt="203" style="position:absolute;left:0pt;margin-left:-81.05pt;margin-top:39.65pt;height:43.95pt;width:264.85pt;mso-position-vertical-relative:page;z-index:251685888;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IWM/JvbAAAACwEAAA8AAAAA&#10;AAAAAQAgAAAAIgAAAGRycy9kb3ducmV2LnhtbFBLAQIUABQAAAAIAIdO4kAyQIIkvAIAAAoHAAAO&#10;AAAAAAAAAAEAIAAAACoBAABkcnMvZTJvRG9jLnhtbFBLBQYAAAAABgAGAFkBAABYBgAAAAA=&#10;">
            <o:lock v:ext="edit"/>
            <v:rect id="矩形 13" o:spid="_x0000_s1032" o:spt="1" style="position:absolute;left:4551;top:52615;height:1175;width:8546;v-text-anchor:middle;" fillcolor="#96DA9D" filled="t" stroked="f" coordsize="21600,21600" o:gfxdata="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Wq1L7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31" o:spt="1" style="position:absolute;left:4577;top:52890;height:1123;width:8324;v-text-anchor:middle;" fillcolor="#AD002D" filled="t" stroked="t" coordsize="21600,21600" o:gfxdata="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ohkg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w:pict>
          <v:group id="组合 97" o:spid="_x0000_s1027" o:spt="203" style="position:absolute;left:0pt;margin-left:-81.05pt;margin-top:39.65pt;height:43.95pt;width:264.85pt;mso-position-vertical-relative:page;z-index:251686912;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hYz8m9sAAAALAQAADwAAAAAA&#10;AAABACAAAAAiAAAAZHJzL2Rvd25yZXYueG1sUEsBAhQAFAAAAAgAh07iQONpylG7AgAACgcAAA4A&#10;AAAAAAAAAQAgAAAAKgEAAGRycy9lMm9Eb2MueG1sUEsFBgAAAAAGAAYAWQEAAFcGAAAAAA==&#10;">
            <o:lock v:ext="edit"/>
            <v:rect id="矩形 13" o:spid="_x0000_s1029" o:spt="1" style="position:absolute;left:4551;top:52615;height:1175;width:8546;v-text-anchor:middle;" fillcolor="#96DA9D" filled="t" stroked="f" coordsize="21600,21600" o:gfxdata="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bgrWL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28" o:spt="1" style="position:absolute;left:4577;top:52890;height:1123;width:8324;v-text-anchor:middle;" fillcolor="#AD002D" filled="t" stroked="t" coordsize="21600,21600" o:gfxdata="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W6uL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hAnsi="Cambria" w:eastAsia="仿宋_GB2312" w:cs="ArialUnicodeMS"/>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Pr>
        <w:widowControl/>
        <w:spacing w:after="0" w:line="560" w:lineRule="exact"/>
        <w:ind w:firstLine="420" w:firstLineChars="200"/>
        <w:rPr>
          <w:rFonts w:ascii="仿宋_GB2312" w:hAnsi="Cambria" w:eastAsia="仿宋_GB2312" w:cs="ArialUnicodeMS"/>
          <w:kern w:val="0"/>
          <w:sz w:val="32"/>
          <w:szCs w:val="32"/>
        </w:rPr>
      </w:pPr>
      <w:r>
        <w:drawing>
          <wp:anchor distT="0" distB="0" distL="114300" distR="114300" simplePos="0" relativeHeight="251669504" behindDoc="1" locked="0" layoutInCell="1" allowOverlap="1">
            <wp:simplePos x="0" y="0"/>
            <wp:positionH relativeFrom="column">
              <wp:posOffset>-990600</wp:posOffset>
            </wp:positionH>
            <wp:positionV relativeFrom="paragraph">
              <wp:posOffset>-1355090</wp:posOffset>
            </wp:positionV>
            <wp:extent cx="7590155" cy="10735945"/>
            <wp:effectExtent l="0" t="0" r="10795" b="8255"/>
            <wp:wrapNone/>
            <wp:docPr id="13" name="图片 1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1" descr="3"/>
                    <pic:cNvPicPr>
                      <a:picLocks noChangeAspect="1"/>
                    </pic:cNvPicPr>
                  </pic:nvPicPr>
                  <pic:blipFill>
                    <a:blip r:embed="rId12"/>
                    <a:stretch>
                      <a:fillRect/>
                    </a:stretch>
                  </pic:blipFill>
                  <pic:spPr>
                    <a:xfrm>
                      <a:off x="0" y="0"/>
                      <a:ext cx="7590155" cy="10735945"/>
                    </a:xfrm>
                    <a:prstGeom prst="rect">
                      <a:avLst/>
                    </a:prstGeom>
                    <a:noFill/>
                    <a:ln>
                      <a:noFill/>
                    </a:ln>
                  </pic:spPr>
                </pic:pic>
              </a:graphicData>
            </a:graphic>
          </wp:anchor>
        </w:drawing>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F2199C2-2F10-42D4-B950-831D2644BD2B}"/>
  </w:font>
  <w:font w:name="Arial">
    <w:panose1 w:val="020B0604020202020204"/>
    <w:charset w:val="01"/>
    <w:family w:val="swiss"/>
    <w:pitch w:val="default"/>
    <w:sig w:usb0="E0002AFF" w:usb1="C0007843" w:usb2="00000009" w:usb3="00000000" w:csb0="400001FF" w:csb1="FFFF0000"/>
    <w:embedRegular r:id="rId2" w:fontKey="{3C010992-23BE-4083-BFF5-62B053A3BB9D}"/>
  </w:font>
  <w:font w:name="黑体">
    <w:panose1 w:val="02010609060101010101"/>
    <w:charset w:val="86"/>
    <w:family w:val="auto"/>
    <w:pitch w:val="default"/>
    <w:sig w:usb0="800002BF" w:usb1="38CF7CFA" w:usb2="00000016" w:usb3="00000000" w:csb0="00040001" w:csb1="00000000"/>
    <w:embedRegular r:id="rId3" w:fontKey="{6D85890F-B0BE-4D0D-B482-23AD981D2049}"/>
  </w:font>
  <w:font w:name="Courier New">
    <w:panose1 w:val="02070309020205020404"/>
    <w:charset w:val="01"/>
    <w:family w:val="modern"/>
    <w:pitch w:val="default"/>
    <w:sig w:usb0="E0002AFF" w:usb1="C0007843" w:usb2="00000009" w:usb3="00000000" w:csb0="400001FF" w:csb1="FFFF0000"/>
    <w:embedRegular r:id="rId4" w:fontKey="{FFD6827D-51E1-483C-A6E0-62FC38DB05BD}"/>
  </w:font>
  <w:font w:name="Symbol">
    <w:panose1 w:val="05050102010706020507"/>
    <w:charset w:val="02"/>
    <w:family w:val="roman"/>
    <w:pitch w:val="default"/>
    <w:sig w:usb0="00000000" w:usb1="00000000" w:usb2="00000000" w:usb3="00000000" w:csb0="80000000" w:csb1="00000000"/>
    <w:embedRegular r:id="rId5" w:fontKey="{F8EE453E-1454-48BA-AA02-113DECE225D8}"/>
  </w:font>
  <w:font w:name="Calibri">
    <w:panose1 w:val="020F0502020204030204"/>
    <w:charset w:val="00"/>
    <w:family w:val="swiss"/>
    <w:pitch w:val="default"/>
    <w:sig w:usb0="E10002FF" w:usb1="4000ACFF" w:usb2="00000009" w:usb3="00000000" w:csb0="2000019F" w:csb1="00000000"/>
    <w:embedRegular r:id="rId6" w:fontKey="{982671E5-FB68-41BC-ACA0-71DE0DAC9360}"/>
  </w:font>
  <w:font w:name="Cambria">
    <w:panose1 w:val="02040503050406030204"/>
    <w:charset w:val="00"/>
    <w:family w:val="roman"/>
    <w:pitch w:val="default"/>
    <w:sig w:usb0="E00002FF" w:usb1="400004FF" w:usb2="00000000" w:usb3="00000000" w:csb0="2000019F" w:csb1="00000000"/>
    <w:embedRegular r:id="rId7" w:fontKey="{47FC6D19-5431-4B32-A635-21688869050F}"/>
  </w:font>
  <w:font w:name="楷体">
    <w:panose1 w:val="02010609060101010101"/>
    <w:charset w:val="86"/>
    <w:family w:val="modern"/>
    <w:pitch w:val="default"/>
    <w:sig w:usb0="800002BF" w:usb1="38CF7CFA" w:usb2="00000016" w:usb3="00000000" w:csb0="00040001" w:csb1="00000000"/>
    <w:embedRegular r:id="rId8" w:fontKey="{FC8BCF35-506F-489D-8AEB-709D2B93CCA0}"/>
  </w:font>
  <w:font w:name="MS Gothic">
    <w:panose1 w:val="020B0609070205080204"/>
    <w:charset w:val="80"/>
    <w:family w:val="modern"/>
    <w:pitch w:val="default"/>
    <w:sig w:usb0="E00002FF" w:usb1="6AC7FDFB" w:usb2="00000012" w:usb3="00000000" w:csb0="4002009F" w:csb1="DFD70000"/>
    <w:embedRegular r:id="rId9" w:fontKey="{00984551-1047-4959-B91F-15FEE6077D3A}"/>
  </w:font>
  <w:font w:name="仿宋_GB2312">
    <w:altName w:val="仿宋"/>
    <w:panose1 w:val="00000000000000000000"/>
    <w:charset w:val="86"/>
    <w:family w:val="modern"/>
    <w:pitch w:val="default"/>
    <w:sig w:usb0="00000000" w:usb1="00000000" w:usb2="00000010" w:usb3="00000000" w:csb0="00040000" w:csb1="00000000"/>
    <w:embedRegular r:id="rId10" w:fontKey="{A5E2E8B0-E924-491E-A5AF-89F342F8CB76}"/>
  </w:font>
  <w:font w:name="仿宋">
    <w:panose1 w:val="02010609060101010101"/>
    <w:charset w:val="86"/>
    <w:family w:val="auto"/>
    <w:pitch w:val="default"/>
    <w:sig w:usb0="800002BF" w:usb1="38CF7CFA" w:usb2="00000016" w:usb3="00000000" w:csb0="00040001" w:csb1="00000000"/>
    <w:embedRegular r:id="rId11" w:fontKey="{BE0ADC3E-2AB9-4CCC-AC3C-D05BDE6D0DC5}"/>
  </w:font>
  <w:font w:name="ArialUnicodeMS">
    <w:altName w:val="Malgun Gothic"/>
    <w:panose1 w:val="00000000000000000000"/>
    <w:charset w:val="81"/>
    <w:family w:val="auto"/>
    <w:pitch w:val="default"/>
    <w:sig w:usb0="00000000" w:usb1="00000000" w:usb2="00000010" w:usb3="00000000" w:csb0="00080000" w:csb1="00000000"/>
    <w:embedRegular r:id="rId12" w:fontKey="{549BC490-37C1-49D8-8D8F-D043FB8F5E9A}"/>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embedRegular r:id="rId13" w:fontKey="{B182FF5A-9C5A-44D3-959A-23792FB4D17F}"/>
  </w:font>
  <w:font w:name="Arial">
    <w:panose1 w:val="020B0604020202020204"/>
    <w:charset w:val="00"/>
    <w:family w:val="swiss"/>
    <w:pitch w:val="default"/>
    <w:sig w:usb0="E0002AFF" w:usb1="C0007843" w:usb2="00000009" w:usb3="00000000" w:csb0="400001FF" w:csb1="FFFF0000"/>
    <w:embedRegular r:id="rId14" w:fontKey="{30B4F44A-9B66-4E3D-B8B0-786BD82CCCDE}"/>
  </w:font>
  <w:font w:name="楷体_GB2312">
    <w:altName w:val="楷体"/>
    <w:panose1 w:val="00000000000000000000"/>
    <w:charset w:val="86"/>
    <w:family w:val="modern"/>
    <w:pitch w:val="default"/>
    <w:sig w:usb0="00000000" w:usb1="00000000" w:usb2="00000010" w:usb3="00000000" w:csb0="00040000" w:csb1="00000000"/>
    <w:embedRegular r:id="rId15" w:fontKey="{7CAC21FF-13F1-45D4-95F1-B132B29BFB31}"/>
  </w:font>
  <w:font w:name="DengXian-Bold">
    <w:altName w:val="宋体"/>
    <w:panose1 w:val="00000000000000000000"/>
    <w:charset w:val="86"/>
    <w:family w:val="auto"/>
    <w:pitch w:val="default"/>
    <w:sig w:usb0="00000000" w:usb1="00000000" w:usb2="00000010" w:usb3="00000000" w:csb0="00040000" w:csb1="00000000"/>
    <w:embedRegular r:id="rId16" w:fontKey="{198A6E3F-54CF-4384-8F54-14F83D51986A}"/>
  </w:font>
  <w:font w:name="DengXian-Regular">
    <w:altName w:val="宋体"/>
    <w:panose1 w:val="00000000000000000000"/>
    <w:charset w:val="86"/>
    <w:family w:val="auto"/>
    <w:pitch w:val="default"/>
    <w:sig w:usb0="00000000" w:usb1="00000000" w:usb2="00000010" w:usb3="00000000" w:csb0="00040000" w:csb1="00000000"/>
    <w:embedRegular r:id="rId17" w:fontKey="{2F038459-F98A-4788-8B3B-1205C1ACBDA0}"/>
  </w:font>
  <w:font w:name="TimesNewRomanPSMT">
    <w:altName w:val="Arial"/>
    <w:panose1 w:val="00000000000000000000"/>
    <w:charset w:val="00"/>
    <w:family w:val="swiss"/>
    <w:pitch w:val="default"/>
    <w:sig w:usb0="00000000" w:usb1="00000000" w:usb2="00000000" w:usb3="00000000" w:csb0="00000001" w:csb1="00000000"/>
  </w:font>
  <w:font w:name="Gulim">
    <w:panose1 w:val="020B0600000101010101"/>
    <w:charset w:val="81"/>
    <w:family w:val="auto"/>
    <w:pitch w:val="default"/>
    <w:sig w:usb0="B00002AF" w:usb1="69D77CFB" w:usb2="00000030" w:usb3="00000000" w:csb0="4008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EF837"/>
    <w:multiLevelType w:val="singleLevel"/>
    <w:tmpl w:val="8D5EF837"/>
    <w:lvl w:ilvl="0" w:tentative="0">
      <w:start w:val="2"/>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Setting w:name="compatibilityMode" w:uri="http://schemas.microsoft.com/office/word" w:val="12"/>
  </w:compat>
  <w:rsids>
    <w:rsidRoot w:val="003C1413"/>
    <w:rsid w:val="00024E7F"/>
    <w:rsid w:val="000475A0"/>
    <w:rsid w:val="00073E14"/>
    <w:rsid w:val="000838C3"/>
    <w:rsid w:val="000A36A0"/>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1B92"/>
    <w:rsid w:val="003C549F"/>
    <w:rsid w:val="003D5A16"/>
    <w:rsid w:val="003E7DB3"/>
    <w:rsid w:val="00431175"/>
    <w:rsid w:val="004B6E37"/>
    <w:rsid w:val="004C32BA"/>
    <w:rsid w:val="00575922"/>
    <w:rsid w:val="005A6C90"/>
    <w:rsid w:val="005E3FB0"/>
    <w:rsid w:val="005F4B66"/>
    <w:rsid w:val="005F5208"/>
    <w:rsid w:val="00623803"/>
    <w:rsid w:val="00641318"/>
    <w:rsid w:val="0064405D"/>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C12630"/>
    <w:rsid w:val="00C34562"/>
    <w:rsid w:val="00C3774E"/>
    <w:rsid w:val="00C57456"/>
    <w:rsid w:val="00C65387"/>
    <w:rsid w:val="00C802AA"/>
    <w:rsid w:val="00C87FAB"/>
    <w:rsid w:val="00C91FF7"/>
    <w:rsid w:val="00C94E53"/>
    <w:rsid w:val="00CC46BD"/>
    <w:rsid w:val="00D0048E"/>
    <w:rsid w:val="00D23E7A"/>
    <w:rsid w:val="00D61063"/>
    <w:rsid w:val="00DB35AF"/>
    <w:rsid w:val="00DD72D7"/>
    <w:rsid w:val="00DF5B88"/>
    <w:rsid w:val="00E0589E"/>
    <w:rsid w:val="00E241FA"/>
    <w:rsid w:val="00E2595E"/>
    <w:rsid w:val="00E35374"/>
    <w:rsid w:val="00E50C19"/>
    <w:rsid w:val="00E64655"/>
    <w:rsid w:val="00E66913"/>
    <w:rsid w:val="00E73081"/>
    <w:rsid w:val="00E7535F"/>
    <w:rsid w:val="00E856C9"/>
    <w:rsid w:val="00EB6A8B"/>
    <w:rsid w:val="00EF38C6"/>
    <w:rsid w:val="00EF5A9B"/>
    <w:rsid w:val="00F679C7"/>
    <w:rsid w:val="00F7711A"/>
    <w:rsid w:val="00FA0D58"/>
    <w:rsid w:val="00FA56F4"/>
    <w:rsid w:val="00FB4EDA"/>
    <w:rsid w:val="00FC0CA7"/>
    <w:rsid w:val="00FC2528"/>
    <w:rsid w:val="00FC4766"/>
    <w:rsid w:val="00FD3BD5"/>
    <w:rsid w:val="00FE3DC8"/>
    <w:rsid w:val="04073F84"/>
    <w:rsid w:val="06C51470"/>
    <w:rsid w:val="0B60750A"/>
    <w:rsid w:val="10686488"/>
    <w:rsid w:val="10744B6F"/>
    <w:rsid w:val="10DF728A"/>
    <w:rsid w:val="10EE25C6"/>
    <w:rsid w:val="1264200E"/>
    <w:rsid w:val="141C5B77"/>
    <w:rsid w:val="159066A6"/>
    <w:rsid w:val="18D8339D"/>
    <w:rsid w:val="1A21388F"/>
    <w:rsid w:val="1A570D2F"/>
    <w:rsid w:val="28FB0B8D"/>
    <w:rsid w:val="2D2B7942"/>
    <w:rsid w:val="2D46481D"/>
    <w:rsid w:val="2E733B28"/>
    <w:rsid w:val="31852B5A"/>
    <w:rsid w:val="32D01238"/>
    <w:rsid w:val="3CC80954"/>
    <w:rsid w:val="3CE50FBB"/>
    <w:rsid w:val="3DFC59A8"/>
    <w:rsid w:val="3ECF245E"/>
    <w:rsid w:val="3FB96314"/>
    <w:rsid w:val="42961C34"/>
    <w:rsid w:val="4A247D06"/>
    <w:rsid w:val="53A44FAF"/>
    <w:rsid w:val="54CC153C"/>
    <w:rsid w:val="594329EC"/>
    <w:rsid w:val="5BEE1540"/>
    <w:rsid w:val="5DA137AF"/>
    <w:rsid w:val="5DE61A5D"/>
    <w:rsid w:val="63C04243"/>
    <w:rsid w:val="649C01C7"/>
    <w:rsid w:val="699A3F60"/>
    <w:rsid w:val="70AF3D30"/>
    <w:rsid w:val="72902E62"/>
    <w:rsid w:val="73C61104"/>
    <w:rsid w:val="776452EA"/>
    <w:rsid w:val="7DC663B9"/>
    <w:rsid w:val="7FD21032"/>
    <w:rsid w:val="7FE86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8"/>
    <w:qFormat/>
    <w:uiPriority w:val="99"/>
    <w:pPr>
      <w:keepNext/>
      <w:keepLines/>
      <w:spacing w:before="260" w:after="260" w:line="416" w:lineRule="auto"/>
      <w:outlineLvl w:val="2"/>
    </w:pPr>
    <w:rPr>
      <w:b/>
      <w:bCs/>
      <w:sz w:val="32"/>
      <w:szCs w:val="32"/>
    </w:rPr>
  </w:style>
  <w:style w:type="paragraph" w:styleId="5">
    <w:name w:val="heading 4"/>
    <w:basedOn w:val="1"/>
    <w:next w:val="1"/>
    <w:link w:val="19"/>
    <w:qFormat/>
    <w:uiPriority w:val="99"/>
    <w:pPr>
      <w:keepNext/>
      <w:keepLines/>
      <w:spacing w:before="280" w:after="290" w:line="376" w:lineRule="auto"/>
      <w:outlineLvl w:val="3"/>
    </w:pPr>
    <w:rPr>
      <w:rFonts w:ascii="Calibri" w:hAnsi="Calibri"/>
      <w:b/>
      <w:bCs/>
      <w:sz w:val="28"/>
      <w:szCs w:val="28"/>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20"/>
    <w:semiHidden/>
    <w:qFormat/>
    <w:uiPriority w:val="99"/>
    <w:pPr>
      <w:ind w:left="100" w:leftChars="2500"/>
    </w:pPr>
  </w:style>
  <w:style w:type="paragraph" w:styleId="7">
    <w:name w:val="Balloon Text"/>
    <w:basedOn w:val="1"/>
    <w:link w:val="21"/>
    <w:semiHidden/>
    <w:qFormat/>
    <w:uiPriority w:val="99"/>
    <w:rPr>
      <w:sz w:val="18"/>
      <w:szCs w:val="18"/>
    </w:rPr>
  </w:style>
  <w:style w:type="paragraph" w:styleId="8">
    <w:name w:val="footer"/>
    <w:basedOn w:val="1"/>
    <w:link w:val="22"/>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4"/>
    <w:qFormat/>
    <w:uiPriority w:val="99"/>
    <w:pPr>
      <w:widowControl/>
      <w:spacing w:after="200" w:line="276" w:lineRule="auto"/>
      <w:jc w:val="left"/>
    </w:pPr>
    <w:rPr>
      <w:rFonts w:ascii="Calibri" w:hAnsi="Calibri"/>
      <w:i/>
      <w:iCs/>
      <w:color w:val="F0A22E"/>
      <w:spacing w:val="15"/>
      <w:kern w:val="0"/>
      <w:sz w:val="24"/>
    </w:rPr>
  </w:style>
  <w:style w:type="paragraph" w:styleId="11">
    <w:name w:val="Normal (Web)"/>
    <w:basedOn w:val="1"/>
    <w:unhideWhenUsed/>
    <w:qFormat/>
    <w:uiPriority w:val="99"/>
    <w:pPr>
      <w:spacing w:before="100" w:beforeAutospacing="1" w:after="100" w:afterAutospacing="1"/>
      <w:jc w:val="left"/>
    </w:pPr>
    <w:rPr>
      <w:kern w:val="0"/>
      <w:sz w:val="24"/>
    </w:rPr>
  </w:style>
  <w:style w:type="paragraph" w:styleId="12">
    <w:name w:val="Title"/>
    <w:basedOn w:val="1"/>
    <w:next w:val="1"/>
    <w:link w:val="25"/>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4">
    <w:name w:val="Table Grid"/>
    <w:basedOn w:val="13"/>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标题 1 Char"/>
    <w:basedOn w:val="15"/>
    <w:link w:val="2"/>
    <w:qFormat/>
    <w:locked/>
    <w:uiPriority w:val="99"/>
    <w:rPr>
      <w:rFonts w:ascii="Times New Roman" w:hAnsi="Times New Roman" w:eastAsia="宋体" w:cs="Times New Roman"/>
      <w:b/>
      <w:bCs/>
      <w:kern w:val="44"/>
      <w:sz w:val="44"/>
      <w:szCs w:val="44"/>
    </w:rPr>
  </w:style>
  <w:style w:type="character" w:customStyle="1" w:styleId="17">
    <w:name w:val="标题 2 Char"/>
    <w:basedOn w:val="15"/>
    <w:link w:val="3"/>
    <w:qFormat/>
    <w:locked/>
    <w:uiPriority w:val="99"/>
    <w:rPr>
      <w:rFonts w:ascii="Calibri" w:hAnsi="Calibri" w:eastAsia="宋体" w:cs="Times New Roman"/>
      <w:b/>
      <w:bCs/>
      <w:sz w:val="32"/>
      <w:szCs w:val="32"/>
    </w:rPr>
  </w:style>
  <w:style w:type="character" w:customStyle="1" w:styleId="18">
    <w:name w:val="标题 3 Char"/>
    <w:basedOn w:val="15"/>
    <w:link w:val="4"/>
    <w:qFormat/>
    <w:locked/>
    <w:uiPriority w:val="99"/>
    <w:rPr>
      <w:rFonts w:ascii="Times New Roman" w:hAnsi="Times New Roman" w:eastAsia="宋体" w:cs="Times New Roman"/>
      <w:b/>
      <w:bCs/>
      <w:sz w:val="32"/>
      <w:szCs w:val="32"/>
    </w:rPr>
  </w:style>
  <w:style w:type="character" w:customStyle="1" w:styleId="19">
    <w:name w:val="标题 4 Char"/>
    <w:basedOn w:val="15"/>
    <w:link w:val="5"/>
    <w:qFormat/>
    <w:locked/>
    <w:uiPriority w:val="99"/>
    <w:rPr>
      <w:rFonts w:ascii="Calibri" w:hAnsi="Calibri" w:eastAsia="宋体" w:cs="Times New Roman"/>
      <w:b/>
      <w:bCs/>
      <w:sz w:val="28"/>
      <w:szCs w:val="28"/>
    </w:rPr>
  </w:style>
  <w:style w:type="character" w:customStyle="1" w:styleId="20">
    <w:name w:val="日期 Char"/>
    <w:basedOn w:val="15"/>
    <w:link w:val="6"/>
    <w:semiHidden/>
    <w:qFormat/>
    <w:locked/>
    <w:uiPriority w:val="99"/>
    <w:rPr>
      <w:rFonts w:ascii="Times New Roman" w:hAnsi="Times New Roman" w:eastAsia="宋体" w:cs="Times New Roman"/>
      <w:sz w:val="24"/>
      <w:szCs w:val="24"/>
    </w:rPr>
  </w:style>
  <w:style w:type="character" w:customStyle="1" w:styleId="21">
    <w:name w:val="批注框文本 Char"/>
    <w:basedOn w:val="15"/>
    <w:link w:val="7"/>
    <w:semiHidden/>
    <w:qFormat/>
    <w:locked/>
    <w:uiPriority w:val="99"/>
    <w:rPr>
      <w:rFonts w:ascii="Times New Roman" w:hAnsi="Times New Roman" w:eastAsia="宋体" w:cs="Times New Roman"/>
      <w:sz w:val="18"/>
      <w:szCs w:val="18"/>
    </w:rPr>
  </w:style>
  <w:style w:type="character" w:customStyle="1" w:styleId="22">
    <w:name w:val="页脚 Char"/>
    <w:basedOn w:val="15"/>
    <w:link w:val="8"/>
    <w:qFormat/>
    <w:locked/>
    <w:uiPriority w:val="99"/>
    <w:rPr>
      <w:rFonts w:cs="Times New Roman"/>
      <w:sz w:val="18"/>
      <w:szCs w:val="18"/>
    </w:rPr>
  </w:style>
  <w:style w:type="character" w:customStyle="1" w:styleId="23">
    <w:name w:val="页眉 Char"/>
    <w:basedOn w:val="15"/>
    <w:link w:val="9"/>
    <w:qFormat/>
    <w:locked/>
    <w:uiPriority w:val="99"/>
    <w:rPr>
      <w:rFonts w:cs="Times New Roman"/>
      <w:sz w:val="18"/>
      <w:szCs w:val="18"/>
    </w:rPr>
  </w:style>
  <w:style w:type="character" w:customStyle="1" w:styleId="24">
    <w:name w:val="副标题 Char"/>
    <w:basedOn w:val="15"/>
    <w:link w:val="10"/>
    <w:qFormat/>
    <w:locked/>
    <w:uiPriority w:val="99"/>
    <w:rPr>
      <w:rFonts w:ascii="Calibri" w:hAnsi="Calibri" w:eastAsia="宋体" w:cs="Times New Roman"/>
      <w:i/>
      <w:iCs/>
      <w:color w:val="F0A22E"/>
      <w:spacing w:val="15"/>
      <w:kern w:val="0"/>
      <w:sz w:val="24"/>
      <w:szCs w:val="24"/>
    </w:rPr>
  </w:style>
  <w:style w:type="character" w:customStyle="1" w:styleId="25">
    <w:name w:val="标题 Char"/>
    <w:basedOn w:val="15"/>
    <w:link w:val="12"/>
    <w:qFormat/>
    <w:locked/>
    <w:uiPriority w:val="99"/>
    <w:rPr>
      <w:rFonts w:ascii="Calibri" w:hAnsi="Calibri" w:eastAsia="宋体" w:cs="Times New Roman"/>
      <w:color w:val="3A2C24"/>
      <w:spacing w:val="5"/>
      <w:kern w:val="28"/>
      <w:sz w:val="52"/>
      <w:szCs w:val="52"/>
    </w:rPr>
  </w:style>
  <w:style w:type="paragraph" w:styleId="26">
    <w:name w:val="No Spacing"/>
    <w:link w:val="27"/>
    <w:qFormat/>
    <w:uiPriority w:val="99"/>
    <w:pPr>
      <w:spacing w:after="160" w:line="480" w:lineRule="auto"/>
    </w:pPr>
    <w:rPr>
      <w:rFonts w:ascii="Cambria" w:hAnsi="Cambria" w:eastAsia="黑体" w:cs="Times New Roman"/>
      <w:sz w:val="22"/>
      <w:szCs w:val="22"/>
      <w:lang w:val="en-US" w:eastAsia="zh-CN" w:bidi="ar-SA"/>
    </w:rPr>
  </w:style>
  <w:style w:type="character" w:customStyle="1" w:styleId="27">
    <w:name w:val="无间隔 Char"/>
    <w:basedOn w:val="15"/>
    <w:link w:val="26"/>
    <w:qFormat/>
    <w:locked/>
    <w:uiPriority w:val="99"/>
    <w:rPr>
      <w:rFonts w:cs="Times New Roman"/>
      <w:sz w:val="22"/>
      <w:szCs w:val="22"/>
      <w:lang w:val="en-US" w:eastAsia="zh-CN" w:bidi="ar-SA"/>
    </w:rPr>
  </w:style>
  <w:style w:type="character" w:customStyle="1" w:styleId="28">
    <w:name w:val="Style1"/>
    <w:basedOn w:val="15"/>
    <w:qFormat/>
    <w:uiPriority w:val="99"/>
    <w:rPr>
      <w:rFonts w:ascii="Cambria" w:hAnsi="黑体" w:eastAsia="黑体" w:cs="Times New Roman"/>
      <w:sz w:val="22"/>
      <w:szCs w:val="22"/>
      <w:lang w:eastAsia="zh-CN"/>
    </w:rPr>
  </w:style>
  <w:style w:type="character" w:customStyle="1" w:styleId="29">
    <w:name w:val="Style2"/>
    <w:basedOn w:val="15"/>
    <w:qFormat/>
    <w:uiPriority w:val="99"/>
    <w:rPr>
      <w:rFonts w:ascii="Cambria" w:hAnsi="黑体" w:eastAsia="黑体" w:cs="Times New Roman"/>
      <w:sz w:val="22"/>
      <w:szCs w:val="22"/>
      <w:lang w:eastAsia="zh-CN"/>
    </w:rPr>
  </w:style>
  <w:style w:type="character" w:customStyle="1" w:styleId="30">
    <w:name w:val="Style3"/>
    <w:basedOn w:val="15"/>
    <w:qFormat/>
    <w:uiPriority w:val="99"/>
    <w:rPr>
      <w:rFonts w:ascii="Cambria" w:hAnsi="黑体" w:eastAsia="黑体" w:cs="Times New Roman"/>
      <w:sz w:val="22"/>
      <w:szCs w:val="22"/>
      <w:lang w:eastAsia="zh-CN"/>
    </w:rPr>
  </w:style>
  <w:style w:type="character" w:customStyle="1" w:styleId="31">
    <w:name w:val="Style4"/>
    <w:basedOn w:val="15"/>
    <w:qFormat/>
    <w:uiPriority w:val="99"/>
    <w:rPr>
      <w:rFonts w:ascii="Cambria" w:hAnsi="黑体" w:eastAsia="黑体" w:cs="Times New Roman"/>
      <w:sz w:val="22"/>
      <w:szCs w:val="22"/>
      <w:lang w:eastAsia="zh-CN"/>
    </w:rPr>
  </w:style>
  <w:style w:type="character" w:customStyle="1" w:styleId="32">
    <w:name w:val="Style5"/>
    <w:basedOn w:val="15"/>
    <w:qFormat/>
    <w:uiPriority w:val="99"/>
    <w:rPr>
      <w:rFonts w:ascii="Cambria" w:hAnsi="黑体" w:eastAsia="黑体" w:cs="Times New Roman"/>
      <w:sz w:val="22"/>
      <w:szCs w:val="22"/>
      <w:lang w:eastAsia="zh-CN"/>
    </w:rPr>
  </w:style>
  <w:style w:type="paragraph" w:styleId="3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87"/>
    <customShpInfo spid="_x0000_s1086"/>
    <customShpInfo spid="_x0000_s1085"/>
    <customShpInfo spid="_x0000_s1084"/>
    <customShpInfo spid="_x0000_s1083"/>
    <customShpInfo spid="_x0000_s1082"/>
    <customShpInfo spid="_x0000_s1081"/>
    <customShpInfo spid="_x0000_s1080"/>
    <customShpInfo spid="_x0000_s1079"/>
    <customShpInfo spid="_x0000_s1078"/>
    <customShpInfo spid="_x0000_s1077"/>
    <customShpInfo spid="_x0000_s1076"/>
    <customShpInfo spid="_x0000_s1075"/>
    <customShpInfo spid="_x0000_s1074"/>
    <customShpInfo spid="_x0000_s1073"/>
    <customShpInfo spid="_x0000_s1072"/>
    <customShpInfo spid="_x0000_s1071"/>
    <customShpInfo spid="_x0000_s1070"/>
    <customShpInfo spid="_x0000_s1069"/>
    <customShpInfo spid="_x0000_s1068"/>
    <customShpInfo spid="_x0000_s1067"/>
    <customShpInfo spid="_x0000_s106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92"/>
    <customShpInfo spid="_x0000_s1093"/>
    <customShpInfo spid="_x0000_s1091"/>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7838</Words>
  <Characters>2309</Characters>
  <Lines>19</Lines>
  <Paragraphs>20</Paragraphs>
  <TotalTime>1</TotalTime>
  <ScaleCrop>false</ScaleCrop>
  <LinksUpToDate>false</LinksUpToDate>
  <CharactersWithSpaces>10127</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2019-08-02T01:01:00Z</cp:lastPrinted>
  <dcterms:modified xsi:type="dcterms:W3CDTF">2021-06-23T11:11:41Z</dcterms:modified>
  <dc:subject>石家庄市xxx部门</dc:subject>
  <dc:title>2017年度部门决算</dc:title>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D3516D73F9EC4F45AEC740EABFC49BF9</vt:lpwstr>
  </property>
</Properties>
</file>