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5" w:type="first"/>
          <w:footerReference r:id="rId8" w:type="first"/>
          <w:headerReference r:id="rId3" w:type="default"/>
          <w:footerReference r:id="rId6" w:type="default"/>
          <w:headerReference r:id="rId4" w:type="even"/>
          <w:footerReference r:id="rId7" w:type="even"/>
          <w:pgSz w:w="11906" w:h="16838"/>
          <w:pgMar w:top="0" w:right="0" w:bottom="0" w:left="0" w:header="851" w:footer="992" w:gutter="0"/>
          <w:cols w:space="425" w:num="1"/>
          <w:titlePg/>
          <w:docGrid w:type="lines" w:linePitch="312" w:charSpace="0"/>
        </w:sectPr>
      </w:pPr>
      <w:r>
        <w:pict>
          <v:shape id="文本框 10" o:spid="_x0000_s1033" o:spt="202" type="#_x0000_t202" style="position:absolute;left:0pt;margin-left:106.25pt;margin-top:693.55pt;height:79.95pt;width:404.15pt;z-index:251664384;mso-width-relative:page;mso-height-relative:page;" filled="f" stroked="f" coordsize="21600,21600">
            <v:path/>
            <v:fill on="f" focussize="0,0"/>
            <v:stroke on="f" joinstyle="miter"/>
            <v:imagedata o:title=""/>
            <o:lock v:ext="edit"/>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二〇二〇年九月</w:t>
                  </w:r>
                </w:p>
              </w:txbxContent>
            </v:textbox>
          </v:shape>
        </w:pict>
      </w:r>
      <w:r>
        <w:pict>
          <v:shape id="椭圆 8" o:spid="_x0000_s1034" o:spt="3" type="#_x0000_t3" style="position:absolute;left:0pt;margin-left:53.5pt;margin-top:232.45pt;height:121.95pt;width:121.95pt;z-index:251661312;v-text-anchor:middle;mso-width-relative:page;mso-height-relative:page;" stroked="f" coordsize="21600,21600">
            <v:path/>
            <v:fill focussize="0,0"/>
            <v:stroke on="f" weight="1pt" joinstyle="miter"/>
            <v:imagedata o:title=""/>
            <o:lock v:ext="edit"/>
            <v:textbox>
              <w:txbxContent>
                <w:p/>
              </w:txbxContent>
            </v:textbox>
          </v:shape>
        </w:pict>
      </w:r>
      <w:r>
        <w:pict>
          <v:rect id="矩形 14" o:spid="_x0000_s1035" o:spt="1" style="position:absolute;left:0pt;margin-left:33.6pt;margin-top:256.75pt;height:69.6pt;width:160.65pt;z-index:251666432;mso-width-relative:page;mso-height-relative:page;" filled="f" stroked="f" coordsize="21600,21600">
            <v:path/>
            <v:fill on="f" focussize="0,0"/>
            <v:stroke on="f"/>
            <v:imagedata o:title=""/>
            <o:lock v:ext="edit"/>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w:r>
      <w:r>
        <w:pict>
          <v:shape id="椭圆 9" o:spid="_x0000_s1036" o:spt="3" type="#_x0000_t3" style="position:absolute;left:0pt;margin-left:62.2pt;margin-top:242.75pt;height:103.45pt;width:103.45pt;z-index:251665408;v-text-anchor:middle;mso-width-relative:page;mso-height-relative:page;" fillcolor="#1F2959" filled="t" stroked="f" coordsize="21600,21600">
            <v:path/>
            <v:fill on="t" focussize="0,0"/>
            <v:stroke on="f" weight="1pt" joinstyle="miter"/>
            <v:imagedata o:title=""/>
            <o:lock v:ext="edit"/>
            <v:textbox>
              <w:txbxContent>
                <w:p/>
              </w:txbxContent>
            </v:textbox>
          </v:shape>
        </w:pict>
      </w:r>
      <w:r>
        <w:pict>
          <v:group id="_x0000_s1037" o:spid="_x0000_s1037" o:spt="203" style="position:absolute;left:0pt;margin-left:1.25pt;margin-top:821.7pt;height:21.45pt;width:595.25pt;z-index:251662336;mso-width-relative:page;mso-height-relative:page;" coordorigin="1483,16692" coordsize="11905,429203203">
            <o:lock v:ext="edit"/>
            <v:rect id="矩形 6" o:spid="_x0000_s1038" o:spt="1" style="position:absolute;left:1483;top:16692;height:428;width:1125;v-text-anchor:middle;" fillcolor="#FDBC11" filled="t" stroked="f" coordsize="21600,21600">
              <v:path/>
              <v:fill on="t" focussize="0,0"/>
              <v:stroke on="f" weight="1pt"/>
              <v:imagedata o:title=""/>
              <o:lock v:ext="edit"/>
            </v:rect>
            <v:rect id="矩形 7" o:spid="_x0000_s1039" o:spt="1" style="position:absolute;left:2608;top:16693;height:428;width:10780;v-text-anchor:middle;" fillcolor="#1F2959" filled="t" stroked="f" coordsize="21600,21600">
              <v:path/>
              <v:fill on="t" focussize="0,0"/>
              <v:stroke on="f" weight="1pt"/>
              <v:imagedata o:title=""/>
              <o:lock v:ext="edit"/>
            </v:rect>
          </v:group>
        </w:pict>
      </w:r>
      <w:r>
        <w:pict>
          <v:group id="_x0000_s1040" o:spid="_x0000_s1040" o:spt="203" style="position:absolute;left:0pt;margin-left:-2.5pt;margin-top:-3.35pt;height:69.6pt;width:600.25pt;z-index:-251657216;mso-width-relative:page;mso-height-relative:page;" coordorigin="13622,-66719" coordsize="12005,1392046203">
            <o:lock v:ext="edit"/>
            <v:rect id="矩形 5" o:spid="_x0000_s1041" o:spt="1" style="position:absolute;left:13622;top:283;height:6170;width:12005;v-text-anchor:middle;" fillcolor="#FDBC11" filled="t" stroked="f" coordsize="21600,21600">
              <v:path/>
              <v:fill on="t" focussize="0,0"/>
              <v:stroke on="f" weight="1pt"/>
              <v:imagedata o:title=""/>
              <o:lock v:ext="edit"/>
            </v:rect>
            <v:shape id="_x0000_s1042" o:spid="_x0000_s1042" o:spt="202" type="#_x0000_t202" style="position:absolute;left:17229;top:-66719;height:1392046;width:8083;" filled="f" stroked="f" coordsize="21600,21600">
              <v:path/>
              <v:fill on="f" focussize="0,0"/>
              <v:stroke on="f" joinstyle="miter"/>
              <v:imagedata o:title=""/>
              <o:lock v:ext="edit"/>
              <v:textbox style="mso-fit-shape-to-text:t;">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w:r>
      <w:r>
        <w:pict>
          <v:rect id="矩形 11" o:spid="_x0000_s1043" o:spt="1" style="position:absolute;left:0pt;margin-left:184.75pt;margin-top:286.6pt;height:31.25pt;width:339.65pt;mso-wrap-style:none;z-index:251663360;mso-width-relative:page;mso-height-relative:page;" filled="f" stroked="f" coordsize="21600,21600">
            <v:path/>
            <v:fill on="f" focussize="0,0"/>
            <v:stroke on="f"/>
            <v:imagedata o:title=""/>
            <o:lock v:ext="edit"/>
            <v:textbox style="mso-fit-shape-to-text:t;">
              <w:txbxContent>
                <w:p/>
              </w:txbxContent>
            </v:textbox>
          </v:rect>
        </w:pict>
      </w:r>
    </w:p>
    <w:p/>
    <w:p>
      <w:pPr>
        <w:jc w:val="right"/>
        <w:rPr>
          <w:rFonts w:hint="eastAsia" w:ascii="黑体" w:hAnsi="黑体" w:eastAsia="黑体" w:cs="黑体"/>
          <w:sz w:val="144"/>
          <w:szCs w:val="160"/>
          <w:lang w:eastAsia="zh-CN"/>
        </w:rPr>
      </w:pPr>
      <w:r>
        <w:rPr>
          <w:rFonts w:hint="eastAsia" w:ascii="黑体" w:hAnsi="黑体" w:eastAsia="黑体" w:cs="黑体"/>
          <w:sz w:val="96"/>
          <w:szCs w:val="144"/>
          <w:lang w:eastAsia="zh-CN"/>
        </w:rPr>
        <w:t>部门决算公开文本</w:t>
      </w:r>
    </w:p>
    <w:p>
      <w:pPr>
        <w:jc w:val="center"/>
        <w:rPr>
          <w:rFonts w:ascii="黑体" w:hAnsi="黑体" w:eastAsia="黑体" w:cs="黑体"/>
          <w:sz w:val="56"/>
          <w:szCs w:val="72"/>
        </w:rPr>
      </w:pPr>
    </w:p>
    <w:p>
      <w:pPr>
        <w:rPr>
          <w:rFonts w:ascii="黑体" w:hAnsi="Times New Roman" w:eastAsia="黑体"/>
          <w:sz w:val="48"/>
          <w:szCs w:val="48"/>
        </w:rPr>
      </w:pPr>
      <w:r>
        <w:rPr>
          <w:rFonts w:ascii="黑体" w:hAnsi="Times New Roman" w:eastAsia="黑体"/>
          <w:sz w:val="48"/>
          <w:szCs w:val="48"/>
        </w:rPr>
        <w:br w:type="page"/>
      </w:r>
    </w:p>
    <w:p>
      <w:pPr>
        <w:rPr>
          <w:rFonts w:ascii="黑体" w:hAnsi="黑体" w:eastAsia="黑体" w:cs="黑体"/>
          <w:sz w:val="56"/>
          <w:szCs w:val="72"/>
        </w:rPr>
      </w:pPr>
      <w:r>
        <w:rPr>
          <w:rFonts w:ascii="黑体" w:hAnsi="Times New Roman" w:eastAsia="黑体"/>
          <w:sz w:val="48"/>
          <w:szCs w:val="48"/>
        </w:rPr>
        <w:tab/>
      </w:r>
    </w:p>
    <w:p>
      <w:pPr>
        <w:tabs>
          <w:tab w:val="left" w:pos="2728"/>
        </w:tabs>
        <w:jc w:val="both"/>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ind w:firstLine="2200" w:firstLineChars="500"/>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中共阜平县委老干部局</w:t>
      </w:r>
    </w:p>
    <w:p>
      <w:pPr>
        <w:snapToGrid w:val="0"/>
        <w:jc w:val="center"/>
        <w:rPr>
          <w:rFonts w:ascii="楷体_GB2312" w:hAnsi="楷体_GB2312" w:eastAsia="楷体_GB2312" w:cs="楷体_GB2312"/>
          <w:color w:val="000000"/>
          <w:kern w:val="0"/>
          <w:sz w:val="44"/>
          <w:szCs w:val="44"/>
        </w:rPr>
        <w:sectPr>
          <w:headerReference r:id="rId10" w:type="first"/>
          <w:footerReference r:id="rId11" w:type="first"/>
          <w:headerReference r:id="rId9"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二〇二〇年九月</w:t>
      </w:r>
    </w:p>
    <w:p>
      <w:pPr>
        <w:rPr>
          <w:rFonts w:ascii="黑体" w:hAnsi="Times New Roman" w:eastAsia="黑体"/>
          <w:sz w:val="48"/>
          <w:szCs w:val="48"/>
        </w:rPr>
      </w:pPr>
    </w:p>
    <w:p>
      <w:pPr>
        <w:tabs>
          <w:tab w:val="left" w:pos="2728"/>
        </w:tabs>
        <w:jc w:val="center"/>
        <w:rPr>
          <w:rFonts w:ascii="黑体" w:hAnsi="Times New Roman" w:eastAsia="黑体"/>
          <w:sz w:val="48"/>
          <w:szCs w:val="48"/>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
    <w:p>
      <w:pPr>
        <w:pStyle w:val="2"/>
        <w:spacing w:before="0" w:after="0" w:line="580" w:lineRule="exact"/>
        <w:ind w:firstLine="880" w:firstLineChars="200"/>
        <w:jc w:val="left"/>
      </w:pPr>
    </w:p>
    <w:p>
      <w:pPr>
        <w:pStyle w:val="2"/>
        <w:spacing w:before="0" w:after="0" w:line="580" w:lineRule="exact"/>
        <w:ind w:firstLine="880" w:firstLineChars="200"/>
        <w:jc w:val="left"/>
        <w:rPr>
          <w:rFonts w:ascii="Times New Roman" w:hAnsi="Times New Roman" w:eastAsia="仿宋_GB2312"/>
          <w:sz w:val="32"/>
          <w:szCs w:val="32"/>
        </w:rPr>
      </w:pPr>
      <w:r>
        <w:pict>
          <v:shape id="_x0000_s1053" o:spid="_x0000_s1053" o:spt="202" type="#_x0000_t202" style="position:absolute;left:0pt;margin-left:-85.7pt;margin-top:80.7pt;height:263.1pt;width:613.65pt;z-index:251667456;v-text-anchor:middle;mso-width-relative:page;mso-height-relative:page;" fillcolor="#FFD966" filled="t" stroked="t" coordsize="21600,21600">
            <v:path/>
            <v:fill type="pattern" on="t" focussize="0,0"/>
            <v:stroke weight="1pt" color="#FFD966" joinstyle="round"/>
            <v:imagedata o:title=""/>
            <o:lock v:ext="edit"/>
            <v:textbox>
              <w:txbxContent>
                <w:p>
                  <w:pPr>
                    <w:widowControl/>
                    <w:jc w:val="center"/>
                    <w:rPr>
                      <w:rFonts w:ascii="黑体" w:hAnsi="黑体" w:eastAsia="黑体" w:cs="黑体"/>
                      <w:color w:val="000000"/>
                      <w:sz w:val="96"/>
                      <w:szCs w:val="96"/>
                    </w:rPr>
                  </w:pPr>
                </w:p>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w:r>
      <w:r>
        <w:br w:type="page"/>
      </w:r>
      <w:r>
        <w:rPr>
          <w:rFonts w:hint="eastAsia" w:ascii="黑体" w:eastAsia="黑体" w:cs="黑体"/>
          <w:b w:val="0"/>
          <w:bCs w:val="0"/>
          <w:kern w:val="0"/>
          <w:sz w:val="32"/>
          <w:szCs w:val="32"/>
        </w:rPr>
        <w:t>一、部门职责</w:t>
      </w:r>
    </w:p>
    <w:p>
      <w:pPr>
        <w:widowControl/>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根据中共阜平县委办公室《关于印发&lt;阜平县委</w:t>
      </w:r>
      <w:r>
        <w:rPr>
          <w:rFonts w:hint="eastAsia" w:eastAsia="仿宋_GB2312"/>
          <w:sz w:val="32"/>
          <w:szCs w:val="32"/>
        </w:rPr>
        <w:t>老干部局</w:t>
      </w:r>
      <w:r>
        <w:rPr>
          <w:rFonts w:hint="eastAsia" w:ascii="Times New Roman" w:hAnsi="Times New Roman" w:eastAsia="仿宋_GB2312"/>
          <w:sz w:val="32"/>
          <w:szCs w:val="32"/>
        </w:rPr>
        <w:t>职能配置、内设机构和人员编制规定&gt;的通知》的要求，中共阜平县委</w:t>
      </w:r>
      <w:r>
        <w:rPr>
          <w:rFonts w:hint="eastAsia" w:eastAsia="仿宋_GB2312"/>
          <w:sz w:val="32"/>
          <w:szCs w:val="32"/>
        </w:rPr>
        <w:t>老干部局</w:t>
      </w:r>
      <w:r>
        <w:rPr>
          <w:rFonts w:hint="eastAsia" w:ascii="Times New Roman" w:hAnsi="Times New Roman" w:eastAsia="仿宋_GB2312"/>
          <w:sz w:val="32"/>
          <w:szCs w:val="32"/>
        </w:rPr>
        <w:t>负责：</w:t>
      </w:r>
    </w:p>
    <w:p>
      <w:pPr>
        <w:widowControl/>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（一）贯彻落实国家关于离退休干部的的方针政策，组织落实离退休干部的政治、生活待遇。</w:t>
      </w:r>
    </w:p>
    <w:p>
      <w:pPr>
        <w:widowControl/>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（二）建设、管理、使用好老年活动阵地，并指导全县阵地建设。</w:t>
      </w:r>
    </w:p>
    <w:p>
      <w:pPr>
        <w:widowControl/>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（三）老干部管理服务设施维修改造、后勤保障、日常运转。</w:t>
      </w:r>
    </w:p>
    <w:p>
      <w:pPr>
        <w:widowControl/>
        <w:spacing w:after="160"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二、机构设置</w:t>
      </w:r>
      <w:r>
        <w:rPr>
          <w:rFonts w:hint="eastAsia" w:ascii="Times New Roman" w:hAnsi="Times New Roman" w:eastAsia="仿宋_GB2312"/>
          <w:sz w:val="32"/>
          <w:szCs w:val="32"/>
        </w:rPr>
        <w:t xml:space="preserve"> </w:t>
      </w:r>
    </w:p>
    <w:p>
      <w:pPr>
        <w:widowControl/>
        <w:spacing w:line="240" w:lineRule="atLeast"/>
        <w:ind w:firstLine="640" w:firstLineChars="200"/>
        <w:textAlignment w:val="baseline"/>
        <w:rPr>
          <w:rFonts w:ascii="仿宋_GB2312" w:hAnsi="Cambria" w:eastAsia="仿宋_GB2312" w:cs="ArialUnicodeMS"/>
          <w:kern w:val="0"/>
          <w:sz w:val="32"/>
          <w:szCs w:val="32"/>
        </w:rPr>
      </w:pPr>
      <w:r>
        <w:rPr>
          <w:rFonts w:hint="eastAsia" w:ascii="仿宋_GB2312" w:hAnsi="Cambria" w:eastAsia="仿宋_GB2312" w:cs="ArialUnicodeMS"/>
          <w:kern w:val="0"/>
          <w:sz w:val="32"/>
          <w:szCs w:val="32"/>
        </w:rPr>
        <w:t>阜平县委老干部局内设2个部门：综合办公室、老干部局门诊部，行政编制人数10人。从决算编报单位构成看，纳入</w:t>
      </w:r>
      <w:r>
        <w:rPr>
          <w:rFonts w:ascii="仿宋_GB2312" w:hAnsi="Cambria" w:eastAsia="仿宋_GB2312" w:cs="ArialUnicodeMS"/>
          <w:kern w:val="0"/>
          <w:sz w:val="32"/>
          <w:szCs w:val="32"/>
        </w:rPr>
        <w:t>201</w:t>
      </w:r>
      <w:r>
        <w:rPr>
          <w:rFonts w:hint="eastAsia" w:ascii="仿宋_GB2312" w:hAnsi="Cambria" w:eastAsia="仿宋_GB2312" w:cs="ArialUnicodeMS"/>
          <w:kern w:val="0"/>
          <w:sz w:val="32"/>
          <w:szCs w:val="32"/>
        </w:rPr>
        <w:t>9年度本部门决算汇编范围的独立核算单位（以下简称“单位”）共</w:t>
      </w:r>
      <w:r>
        <w:rPr>
          <w:rFonts w:ascii="仿宋_GB2312" w:hAnsi="Cambria" w:eastAsia="仿宋_GB2312" w:cs="ArialUnicodeMS"/>
          <w:kern w:val="0"/>
          <w:sz w:val="32"/>
          <w:szCs w:val="32"/>
        </w:rPr>
        <w:t xml:space="preserve"> </w:t>
      </w:r>
      <w:r>
        <w:rPr>
          <w:rFonts w:hint="eastAsia" w:ascii="仿宋_GB2312" w:hAnsi="Cambria" w:eastAsia="仿宋_GB2312" w:cs="ArialUnicodeMS"/>
          <w:kern w:val="0"/>
          <w:sz w:val="32"/>
          <w:szCs w:val="32"/>
        </w:rPr>
        <w:t>1个，具体情况如下：</w:t>
      </w:r>
    </w:p>
    <w:tbl>
      <w:tblPr>
        <w:tblStyle w:val="7"/>
        <w:tblpPr w:leftFromText="180" w:rightFromText="180" w:vertAnchor="text" w:horzAnchor="page" w:tblpXSpec="center" w:tblpY="10"/>
        <w:tblOverlap w:val="never"/>
        <w:tblW w:w="8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2250"/>
        <w:gridCol w:w="2253"/>
        <w:gridCol w:w="23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347" w:type="dxa"/>
            <w:vAlign w:val="center"/>
          </w:tcPr>
          <w:p>
            <w:pPr>
              <w:spacing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2250" w:type="dxa"/>
            <w:vAlign w:val="center"/>
          </w:tcPr>
          <w:p>
            <w:pPr>
              <w:spacing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253" w:type="dxa"/>
            <w:vAlign w:val="center"/>
          </w:tcPr>
          <w:p>
            <w:pPr>
              <w:spacing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334" w:type="dxa"/>
            <w:vAlign w:val="center"/>
          </w:tcPr>
          <w:p>
            <w:pPr>
              <w:spacing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347" w:type="dxa"/>
          </w:tcPr>
          <w:p>
            <w:pPr>
              <w:spacing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2250" w:type="dxa"/>
          </w:tcPr>
          <w:p>
            <w:pPr>
              <w:spacing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阜平县老干部局</w:t>
            </w:r>
          </w:p>
        </w:tc>
        <w:tc>
          <w:tcPr>
            <w:tcW w:w="2253" w:type="dxa"/>
          </w:tcPr>
          <w:p>
            <w:pPr>
              <w:spacing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行政单位</w:t>
            </w:r>
          </w:p>
        </w:tc>
        <w:tc>
          <w:tcPr>
            <w:tcW w:w="2334" w:type="dxa"/>
          </w:tcPr>
          <w:p>
            <w:pPr>
              <w:spacing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财政拨款</w:t>
            </w:r>
          </w:p>
        </w:tc>
      </w:tr>
    </w:tbl>
    <w:p>
      <w:pPr>
        <w:pStyle w:val="2"/>
        <w:spacing w:before="0" w:after="0" w:line="600" w:lineRule="exact"/>
        <w:jc w:val="left"/>
        <w:rPr>
          <w:rFonts w:ascii="黑体" w:hAnsi="Cambria" w:eastAsia="黑体" w:cs="黑体"/>
          <w:b w:val="0"/>
          <w:bCs w:val="0"/>
          <w:kern w:val="0"/>
          <w:sz w:val="32"/>
          <w:szCs w:val="32"/>
        </w:rPr>
      </w:pPr>
    </w:p>
    <w:p>
      <w:pPr>
        <w:widowControl/>
        <w:spacing w:after="160" w:line="580" w:lineRule="exact"/>
        <w:ind w:firstLine="1273" w:firstLineChars="398"/>
        <w:rPr>
          <w:rFonts w:ascii="Times New Roman" w:hAnsi="Times New Roman" w:eastAsia="仿宋_GB2312"/>
          <w:sz w:val="32"/>
          <w:szCs w:val="32"/>
        </w:rPr>
      </w:pPr>
    </w:p>
    <w:p>
      <w:pPr>
        <w:widowControl/>
        <w:spacing w:after="160" w:line="580" w:lineRule="exact"/>
        <w:ind w:firstLine="1273" w:firstLineChars="398"/>
        <w:rPr>
          <w:rFonts w:ascii="Times New Roman" w:hAnsi="Times New Roman" w:eastAsia="仿宋_GB2312"/>
          <w:sz w:val="32"/>
          <w:szCs w:val="32"/>
        </w:rPr>
      </w:pPr>
    </w:p>
    <w:p>
      <w:pPr>
        <w:widowControl/>
        <w:spacing w:after="160" w:line="580" w:lineRule="exact"/>
        <w:rPr>
          <w:rFonts w:ascii="Times New Roman" w:hAnsi="Times New Roman" w:eastAsia="黑体"/>
          <w:sz w:val="32"/>
          <w:szCs w:val="32"/>
        </w:rPr>
      </w:pPr>
    </w:p>
    <w:p>
      <w:pPr>
        <w:widowControl/>
        <w:spacing w:after="160" w:line="580" w:lineRule="exact"/>
        <w:rPr>
          <w:rFonts w:ascii="Times New Roman" w:hAnsi="Times New Roman" w:eastAsia="黑体"/>
          <w:sz w:val="32"/>
          <w:szCs w:val="32"/>
        </w:rPr>
        <w:sectPr>
          <w:headerReference r:id="rId13" w:type="first"/>
          <w:footerReference r:id="rId15" w:type="first"/>
          <w:headerReference r:id="rId12" w:type="default"/>
          <w:footerReference r:id="rId14" w:type="default"/>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w:pict>
          <v:shape id="_x0000_s1061" o:spid="_x0000_s1061" o:spt="202" type="#_x0000_t202" style="position:absolute;left:0pt;margin-left:-85.7pt;margin-top:238.15pt;height:173.25pt;width:613.65pt;z-index:251668480;mso-width-relative:page;mso-height-relative:page;" filled="f" stroked="f" coordsize="21600,21600">
            <v:path/>
            <v:fill on="f" focussize="0,0"/>
            <v:stroke on="f" weight="0.5pt" joinstyle="miter"/>
            <v:imagedata o:title=""/>
            <o:lock v:ext="edit"/>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pict>
          <v:shape id="_x0000_s1062" o:spid="_x0000_s1062" o:spt="202" type="#_x0000_t202" style="position:absolute;left:0pt;margin-left:-90.8pt;margin-top:4.35pt;height:263.1pt;width:613.65pt;z-index:251669504;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年度收入总计（含结转和结余）852.58万元。与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年度决算相比，收入增加119.83万元，增长16.36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，主要原因是2019年离休干部工资调整。支出总计（含结转和结余）852.58万元。与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年度决算相比，支出增加119.83万元，增长16.36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，主要原因是2019年离休干部工资调整。</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pPr>
        <w:widowControl/>
        <w:spacing w:after="160" w:line="580" w:lineRule="exact"/>
        <w:ind w:firstLine="640" w:firstLineChars="200"/>
        <w:rPr>
          <w:rFonts w:ascii="黑体" w:hAnsi="Calibri" w:eastAsia="黑体"/>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年度本年收入合计852.58万元，其中：财政拨款收入852.58万元，占100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；事业收入0万元，占0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；其他收入0万元，占0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三、支出决算情况说明</w:t>
      </w:r>
    </w:p>
    <w:p>
      <w:pPr>
        <w:widowControl/>
        <w:spacing w:after="160"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年度本年支出合计852.58万元，其中：基本支出616.08万元，占72.26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；项目支出236.49万元，占27.74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；经营支出0万元，占0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年度形成的财政拨款收支均为一般公共预算财政拨款，其中本年收入852.58万元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年度增加119.83万元，增长16.36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，主要是2019年离休干部工资调整；本年支出852.58万元，增加119.83万元，增长16.36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，主要是2019年离休干部工资调整。</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一般公共预算财政拨款本年收入852.58万元，比上年增加119.83万元，增长16.36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；主要是2019年离休干部工资调整；本年支出852.58万元，比上年增加119.83万元，增长16.36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，主要是2019年离休干部工资调整。</w:t>
      </w:r>
    </w:p>
    <w:p>
      <w:pPr>
        <w:adjustRightInd w:val="0"/>
        <w:snapToGrid w:val="0"/>
        <w:spacing w:line="580" w:lineRule="exact"/>
        <w:rPr>
          <w:rFonts w:ascii="Times New Roman" w:hAnsi="Times New Roman" w:eastAsia="仿宋_GB2312"/>
          <w:b/>
          <w:bCs/>
          <w:sz w:val="32"/>
          <w:szCs w:val="32"/>
        </w:rPr>
      </w:pPr>
      <w:r>
        <w:rPr>
          <w:rFonts w:hint="eastAsia" w:ascii="仿宋_GB2312" w:hAnsi="Times New Roman" w:eastAsia="仿宋_GB2312" w:cs="DengXian-Regular"/>
          <w:sz w:val="32"/>
          <w:szCs w:val="32"/>
        </w:rPr>
        <w:t>　　政府性基金预算财政拨款本年收入0万元，比上年相比无变化，主要原因是本单位本年度无政府性基金预算拨款收入；本年支出0万元，比上年增加相比无变化，主要是本单位本年度无政府性基金预算拨款支出。</w:t>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年度财政拨款本年收入852.58万元，完成年初预算的</w:t>
      </w:r>
      <w:r>
        <w:rPr>
          <w:rFonts w:hint="eastAsia" w:ascii="仿宋_GB2312" w:hAnsi="Times New Roman" w:eastAsia="仿宋_GB2312" w:cs="DengXian-Regular"/>
          <w:color w:val="000000" w:themeColor="text1"/>
          <w:sz w:val="32"/>
          <w:szCs w:val="32"/>
        </w:rPr>
        <w:t>85.21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比年初预算减少148.02万元，决算数小于预算数主要原因是2019年部分项目未支出；本年支出852.58万元，完成年初预算的</w:t>
      </w:r>
      <w:r>
        <w:rPr>
          <w:rFonts w:hint="eastAsia" w:ascii="仿宋_GB2312" w:hAnsi="Times New Roman" w:eastAsia="仿宋_GB2312" w:cs="DengXian-Regular"/>
          <w:color w:val="000000" w:themeColor="text1"/>
          <w:sz w:val="32"/>
          <w:szCs w:val="32"/>
        </w:rPr>
        <w:t>85.21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比年初预算减少148.02万元，决算数小于预算数主要原因是主要是2019年部分项目未支出。具体情况如下：</w:t>
      </w:r>
    </w:p>
    <w:p>
      <w:pPr>
        <w:numPr>
          <w:ilvl w:val="0"/>
          <w:numId w:val="1"/>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一般公共预算财政拨款本年收入完成年初预算</w:t>
      </w:r>
      <w:r>
        <w:rPr>
          <w:rFonts w:hint="eastAsia" w:ascii="仿宋_GB2312" w:hAnsi="Times New Roman" w:eastAsia="仿宋_GB2312" w:cs="DengXian-Regular"/>
          <w:color w:val="000000" w:themeColor="text1"/>
          <w:sz w:val="32"/>
          <w:szCs w:val="32"/>
        </w:rPr>
        <w:t>85.21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，比年初预算减少148.02万元，主要是2019年部分项目未支出；支出完成年初预算</w:t>
      </w:r>
      <w:r>
        <w:rPr>
          <w:rFonts w:hint="eastAsia" w:ascii="仿宋_GB2312" w:hAnsi="Times New Roman" w:eastAsia="仿宋_GB2312" w:cs="DengXian-Regular"/>
          <w:color w:val="000000" w:themeColor="text1"/>
          <w:sz w:val="32"/>
          <w:szCs w:val="32"/>
        </w:rPr>
        <w:t>85.2</w:t>
      </w:r>
      <w:r>
        <w:rPr>
          <w:rFonts w:hint="eastAsia" w:ascii="仿宋_GB2312" w:hAnsi="Times New Roman" w:eastAsia="仿宋_GB2312" w:cs="DengXian-Regular"/>
          <w:sz w:val="32"/>
          <w:szCs w:val="32"/>
        </w:rPr>
        <w:t>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，比年初预算减少148.02万元，主要是2019年部分项目未支出。</w:t>
      </w:r>
    </w:p>
    <w:p>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仿宋_GB2312" w:hAnsi="Times New Roman" w:eastAsia="仿宋_GB2312" w:cs="DengXian-Regular"/>
          <w:sz w:val="32"/>
          <w:szCs w:val="32"/>
        </w:rPr>
        <w:t>2.政府性基金预算财政拨款本年收入完成年初预算0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，比年初预算增加0万元，主要是本部门本年度无政府性基金预算财政拨款收入；支出完成年初预算0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，比年初预算增加0万元，主要是本部门本年度无政府性基金预算财政拨款支出。</w:t>
      </w:r>
    </w:p>
    <w:p>
      <w:pPr>
        <w:numPr>
          <w:ilvl w:val="0"/>
          <w:numId w:val="2"/>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年度财政拨款支出852.58万元，主要用于以下方面：一般公共服务（类）支出5.00万元，占0.59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；社会保障和就业支出669.81万元，占78.58</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；卫生健康支出170.75万元，占20.03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；住房保障支出7.02万元，占0.80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w:pict>
          <v:group id="_x0000_s1106" o:spid="_x0000_s1106" o:spt="203" style="position:absolute;left:0pt;margin-left:77.25pt;margin-top:16.6pt;height:173.95pt;width:281.6pt;z-index:-251643904;mso-width-relative:page;mso-height-relative:page;" coordorigin="6921,180284" coordsize="5065,-2147483648">
            <o:lock v:ext="edit"/>
            <v:shape id="图片 1" o:spid="_x0000_s1107" o:spt="75" type="#_x0000_t75" style="position:absolute;left:7157;top:180284;height:2988;width:4586;" filled="f" o:preferrelative="t" stroked="f" coordsize="21600,21600">
              <v:path/>
              <v:fill on="f" focussize="0,0"/>
              <v:stroke on="f" joinstyle="miter"/>
              <v:imagedata r:id="rId18" cropleft="2131f" croptop="1490f" cropright="1218f" cropbottom="5217f" o:title=""/>
              <o:lock v:ext="edit" aspectratio="t"/>
            </v:shape>
            <v:shape id="文本框 32" o:spid="_x0000_s1108" o:spt="202" type="#_x0000_t202" style="position:absolute;left:6921;top:183134;height:615;width:5065;"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w:r>
    </w:p>
    <w:p>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hint="eastAsia" w:ascii="仿宋_GB2312" w:hAnsi="Times New Roman" w:eastAsia="仿宋_GB2312" w:cs="DengXian-Regular"/>
          <w:color w:val="auto"/>
          <w:sz w:val="32"/>
          <w:szCs w:val="32"/>
        </w:rPr>
      </w:pPr>
      <w:r>
        <w:rPr>
          <w:rFonts w:ascii="仿宋_GB2312" w:hAnsi="Times New Roman" w:eastAsia="仿宋_GB2312" w:cs="DengXian-Regular"/>
          <w:color w:val="auto"/>
          <w:sz w:val="32"/>
          <w:szCs w:val="32"/>
        </w:rPr>
        <w:t xml:space="preserve">2019 </w:t>
      </w:r>
      <w:r>
        <w:rPr>
          <w:rFonts w:hint="eastAsia" w:ascii="仿宋_GB2312" w:hAnsi="Times New Roman" w:eastAsia="仿宋_GB2312" w:cs="DengXian-Regular"/>
          <w:color w:val="auto"/>
          <w:sz w:val="32"/>
          <w:szCs w:val="32"/>
        </w:rPr>
        <w:t>年度财政拨款基本支出616.08万元，其中：人员经费596.56万元，主要包括基本工资、津贴补贴、绩效工资、机关事业单位基本养老保险缴费、职业年金缴费、职工基本医疗保险缴费、住房公积金、医疗费、其他社会保障缴费其他对个人和家庭的补助支出；公用经费19.52万元，主要包括办公费、印刷费、水费、邮电费、取暖费、会议费、公务接待费、公务用车运行维护费、其他交通费用、其他商品和服务支出。</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五、一般公共预算“三公”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年度“三公”经费支出共计3.05万元，完成年初预算的100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较年初预算相比无变化，主要是</w:t>
      </w:r>
      <w:r>
        <w:rPr>
          <w:rFonts w:hint="eastAsia" w:ascii="仿宋_GB2312" w:eastAsia="仿宋_GB2312" w:cs="DengXian-Regular"/>
          <w:sz w:val="32"/>
          <w:szCs w:val="32"/>
        </w:rPr>
        <w:t>认真贯彻落实中央“八项规定”精神和厉行节约要求，从严控制“三公”经费开支，全年实际支出比预算有所节约</w:t>
      </w:r>
      <w:r>
        <w:rPr>
          <w:rFonts w:hint="eastAsia" w:ascii="仿宋_GB2312" w:hAnsi="Times New Roman" w:eastAsia="仿宋_GB2312" w:cs="DengXian-Regular"/>
          <w:sz w:val="32"/>
          <w:szCs w:val="32"/>
        </w:rPr>
        <w:t>；较</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年度决算增加3.00万元，增长6000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，主要是政府借用单位公务用车归还，2019年度增加预算，故数额增加。</w:t>
      </w:r>
      <w:r>
        <w:rPr>
          <w:rFonts w:hint="eastAsia" w:ascii="仿宋_GB2312" w:eastAsia="仿宋_GB2312" w:cs="DengXian-Regular"/>
          <w:sz w:val="32"/>
          <w:szCs w:val="32"/>
        </w:rPr>
        <w:t>认真贯彻落实中央“八项规定”精神和厉行节约要求，从严控制“三公”经费开支，全年实际支出与年初预算持平</w:t>
      </w:r>
      <w:r>
        <w:rPr>
          <w:rFonts w:hint="eastAsia" w:ascii="仿宋_GB2312" w:hAnsi="Times New Roman" w:eastAsia="仿宋_GB2312" w:cs="DengXian-Regular"/>
          <w:sz w:val="32"/>
          <w:szCs w:val="32"/>
        </w:rPr>
        <w:t>。具体情况如下：</w:t>
      </w:r>
    </w:p>
    <w:p>
      <w:pPr>
        <w:numPr>
          <w:ilvl w:val="0"/>
          <w:numId w:val="3"/>
        </w:numPr>
        <w:adjustRightInd w:val="0"/>
        <w:snapToGrid w:val="0"/>
        <w:spacing w:line="580" w:lineRule="exact"/>
        <w:ind w:left="-223" w:leftChars="0" w:firstLine="643" w:firstLineChars="0"/>
        <w:rPr>
          <w:rFonts w:ascii="仿宋_GB2312" w:eastAsia="仿宋_GB2312" w:cs="DengXian-Regular"/>
          <w:sz w:val="32"/>
          <w:szCs w:val="32"/>
        </w:rPr>
      </w:pPr>
      <w:r>
        <w:rPr>
          <w:rFonts w:hint="eastAsia" w:ascii="楷体_GB2312" w:hAnsi="Times New Roman" w:eastAsia="楷体_GB2312" w:cs="DengXian-Bold"/>
          <w:b/>
          <w:bCs/>
          <w:sz w:val="32"/>
          <w:szCs w:val="32"/>
        </w:rPr>
        <w:t>因公出国（境）费支出0万元。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年度因公出国（境）团组0个、共0人参加其他单位组织的因公出国（境）团组0个、共0人，无本单位组织的出国（境）团组。</w:t>
      </w:r>
      <w:r>
        <w:rPr>
          <w:rFonts w:hint="eastAsia" w:ascii="仿宋_GB2312" w:eastAsia="仿宋_GB2312" w:cs="DengXian-Regular"/>
          <w:sz w:val="32"/>
          <w:szCs w:val="32"/>
        </w:rPr>
        <w:t>因公出国（境）费支出较年初预算增加0万元，增长0</w:t>
      </w:r>
      <w:r>
        <w:rPr>
          <w:rFonts w:ascii="仿宋_GB2312" w:eastAsia="仿宋_GB2312" w:cs="DengXian-Regular"/>
          <w:sz w:val="32"/>
          <w:szCs w:val="32"/>
        </w:rPr>
        <w:t>%,</w:t>
      </w:r>
      <w:r>
        <w:rPr>
          <w:rFonts w:hint="eastAsia" w:ascii="仿宋_GB2312" w:eastAsia="仿宋_GB2312" w:cs="DengXian-Regular"/>
          <w:sz w:val="32"/>
          <w:szCs w:val="32"/>
        </w:rPr>
        <w:t>主要是本单位无出国（境）费用。较2018年决算无变化，主要原因是本单位无出国（境）费用。</w:t>
      </w:r>
    </w:p>
    <w:p>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（二）公务用车购置及运行维护费支出3.00万元。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年度公务用车购置及运行维护费较年初预算相比无变化</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DengXian-Regular"/>
          <w:sz w:val="32"/>
          <w:szCs w:val="32"/>
        </w:rPr>
        <w:t>切实压缩公务用车费用支出</w:t>
      </w:r>
      <w:r>
        <w:rPr>
          <w:rFonts w:hint="eastAsia" w:ascii="仿宋_GB2312" w:hAnsi="Times New Roman" w:eastAsia="仿宋_GB2312" w:cs="DengXian-Regular"/>
          <w:sz w:val="32"/>
          <w:szCs w:val="32"/>
        </w:rPr>
        <w:t>；</w:t>
      </w:r>
      <w:r>
        <w:rPr>
          <w:rFonts w:hint="eastAsia" w:ascii="仿宋_GB2312" w:hAnsi="Times New Roman" w:eastAsia="仿宋_GB2312" w:cs="DengXian-Regular"/>
          <w:color w:val="auto"/>
          <w:sz w:val="32"/>
          <w:szCs w:val="32"/>
        </w:rPr>
        <w:t>较上年增加3.00万元，主要原因是</w:t>
      </w:r>
      <w:r>
        <w:rPr>
          <w:rFonts w:hint="eastAsia" w:ascii="仿宋_GB2312" w:hAnsi="Times New Roman" w:eastAsia="仿宋_GB2312" w:cs="DengXian-Regular"/>
          <w:color w:val="auto"/>
          <w:sz w:val="32"/>
          <w:szCs w:val="32"/>
          <w:lang w:val="en-US" w:eastAsia="zh-CN"/>
        </w:rPr>
        <w:t>2018年是0万元，</w:t>
      </w:r>
      <w:r>
        <w:rPr>
          <w:rFonts w:hint="eastAsia" w:ascii="仿宋_GB2312" w:hAnsi="Times New Roman" w:eastAsia="仿宋_GB2312" w:cs="DengXian-Regular"/>
          <w:color w:val="auto"/>
          <w:sz w:val="32"/>
          <w:szCs w:val="32"/>
        </w:rPr>
        <w:t>2019年增加了预算，政府借用单位公务用车归还，故数额增加。</w:t>
      </w:r>
      <w:r>
        <w:rPr>
          <w:rFonts w:hint="eastAsia" w:ascii="仿宋_GB2312" w:hAnsi="Times New Roman" w:eastAsia="仿宋_GB2312" w:cs="DengXian-Bold"/>
          <w:b/>
          <w:bCs/>
          <w:sz w:val="32"/>
          <w:szCs w:val="32"/>
        </w:rPr>
        <w:t>其中：</w:t>
      </w:r>
    </w:p>
    <w:p>
      <w:pPr>
        <w:adjustRightInd w:val="0"/>
        <w:snapToGrid w:val="0"/>
        <w:spacing w:line="580" w:lineRule="exact"/>
        <w:ind w:firstLine="643" w:firstLineChars="200"/>
        <w:rPr>
          <w:rFonts w:ascii="仿宋_GB2312" w:eastAsia="仿宋_GB2312" w:cs="DengXian-Regular"/>
          <w:sz w:val="32"/>
          <w:szCs w:val="32"/>
        </w:rPr>
      </w:pPr>
      <w:r>
        <w:rPr>
          <w:rFonts w:hint="eastAsia" w:ascii="仿宋_GB2312" w:hAnsi="Times New Roman" w:eastAsia="仿宋_GB2312" w:cs="DengXian-Regular"/>
          <w:b/>
          <w:sz w:val="32"/>
          <w:szCs w:val="32"/>
        </w:rPr>
        <w:t>公务用车购置费</w:t>
      </w:r>
      <w:r>
        <w:rPr>
          <w:rFonts w:hint="eastAsia" w:ascii="仿宋_GB2312" w:hAnsi="Times New Roman" w:eastAsia="仿宋_GB2312" w:cs="DengXian-Regular"/>
          <w:b/>
          <w:bCs/>
          <w:sz w:val="32"/>
          <w:szCs w:val="32"/>
        </w:rPr>
        <w:t>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年度公务用车购置量0辆，发生“公务用车购置”经费支出0万元。</w:t>
      </w:r>
      <w:r>
        <w:rPr>
          <w:rFonts w:hint="eastAsia" w:ascii="仿宋_GB2312" w:eastAsia="仿宋_GB2312" w:cs="DengXian-Regular"/>
          <w:sz w:val="32"/>
          <w:szCs w:val="32"/>
        </w:rPr>
        <w:t>公务用车购置费支出较年初预算</w:t>
      </w:r>
      <w:r>
        <w:rPr>
          <w:rFonts w:hint="eastAsia" w:ascii="仿宋_GB2312" w:hAnsi="Times New Roman" w:eastAsia="仿宋_GB2312" w:cs="DengXian-Regular"/>
          <w:sz w:val="32"/>
          <w:szCs w:val="32"/>
        </w:rPr>
        <w:t>相比无变化</w:t>
      </w:r>
      <w:r>
        <w:rPr>
          <w:rFonts w:ascii="仿宋_GB2312" w:eastAsia="仿宋_GB2312" w:cs="DengXian-Regular"/>
          <w:sz w:val="32"/>
          <w:szCs w:val="32"/>
        </w:rPr>
        <w:t>,</w:t>
      </w:r>
      <w:r>
        <w:rPr>
          <w:rFonts w:hint="eastAsia" w:ascii="仿宋_GB2312" w:eastAsia="仿宋_GB2312" w:cs="DengXian-Regular"/>
          <w:sz w:val="32"/>
          <w:szCs w:val="32"/>
        </w:rPr>
        <w:t>主要是本单位本年度未发生‘公务用车购置’经费支出，较2018年决算</w:t>
      </w:r>
      <w:r>
        <w:rPr>
          <w:rFonts w:hint="eastAsia" w:ascii="仿宋_GB2312" w:hAnsi="Times New Roman" w:eastAsia="仿宋_GB2312" w:cs="DengXian-Regular"/>
          <w:sz w:val="32"/>
          <w:szCs w:val="32"/>
        </w:rPr>
        <w:t>相比无变化</w:t>
      </w:r>
      <w:r>
        <w:rPr>
          <w:rFonts w:ascii="仿宋_GB2312" w:eastAsia="仿宋_GB2312" w:cs="DengXian-Regular"/>
          <w:sz w:val="32"/>
          <w:szCs w:val="32"/>
        </w:rPr>
        <w:t>,</w:t>
      </w:r>
      <w:r>
        <w:rPr>
          <w:rFonts w:hint="eastAsia" w:ascii="仿宋_GB2312" w:eastAsia="仿宋_GB2312" w:cs="DengXian-Regular"/>
          <w:sz w:val="32"/>
          <w:szCs w:val="32"/>
        </w:rPr>
        <w:t>主要是本单位本年度未发生‘公务用车购置’经费支出。</w:t>
      </w:r>
    </w:p>
    <w:p>
      <w:pPr>
        <w:adjustRightInd w:val="0"/>
        <w:snapToGrid w:val="0"/>
        <w:spacing w:line="580" w:lineRule="exact"/>
        <w:ind w:firstLine="643" w:firstLineChars="200"/>
        <w:rPr>
          <w:rFonts w:ascii="仿宋_GB2312" w:hAnsi="Times New Roman" w:eastAsia="仿宋_GB2312" w:cs="DengXian-Regular"/>
          <w:color w:val="auto"/>
          <w:sz w:val="32"/>
          <w:szCs w:val="32"/>
        </w:rPr>
      </w:pPr>
      <w:r>
        <w:rPr>
          <w:rFonts w:hint="eastAsia" w:ascii="仿宋_GB2312" w:hAnsi="Times New Roman" w:eastAsia="仿宋_GB2312" w:cs="DengXian-Regular"/>
          <w:b/>
          <w:sz w:val="32"/>
          <w:szCs w:val="32"/>
        </w:rPr>
        <w:t>公务用车运行维护费3</w:t>
      </w:r>
      <w:r>
        <w:rPr>
          <w:rFonts w:hint="eastAsia" w:ascii="仿宋_GB2312" w:hAnsi="Times New Roman" w:eastAsia="仿宋_GB2312" w:cs="DengXian-Regular"/>
          <w:b/>
          <w:sz w:val="32"/>
          <w:szCs w:val="32"/>
          <w:lang w:val="en-US" w:eastAsia="zh-CN"/>
        </w:rPr>
        <w:t>.00</w:t>
      </w:r>
      <w:r>
        <w:rPr>
          <w:rFonts w:hint="eastAsia" w:ascii="仿宋_GB2312" w:hAnsi="Times New Roman" w:eastAsia="仿宋_GB2312" w:cs="DengXian-Regular"/>
          <w:b/>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年度单位公务用车保有量1辆。公车运行维护费支出较年初预算相比无变化，</w:t>
      </w:r>
      <w:r>
        <w:rPr>
          <w:rFonts w:hint="eastAsia" w:ascii="仿宋_GB2312" w:eastAsia="仿宋_GB2312" w:cs="DengXian-Regular"/>
          <w:sz w:val="32"/>
          <w:szCs w:val="32"/>
        </w:rPr>
        <w:t>切实压缩公务用车费用支出</w:t>
      </w:r>
      <w:r>
        <w:rPr>
          <w:rFonts w:hint="eastAsia" w:ascii="仿宋_GB2312" w:hAnsi="Times New Roman" w:eastAsia="仿宋_GB2312" w:cs="DengXian-Regular"/>
          <w:sz w:val="32"/>
          <w:szCs w:val="32"/>
        </w:rPr>
        <w:t>；</w:t>
      </w:r>
      <w:r>
        <w:rPr>
          <w:rFonts w:hint="eastAsia" w:ascii="仿宋_GB2312" w:hAnsi="Times New Roman" w:eastAsia="仿宋_GB2312" w:cs="DengXian-Regular"/>
          <w:color w:val="auto"/>
          <w:sz w:val="32"/>
          <w:szCs w:val="32"/>
        </w:rPr>
        <w:t>较2018年增加3.00万元，主要原因是</w:t>
      </w:r>
      <w:r>
        <w:rPr>
          <w:rFonts w:hint="eastAsia" w:ascii="仿宋_GB2312" w:hAnsi="Times New Roman" w:eastAsia="仿宋_GB2312" w:cs="DengXian-Regular"/>
          <w:color w:val="auto"/>
          <w:sz w:val="32"/>
          <w:szCs w:val="32"/>
          <w:lang w:val="en-US" w:eastAsia="zh-CN"/>
        </w:rPr>
        <w:t>2018年是0万元，</w:t>
      </w:r>
      <w:r>
        <w:rPr>
          <w:rFonts w:hint="eastAsia" w:ascii="仿宋_GB2312" w:hAnsi="Times New Roman" w:eastAsia="仿宋_GB2312" w:cs="DengXian-Regular"/>
          <w:color w:val="auto"/>
          <w:sz w:val="32"/>
          <w:szCs w:val="32"/>
        </w:rPr>
        <w:t>2019年增加了预算，政府借用单位公务用车归还，故数额增加。</w:t>
      </w:r>
    </w:p>
    <w:p>
      <w:pPr>
        <w:adjustRightInd w:val="0"/>
        <w:snapToGrid w:val="0"/>
        <w:spacing w:line="580" w:lineRule="exact"/>
        <w:ind w:firstLine="643" w:firstLineChars="200"/>
        <w:rPr>
          <w:rFonts w:ascii="仿宋_GB2312" w:eastAsia="仿宋_GB2312" w:cs="DengXian-Regular"/>
          <w:sz w:val="32"/>
          <w:szCs w:val="32"/>
        </w:rPr>
      </w:pPr>
      <w:r>
        <w:rPr>
          <w:rFonts w:hint="eastAsia" w:ascii="楷体_GB2312" w:hAnsi="Times New Roman" w:eastAsia="楷体_GB2312" w:cs="DengXian-Bold"/>
          <w:b/>
          <w:bCs/>
          <w:sz w:val="32"/>
          <w:szCs w:val="32"/>
        </w:rPr>
        <w:t>（三）公务接待费支出0.05万元。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年度公务接待共2批次、10人次。</w:t>
      </w:r>
      <w:r>
        <w:rPr>
          <w:rFonts w:hint="eastAsia" w:ascii="仿宋_GB2312" w:eastAsia="仿宋_GB2312" w:cs="DengXian-Regular"/>
          <w:sz w:val="32"/>
          <w:szCs w:val="32"/>
        </w:rPr>
        <w:t>公务接待费支出较年初预算</w:t>
      </w:r>
      <w:r>
        <w:rPr>
          <w:rFonts w:hint="eastAsia" w:ascii="仿宋_GB2312" w:hAnsi="Times New Roman" w:eastAsia="仿宋_GB2312" w:cs="DengXian-Regular"/>
          <w:sz w:val="32"/>
          <w:szCs w:val="32"/>
        </w:rPr>
        <w:t>相比无变化</w:t>
      </w:r>
      <w:r>
        <w:rPr>
          <w:rFonts w:ascii="仿宋_GB2312" w:eastAsia="仿宋_GB2312" w:cs="DengXian-Regular"/>
          <w:sz w:val="32"/>
          <w:szCs w:val="32"/>
        </w:rPr>
        <w:t>,</w:t>
      </w:r>
      <w:r>
        <w:rPr>
          <w:rFonts w:hint="eastAsia" w:ascii="仿宋_GB2312" w:eastAsia="仿宋_GB2312" w:cs="DengXian-Regular"/>
          <w:sz w:val="32"/>
          <w:szCs w:val="32"/>
        </w:rPr>
        <w:t>主要是与年初预算持平</w:t>
      </w:r>
      <w:r>
        <w:rPr>
          <w:rFonts w:hint="eastAsia" w:ascii="仿宋_GB2312" w:hAnsi="Times New Roman" w:eastAsia="仿宋_GB2312" w:cs="DengXian-Regular"/>
          <w:sz w:val="32"/>
          <w:szCs w:val="32"/>
        </w:rPr>
        <w:t>；较2018年度决算相比无变化</w:t>
      </w:r>
      <w:r>
        <w:rPr>
          <w:rFonts w:ascii="仿宋_GB2312" w:hAnsi="Times New Roman" w:eastAsia="仿宋_GB2312" w:cs="DengXian-Regular"/>
          <w:sz w:val="32"/>
          <w:szCs w:val="32"/>
        </w:rPr>
        <w:t>,</w:t>
      </w:r>
      <w:r>
        <w:rPr>
          <w:rFonts w:hint="eastAsia" w:ascii="宋体" w:hAnsi="宋体" w:eastAsia="宋体" w:cs="宋体"/>
          <w:sz w:val="32"/>
          <w:szCs w:val="32"/>
        </w:rPr>
        <w:t>主</w:t>
      </w:r>
      <w:r>
        <w:rPr>
          <w:rFonts w:hint="eastAsia" w:ascii="仿宋_GB2312" w:eastAsia="仿宋_GB2312" w:cs="DengXian-Regular"/>
          <w:sz w:val="32"/>
          <w:szCs w:val="32"/>
        </w:rPr>
        <w:t>要原因是认真贯彻落实中央八项规定。</w:t>
      </w:r>
    </w:p>
    <w:p>
      <w:pPr>
        <w:widowControl/>
        <w:spacing w:after="160"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六、预算绩效情况说明。</w:t>
      </w:r>
    </w:p>
    <w:p>
      <w:pPr>
        <w:widowControl/>
        <w:spacing w:line="600" w:lineRule="exact"/>
        <w:ind w:firstLine="643" w:firstLineChars="200"/>
        <w:textAlignment w:val="baseline"/>
        <w:rPr>
          <w:rStyle w:val="15"/>
          <w:rFonts w:ascii="仿宋" w:hAnsi="仿宋" w:eastAsia="仿宋"/>
          <w:b/>
          <w:bCs/>
          <w:sz w:val="32"/>
          <w:szCs w:val="32"/>
        </w:rPr>
      </w:pPr>
      <w:r>
        <w:rPr>
          <w:rStyle w:val="15"/>
          <w:rFonts w:hint="eastAsia" w:ascii="仿宋" w:hAnsi="仿宋" w:eastAsia="仿宋"/>
          <w:b/>
          <w:bCs/>
          <w:sz w:val="32"/>
          <w:szCs w:val="32"/>
        </w:rPr>
        <w:t>1、</w:t>
      </w:r>
      <w:r>
        <w:rPr>
          <w:rStyle w:val="15"/>
          <w:rFonts w:ascii="仿宋" w:hAnsi="仿宋" w:eastAsia="仿宋"/>
          <w:b/>
          <w:bCs/>
          <w:sz w:val="32"/>
          <w:szCs w:val="32"/>
        </w:rPr>
        <w:t>预算绩效管理工作开展情况</w:t>
      </w:r>
      <w:r>
        <w:rPr>
          <w:rStyle w:val="15"/>
          <w:rFonts w:hint="eastAsia" w:ascii="仿宋" w:hAnsi="仿宋" w:eastAsia="仿宋"/>
          <w:b/>
          <w:bCs/>
          <w:sz w:val="32"/>
          <w:szCs w:val="32"/>
        </w:rPr>
        <w:t>。</w:t>
      </w:r>
    </w:p>
    <w:p>
      <w:pPr>
        <w:widowControl/>
        <w:spacing w:line="600" w:lineRule="exact"/>
        <w:ind w:firstLine="64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对2019一般公共预算预算项目支出开展绩效自评，其中，一级项目8个，共涉及金额236.50万元，占一般预算项目支出总额的100%。对2019年0个字符性基金预算项目支出开展绩效自评，共涉及资金0万元，占政府性基金预算项目支出总额的0%。对贫困县离休干部医药费补助开展了部门评价，涉及一般预算支出236.50万元，政府性基金预算支出0万元。</w:t>
      </w:r>
    </w:p>
    <w:p>
      <w:pPr>
        <w:widowControl/>
        <w:spacing w:line="600" w:lineRule="exact"/>
        <w:textAlignment w:val="baseline"/>
        <w:rPr>
          <w:rStyle w:val="15"/>
          <w:rFonts w:ascii="仿宋" w:hAnsi="仿宋" w:eastAsia="仿宋"/>
          <w:sz w:val="32"/>
          <w:szCs w:val="32"/>
        </w:rPr>
      </w:pPr>
      <w:r>
        <w:rPr>
          <w:rStyle w:val="15"/>
          <w:rFonts w:ascii="仿宋" w:hAnsi="仿宋" w:eastAsia="仿宋"/>
          <w:sz w:val="32"/>
          <w:szCs w:val="32"/>
        </w:rPr>
        <w:t xml:space="preserve">   </w:t>
      </w:r>
      <w:r>
        <w:rPr>
          <w:rStyle w:val="15"/>
          <w:rFonts w:hint="eastAsia" w:ascii="仿宋" w:hAnsi="仿宋" w:eastAsia="仿宋"/>
          <w:sz w:val="32"/>
          <w:szCs w:val="32"/>
        </w:rPr>
        <w:t xml:space="preserve">  2、</w:t>
      </w:r>
      <w:r>
        <w:rPr>
          <w:rStyle w:val="15"/>
          <w:rFonts w:hint="eastAsia" w:ascii="仿宋" w:hAnsi="仿宋" w:eastAsia="仿宋"/>
          <w:b/>
          <w:bCs/>
          <w:sz w:val="32"/>
          <w:szCs w:val="32"/>
        </w:rPr>
        <w:t>部门决算中项目</w:t>
      </w:r>
      <w:r>
        <w:rPr>
          <w:rStyle w:val="15"/>
          <w:rFonts w:ascii="仿宋" w:hAnsi="仿宋" w:eastAsia="仿宋"/>
          <w:b/>
          <w:bCs/>
          <w:sz w:val="32"/>
          <w:szCs w:val="32"/>
        </w:rPr>
        <w:t>绩效</w:t>
      </w:r>
      <w:r>
        <w:rPr>
          <w:rStyle w:val="15"/>
          <w:rFonts w:hint="eastAsia" w:ascii="仿宋" w:hAnsi="仿宋" w:eastAsia="仿宋"/>
          <w:b/>
          <w:bCs/>
          <w:sz w:val="32"/>
          <w:szCs w:val="32"/>
        </w:rPr>
        <w:t>自评结果。</w:t>
      </w:r>
    </w:p>
    <w:p>
      <w:pPr>
        <w:widowControl/>
        <w:spacing w:line="600" w:lineRule="exact"/>
        <w:ind w:firstLine="64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本部门在今年部门决算公开中反映对贫困县离休干部医药费补助项目绩效自评结果。</w:t>
      </w:r>
    </w:p>
    <w:p>
      <w:pPr>
        <w:widowControl/>
        <w:spacing w:line="600" w:lineRule="exact"/>
        <w:ind w:firstLine="64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贫困县离休干部医药费补助项目自评综述：根据年初设定的绩效目标，贫困县离休干部医药费补助绩效自评得为90分。全年预算数为7.10万元，执行数为7.10万元。完成预算的100%，项目绩效目标完成情况:一是离休干部医药费足额发放；二是离休干部医药费补助按时发放。发现的主要问题及原因：离休干部年龄年事已高，每年有去世人员，金额不好把控。下一步改进措施：多了解离休干部的生活动态。</w:t>
      </w:r>
    </w:p>
    <w:p>
      <w:pPr>
        <w:keepNext/>
        <w:keepLines/>
        <w:snapToGrid w:val="0"/>
        <w:spacing w:line="580" w:lineRule="exact"/>
        <w:ind w:firstLine="643" w:firstLineChars="200"/>
        <w:outlineLvl w:val="1"/>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3.财政评价项目绩效评价结果。</w:t>
      </w:r>
    </w:p>
    <w:p>
      <w:pPr>
        <w:adjustRightInd w:val="0"/>
        <w:snapToGrid w:val="0"/>
        <w:spacing w:line="580" w:lineRule="exact"/>
        <w:ind w:left="420" w:leftChars="200" w:firstLine="320" w:firstLineChars="100"/>
        <w:rPr>
          <w:rFonts w:ascii="仿宋_GB2312" w:hAnsi="仿宋_GB2312" w:eastAsia="仿宋_GB2312" w:cs="仿宋_GB2312"/>
          <w:b/>
          <w:bCs/>
          <w:sz w:val="32"/>
          <w:szCs w:val="32"/>
        </w:rPr>
      </w:pPr>
      <w:r>
        <w:rPr>
          <w:rFonts w:hint="eastAsia" w:ascii="仿宋_GB2312" w:eastAsia="仿宋_GB2312" w:cs="DengXian-Regular"/>
          <w:sz w:val="32"/>
          <w:szCs w:val="32"/>
        </w:rPr>
        <w:t>本单位本年度无财政评价项目绩效评价结果。</w:t>
      </w:r>
    </w:p>
    <w:p>
      <w:pPr>
        <w:widowControl/>
        <w:spacing w:after="160" w:line="580" w:lineRule="exact"/>
        <w:ind w:firstLine="643" w:firstLineChars="200"/>
        <w:rPr>
          <w:rFonts w:ascii="Times New Roman" w:hAnsi="Times New Roman" w:eastAsia="仿宋_GB2312"/>
          <w:b/>
          <w:bCs/>
          <w:sz w:val="32"/>
          <w:szCs w:val="32"/>
        </w:rPr>
      </w:pPr>
      <w:r>
        <w:rPr>
          <w:rFonts w:hint="eastAsia" w:ascii="Times New Roman" w:hAnsi="Times New Roman" w:eastAsia="仿宋_GB2312"/>
          <w:b/>
          <w:bCs/>
          <w:sz w:val="32"/>
          <w:szCs w:val="32"/>
        </w:rPr>
        <w:t>七、其他重要事项的说明</w:t>
      </w:r>
    </w:p>
    <w:p>
      <w:pPr>
        <w:widowControl/>
        <w:spacing w:after="160" w:line="580" w:lineRule="exact"/>
        <w:ind w:firstLine="321" w:firstLineChars="100"/>
        <w:rPr>
          <w:rFonts w:ascii="Times New Roman" w:hAnsi="Times New Roman" w:eastAsia="仿宋_GB2312"/>
          <w:b/>
          <w:bCs/>
          <w:sz w:val="32"/>
          <w:szCs w:val="32"/>
        </w:rPr>
      </w:pPr>
      <w:r>
        <w:rPr>
          <w:rFonts w:hint="eastAsia" w:ascii="Times New Roman" w:hAnsi="Times New Roman" w:eastAsia="仿宋_GB2312"/>
          <w:b/>
          <w:bCs/>
          <w:sz w:val="32"/>
          <w:szCs w:val="32"/>
        </w:rPr>
        <w:t>（一）机关运行经费情况说明</w:t>
      </w:r>
    </w:p>
    <w:p>
      <w:pPr>
        <w:adjustRightInd w:val="0"/>
        <w:snapToGrid w:val="0"/>
        <w:spacing w:line="580" w:lineRule="exact"/>
        <w:ind w:left="420" w:leftChars="200" w:firstLine="320" w:firstLineChars="100"/>
        <w:rPr>
          <w:rFonts w:ascii="仿宋_GB2312" w:eastAsia="仿宋_GB2312" w:cs="DengXian-Regular"/>
          <w:sz w:val="32"/>
          <w:szCs w:val="32"/>
        </w:rPr>
      </w:pPr>
      <w:r>
        <w:rPr>
          <w:rFonts w:hint="eastAsia" w:ascii="仿宋_GB2312" w:eastAsia="仿宋_GB2312" w:cs="DengXian-Regular"/>
          <w:sz w:val="32"/>
          <w:szCs w:val="32"/>
        </w:rPr>
        <w:t>本部门2019年度机关运行经费支出19.52万元，与2018年决算18.40万元相比增加1.12万元，增长6.10%，增加的主要原因人员的变动。与2019年年初预算19.90万元相比减少0.38万元，降低1.90%，减少的主要原因人员退休。</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年度政府采购支出总额0万元，从采购类型来看，</w:t>
      </w:r>
      <w:r>
        <w:rPr>
          <w:rFonts w:hint="eastAsia" w:ascii="仿宋_GB2312" w:hAnsi="仿宋_GB2312" w:eastAsia="仿宋_GB2312" w:cs="仿宋_GB2312"/>
          <w:color w:val="000000"/>
          <w:kern w:val="0"/>
          <w:sz w:val="32"/>
          <w:szCs w:val="32"/>
        </w:rPr>
        <w:t>政府采购货物支出0</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万元、政府采购工程支出0万元、政府采购服务支出0万元。授予中小企业合同金额</w:t>
      </w:r>
      <w:bookmarkStart w:id="0" w:name="_GoBack"/>
      <w:bookmarkEnd w:id="0"/>
      <w:r>
        <w:rPr>
          <w:rFonts w:hint="eastAsia" w:ascii="仿宋_GB2312" w:hAnsi="仿宋_GB2312" w:eastAsia="仿宋_GB2312" w:cs="仿宋_GB2312"/>
          <w:color w:val="000000"/>
          <w:kern w:val="0"/>
          <w:sz w:val="32"/>
          <w:szCs w:val="32"/>
        </w:rPr>
        <w:t>0万元，占政府采购支出总额的0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，其中授予小微企业合同金额0万元，占政府采购支出总额的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日，本部门共有车辆1辆，比上年增加0辆，主要是</w:t>
      </w:r>
      <w:r>
        <w:rPr>
          <w:rFonts w:hint="eastAsia" w:ascii="仿宋_GB2312" w:eastAsia="仿宋_GB2312" w:cs="DengXian-Regular"/>
          <w:sz w:val="32"/>
          <w:szCs w:val="32"/>
        </w:rPr>
        <w:t>本单位本年度无公务用车购置</w:t>
      </w:r>
      <w:r>
        <w:rPr>
          <w:rFonts w:hint="eastAsia" w:ascii="仿宋_GB2312" w:hAnsi="Times New Roman" w:eastAsia="仿宋_GB2312" w:cs="DengXian-Regular"/>
          <w:sz w:val="32"/>
          <w:szCs w:val="32"/>
        </w:rPr>
        <w:t>。其中，</w:t>
      </w:r>
      <w:r>
        <w:rPr>
          <w:rFonts w:hint="eastAsia" w:ascii="仿宋_GB2312" w:eastAsia="仿宋_GB2312" w:cs="DengXian-Regular"/>
          <w:sz w:val="32"/>
          <w:szCs w:val="32"/>
        </w:rPr>
        <w:t>副部（省）级及以上领导用车0辆，主要领导干部用车0辆，机要通信用车1辆，应急保障用车0辆，执法执勤用车0辆，特种专业技术用车0辆，离退休干部用车0辆，其他用车0辆，本单位无其他用车</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万元以上通用设备0台（套），比上年增加0套，主要是</w:t>
      </w:r>
      <w:r>
        <w:rPr>
          <w:rFonts w:hint="eastAsia" w:ascii="仿宋_GB2312" w:eastAsia="仿宋_GB2312" w:cs="DengXian-Regular"/>
          <w:sz w:val="32"/>
          <w:szCs w:val="32"/>
        </w:rPr>
        <w:t>本单位无价值在50万元以上的通用设备</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万元以上专用设备0台（套）比上年增加0套，主要是</w:t>
      </w:r>
      <w:r>
        <w:rPr>
          <w:rFonts w:hint="eastAsia" w:ascii="仿宋_GB2312" w:eastAsia="仿宋_GB2312" w:cs="DengXian-Regular"/>
          <w:sz w:val="32"/>
          <w:szCs w:val="32"/>
        </w:rPr>
        <w:t>主要是本单位无价值在100万元以上的专用设备</w:t>
      </w:r>
      <w:r>
        <w:rPr>
          <w:rFonts w:hint="eastAsia" w:ascii="仿宋_GB2312" w:hAnsi="Times New Roman" w:eastAsia="仿宋_GB2312" w:cs="DengXian-Regular"/>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pPr>
        <w:adjustRightInd w:val="0"/>
        <w:snapToGrid w:val="0"/>
        <w:spacing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1</w:t>
      </w:r>
      <w:r>
        <w:rPr>
          <w:rFonts w:hint="eastAsia" w:ascii="仿宋_GB2312" w:eastAsia="仿宋_GB2312" w:cs="DengXian-Regular"/>
          <w:sz w:val="32"/>
          <w:szCs w:val="32"/>
        </w:rPr>
        <w:t>、本部门</w:t>
      </w:r>
      <w:r>
        <w:rPr>
          <w:rFonts w:ascii="仿宋_GB2312" w:eastAsia="仿宋_GB2312" w:cs="DengXian-Regular"/>
          <w:sz w:val="32"/>
          <w:szCs w:val="32"/>
        </w:rPr>
        <w:t>201</w:t>
      </w:r>
      <w:r>
        <w:rPr>
          <w:rFonts w:hint="eastAsia" w:ascii="仿宋_GB2312" w:eastAsia="仿宋_GB2312" w:cs="DengXian-Regular"/>
          <w:sz w:val="32"/>
          <w:szCs w:val="32"/>
        </w:rPr>
        <w:t>9年度</w:t>
      </w:r>
      <w:r>
        <w:rPr>
          <w:rFonts w:hint="eastAsia" w:ascii="仿宋_GB2312" w:hAnsi="Cambria" w:eastAsia="仿宋_GB2312" w:cs="ArialUnicodeMS"/>
          <w:kern w:val="0"/>
          <w:sz w:val="32"/>
          <w:szCs w:val="32"/>
        </w:rPr>
        <w:t>无政府性基金财政拨款收入</w:t>
      </w:r>
      <w:r>
        <w:rPr>
          <w:rFonts w:hint="eastAsia" w:ascii="仿宋_GB2312" w:eastAsia="仿宋_GB2312" w:cs="DengXian-Regular"/>
          <w:sz w:val="32"/>
          <w:szCs w:val="32"/>
        </w:rPr>
        <w:t>，按照要求以空表列示。</w:t>
      </w:r>
    </w:p>
    <w:p>
      <w:pPr>
        <w:adjustRightInd w:val="0"/>
        <w:snapToGrid w:val="0"/>
        <w:spacing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2、本部门2019年度无</w:t>
      </w:r>
      <w:r>
        <w:rPr>
          <w:rFonts w:hint="eastAsia" w:ascii="仿宋_GB2312" w:hAnsi="Cambria" w:eastAsia="仿宋_GB2312" w:cs="ArialUnicodeMS"/>
          <w:kern w:val="0"/>
          <w:sz w:val="32"/>
          <w:szCs w:val="32"/>
        </w:rPr>
        <w:t>国有资本经营预算财政拨款收入，按照要求</w:t>
      </w:r>
      <w:r>
        <w:rPr>
          <w:rFonts w:hint="eastAsia" w:ascii="仿宋_GB2312" w:eastAsia="仿宋_GB2312" w:cs="DengXian-Regular"/>
          <w:sz w:val="32"/>
          <w:szCs w:val="32"/>
        </w:rPr>
        <w:t>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3</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sectPr>
          <w:pgSz w:w="11906" w:h="16838"/>
          <w:pgMar w:top="2098" w:right="1474" w:bottom="1984" w:left="1588" w:header="851" w:footer="992" w:gutter="0"/>
          <w:pgNumType w:fmt="numberInDash"/>
          <w:cols w:space="0" w:num="1"/>
          <w:docGrid w:type="lines" w:linePitch="312" w:charSpace="0"/>
        </w:sectPr>
      </w:pPr>
    </w:p>
    <w:p>
      <w:pPr>
        <w:jc w:val="center"/>
        <w:rPr>
          <w:rFonts w:ascii="黑体" w:hAnsi="黑体" w:eastAsia="黑体" w:cs="黑体"/>
          <w:sz w:val="56"/>
          <w:szCs w:val="72"/>
        </w:rPr>
      </w:pPr>
    </w:p>
    <w:p>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line="600" w:lineRule="exact"/>
        <w:ind w:firstLine="640" w:firstLineChars="200"/>
        <w:textAlignment w:val="baseline"/>
        <w:rPr>
          <w:rStyle w:val="15"/>
          <w:rFonts w:ascii="仿宋" w:hAnsi="仿宋" w:eastAsia="仿宋"/>
          <w:sz w:val="32"/>
          <w:szCs w:val="32"/>
        </w:rPr>
      </w:pPr>
      <w:r>
        <w:rPr>
          <w:rStyle w:val="15"/>
          <w:rFonts w:hint="eastAsia" w:ascii="仿宋" w:hAnsi="仿宋" w:eastAsia="仿宋"/>
          <w:sz w:val="32"/>
          <w:szCs w:val="32"/>
        </w:rPr>
        <w:t xml:space="preserve">        </w:t>
      </w: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  </w:t>
      </w:r>
    </w:p>
    <w:p>
      <w:pPr>
        <w:widowControl/>
        <w:spacing w:after="160" w:line="580" w:lineRule="exact"/>
        <w:rPr>
          <w:rFonts w:ascii="Times New Roman" w:hAnsi="Times New Roman" w:eastAsia="仿宋_GB2312"/>
          <w:sz w:val="32"/>
          <w:szCs w:val="32"/>
        </w:rPr>
      </w:pPr>
      <w:r>
        <w:rPr>
          <w:rFonts w:ascii="Times New Roman" w:hAnsi="Times New Roman" w:eastAsia="仿宋_GB2312"/>
          <w:sz w:val="32"/>
          <w:szCs w:val="32"/>
        </w:rPr>
        <w:pict>
          <v:shape id="_x0000_s1088" o:spid="_x0000_s1088" o:spt="202" type="#_x0000_t202" style="position:absolute;left:0pt;margin-left:-80.45pt;margin-top:34.8pt;height:263.1pt;width:613.65pt;z-index:251670528;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w: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after="160" w:line="580" w:lineRule="exact"/>
        <w:ind w:left="640" w:firstLine="640" w:firstLineChars="200"/>
        <w:rPr>
          <w:rFonts w:ascii="Times New Roman" w:hAnsi="Times New Roman" w:eastAsia="仿宋_GB2312"/>
          <w:sz w:val="32"/>
          <w:szCs w:val="32"/>
        </w:rPr>
      </w:pP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Pr>
        <w:tabs>
          <w:tab w:val="left" w:pos="235"/>
        </w:tabs>
        <w:jc w:val="left"/>
      </w:pPr>
    </w:p>
    <w:p>
      <w:pPr>
        <w:tabs>
          <w:tab w:val="left" w:pos="235"/>
        </w:tabs>
        <w:jc w:val="left"/>
      </w:pPr>
    </w:p>
    <w:p>
      <w:pPr>
        <w:tabs>
          <w:tab w:val="left" w:pos="235"/>
        </w:tabs>
        <w:jc w:val="left"/>
      </w:pPr>
    </w:p>
    <w:p>
      <w:pPr>
        <w:tabs>
          <w:tab w:val="left" w:pos="235"/>
        </w:tabs>
        <w:jc w:val="left"/>
      </w:pPr>
    </w:p>
    <w:p>
      <w:pPr>
        <w:tabs>
          <w:tab w:val="left" w:pos="235"/>
        </w:tabs>
        <w:jc w:val="left"/>
      </w:pPr>
    </w:p>
    <w:p>
      <w:pPr>
        <w:tabs>
          <w:tab w:val="left" w:pos="235"/>
        </w:tabs>
        <w:jc w:val="left"/>
      </w:pPr>
    </w:p>
    <w:p>
      <w:pPr>
        <w:tabs>
          <w:tab w:val="left" w:pos="235"/>
        </w:tabs>
        <w:jc w:val="left"/>
        <w:sectPr>
          <w:headerReference r:id="rId16" w:type="default"/>
          <w:pgSz w:w="11906" w:h="16838"/>
          <w:pgMar w:top="2098" w:right="1474" w:bottom="1985" w:left="1588" w:header="851" w:footer="992" w:gutter="0"/>
          <w:pgNumType w:fmt="numberInDash"/>
          <w:cols w:space="425" w:num="1"/>
          <w:docGrid w:type="lines" w:linePitch="312" w:charSpace="0"/>
        </w:sectPr>
      </w:pPr>
      <w:r>
        <w:pict>
          <v:shape id="_x0000_s1089" o:spid="_x0000_s1089" o:spt="202" type="#_x0000_t202" style="position:absolute;left:0pt;margin-left:-82.05pt;margin-top:135.85pt;height:263.1pt;width:613.65pt;z-index:-251656192;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pPr>
                </w:p>
              </w:txbxContent>
            </v:textbox>
          </v:shape>
        </w:pict>
      </w: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r>
        <w:pict>
          <v:shape id="_x0000_s1109" o:spid="_x0000_s1109" o:spt="202" type="#_x0000_t202" style="position:absolute;left:0pt;margin-left:-80.4pt;margin-top:25.85pt;height:263.1pt;width:613.65pt;z-index:-251650048;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p>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p>
                  <w:pPr>
                    <w:widowControl/>
                    <w:jc w:val="center"/>
                    <w:rPr>
                      <w:rFonts w:ascii="黑体" w:hAnsi="黑体" w:eastAsia="黑体" w:cs="黑体"/>
                      <w:color w:val="000000"/>
                      <w:sz w:val="90"/>
                      <w:szCs w:val="90"/>
                    </w:rPr>
                  </w:pPr>
                </w:p>
                <w:p>
                  <w:pPr>
                    <w:widowControl/>
                    <w:jc w:val="center"/>
                    <w:rPr>
                      <w:rFonts w:ascii="黑体" w:hAnsi="黑体" w:eastAsia="黑体" w:cs="黑体"/>
                      <w:color w:val="000000"/>
                      <w:sz w:val="90"/>
                      <w:szCs w:val="90"/>
                    </w:rPr>
                  </w:pPr>
                </w:p>
                <w:p>
                  <w:pPr>
                    <w:widowControl/>
                    <w:jc w:val="center"/>
                    <w:rPr>
                      <w:rFonts w:ascii="黑体" w:hAnsi="黑体" w:eastAsia="黑体" w:cs="黑体"/>
                      <w:color w:val="000000"/>
                      <w:sz w:val="90"/>
                      <w:szCs w:val="90"/>
                    </w:rPr>
                  </w:pPr>
                </w:p>
              </w:txbxContent>
            </v:textbox>
          </v:shape>
        </w:pict>
      </w: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p>
      <w:pPr>
        <w:tabs>
          <w:tab w:val="left" w:pos="886"/>
        </w:tabs>
        <w:jc w:val="left"/>
      </w:pPr>
    </w:p>
    <w:tbl>
      <w:tblPr>
        <w:tblStyle w:val="7"/>
        <w:tblW w:w="9517" w:type="dxa"/>
        <w:tblInd w:w="0" w:type="dxa"/>
        <w:tblLayout w:type="fixed"/>
        <w:tblCellMar>
          <w:top w:w="0" w:type="dxa"/>
          <w:left w:w="0" w:type="dxa"/>
          <w:bottom w:w="0" w:type="dxa"/>
          <w:right w:w="0" w:type="dxa"/>
        </w:tblCellMar>
      </w:tblPr>
      <w:tblGrid>
        <w:gridCol w:w="3236"/>
        <w:gridCol w:w="731"/>
        <w:gridCol w:w="691"/>
        <w:gridCol w:w="3474"/>
        <w:gridCol w:w="541"/>
        <w:gridCol w:w="844"/>
      </w:tblGrid>
      <w:tr>
        <w:tblPrEx>
          <w:tblCellMar>
            <w:top w:w="0" w:type="dxa"/>
            <w:left w:w="0" w:type="dxa"/>
            <w:bottom w:w="0" w:type="dxa"/>
            <w:right w:w="0" w:type="dxa"/>
          </w:tblCellMar>
        </w:tblPrEx>
        <w:trPr>
          <w:trHeight w:val="531" w:hRule="atLeast"/>
        </w:trPr>
        <w:tc>
          <w:tcPr>
            <w:tcW w:w="9517" w:type="dxa"/>
            <w:gridSpan w:val="6"/>
            <w:tcBorders>
              <w:top w:val="nil"/>
              <w:left w:val="nil"/>
              <w:bottom w:val="nil"/>
              <w:right w:val="nil"/>
            </w:tcBorders>
            <w:noWrap/>
            <w:tcMar>
              <w:top w:w="15" w:type="dxa"/>
              <w:left w:w="15" w:type="dxa"/>
              <w:right w:w="15" w:type="dxa"/>
            </w:tcMar>
            <w:vAlign w:val="bottom"/>
          </w:tcPr>
          <w:p>
            <w:pPr>
              <w:spacing w:line="400" w:lineRule="exact"/>
              <w:jc w:val="center"/>
              <w:rPr>
                <w:rFonts w:ascii="黑体" w:hAnsi="宋体" w:eastAsia="黑体" w:cs="黑体"/>
                <w:color w:val="000000"/>
                <w:kern w:val="0"/>
                <w:sz w:val="32"/>
                <w:szCs w:val="32"/>
              </w:rPr>
            </w:pPr>
            <w:r>
              <w:rPr>
                <w:rFonts w:hint="eastAsia" w:ascii="黑体" w:hAnsi="宋体" w:eastAsia="黑体" w:cs="黑体"/>
                <w:color w:val="000000"/>
                <w:kern w:val="0"/>
                <w:sz w:val="32"/>
                <w:szCs w:val="32"/>
              </w:rPr>
              <w:t>收入支出决算总表</w:t>
            </w:r>
          </w:p>
          <w:p>
            <w:pPr>
              <w:spacing w:line="400" w:lineRule="exact"/>
              <w:jc w:val="center"/>
              <w:rPr>
                <w:rFonts w:ascii="黑体" w:hAnsi="宋体" w:eastAsia="黑体" w:cs="黑体"/>
                <w:color w:val="000000"/>
                <w:kern w:val="0"/>
                <w:sz w:val="32"/>
                <w:szCs w:val="32"/>
              </w:rPr>
            </w:pPr>
          </w:p>
        </w:tc>
      </w:tr>
      <w:tr>
        <w:tblPrEx>
          <w:tblCellMar>
            <w:top w:w="0" w:type="dxa"/>
            <w:left w:w="0" w:type="dxa"/>
            <w:bottom w:w="0" w:type="dxa"/>
            <w:right w:w="0" w:type="dxa"/>
          </w:tblCellMar>
        </w:tblPrEx>
        <w:trPr>
          <w:trHeight w:val="205" w:hRule="atLeast"/>
        </w:trPr>
        <w:tc>
          <w:tcPr>
            <w:tcW w:w="323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73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9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859"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01</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421" w:hRule="atLeast"/>
        </w:trPr>
        <w:tc>
          <w:tcPr>
            <w:tcW w:w="3236" w:type="dxa"/>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部门：中共阜平县委老干部局</w:t>
            </w:r>
          </w:p>
        </w:tc>
        <w:tc>
          <w:tcPr>
            <w:tcW w:w="73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9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859"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284" w:hRule="atLeast"/>
        </w:trPr>
        <w:tc>
          <w:tcPr>
            <w:tcW w:w="4658"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收入</w:t>
            </w:r>
          </w:p>
        </w:tc>
        <w:tc>
          <w:tcPr>
            <w:tcW w:w="4859" w:type="dxa"/>
            <w:gridSpan w:val="3"/>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支出</w:t>
            </w:r>
          </w:p>
        </w:tc>
      </w:tr>
      <w:tr>
        <w:tblPrEx>
          <w:tblCellMar>
            <w:top w:w="0" w:type="dxa"/>
            <w:left w:w="0" w:type="dxa"/>
            <w:bottom w:w="0" w:type="dxa"/>
            <w:right w:w="0" w:type="dxa"/>
          </w:tblCellMar>
        </w:tblPrEx>
        <w:trPr>
          <w:trHeight w:val="90"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一、一般公共预算财政拨款收入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852.58</w:t>
            </w: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一、一般公共服务支出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29</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5.00</w:t>
            </w:r>
          </w:p>
        </w:tc>
      </w:tr>
      <w:tr>
        <w:tblPrEx>
          <w:tblCellMar>
            <w:top w:w="0" w:type="dxa"/>
            <w:left w:w="0" w:type="dxa"/>
            <w:bottom w:w="0" w:type="dxa"/>
            <w:right w:w="0" w:type="dxa"/>
          </w:tblCellMar>
        </w:tblPrEx>
        <w:trPr>
          <w:trHeight w:val="34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二、政府性基金预算财政拨款收入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二、外交支出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30</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182"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三、上级补助收入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三、国防支出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31</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四、事业收入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四、公共安全支出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32</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五、经营收入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5</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五、教育支出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33</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六、附属单位上缴收入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6</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六、科学技术支出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34</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七、其他收入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7</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七、文化旅游体育与传媒支出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35</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8</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八、社会保障和就业支出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36</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669.81</w:t>
            </w: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9</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九、卫生健康支出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37</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170.75</w:t>
            </w: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10</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十、节能环保支出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38</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11</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十一、城乡社区支出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39</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12</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十二、农林水支出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40</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13</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十三、交通运输支出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41</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14</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十四、资源勘探信息等支出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42</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15</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十五、商业服务业等支出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43</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16</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十六、金融支出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44</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17</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十七、援助其他地区支出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45</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18</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十八、自然资源海洋气象等支出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46</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19</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十九、住房保障支出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47</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7.02</w:t>
            </w: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20</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二十、粮油物资储备支出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48</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21</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二十一、灾害防治及应急管理支出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49</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22</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二十二、其他支出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50</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23</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二十四、债务付息支出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51</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本年收入合计</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24</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852.58</w:t>
            </w: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本年支出合计</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52</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852.58</w:t>
            </w: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用事业基金弥补收支差额</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25</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结余分配</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53</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年初结转和结余</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26</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年末结转和结余</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54</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27</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55</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p>
        </w:tc>
      </w:tr>
      <w:tr>
        <w:tblPrEx>
          <w:tblCellMar>
            <w:top w:w="0" w:type="dxa"/>
            <w:left w:w="0" w:type="dxa"/>
            <w:bottom w:w="0" w:type="dxa"/>
            <w:right w:w="0" w:type="dxa"/>
          </w:tblCellMar>
        </w:tblPrEx>
        <w:trPr>
          <w:trHeight w:val="213" w:hRule="atLeast"/>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总计</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28</w:t>
            </w:r>
          </w:p>
        </w:tc>
        <w:tc>
          <w:tcPr>
            <w:tcW w:w="6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　852.58</w:t>
            </w:r>
          </w:p>
        </w:tc>
        <w:tc>
          <w:tcPr>
            <w:tcW w:w="347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总计</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56</w:t>
            </w:r>
          </w:p>
        </w:tc>
        <w:tc>
          <w:tcPr>
            <w:tcW w:w="8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宋体" w:hAnsi="宋体" w:eastAsia="宋体" w:cs="宋体"/>
                <w:color w:val="000000"/>
                <w:kern w:val="0"/>
                <w:sz w:val="20"/>
                <w:szCs w:val="20"/>
              </w:rPr>
            </w:pPr>
            <w:r>
              <w:rPr>
                <w:rFonts w:hint="eastAsia" w:ascii="宋体" w:hAnsi="宋体" w:eastAsia="宋体" w:cs="宋体"/>
                <w:color w:val="000000"/>
                <w:kern w:val="0"/>
                <w:sz w:val="20"/>
                <w:szCs w:val="20"/>
              </w:rPr>
              <w:t>852.58</w:t>
            </w:r>
          </w:p>
        </w:tc>
      </w:tr>
    </w:tbl>
    <w:p>
      <w:pPr>
        <w:tabs>
          <w:tab w:val="left" w:pos="886"/>
        </w:tabs>
        <w:jc w:val="left"/>
        <w:sectPr>
          <w:pgSz w:w="11906" w:h="16838"/>
          <w:pgMar w:top="1701" w:right="1417" w:bottom="1281" w:left="1417" w:header="851" w:footer="992" w:gutter="0"/>
          <w:pgNumType w:fmt="numberInDash"/>
          <w:cols w:space="0" w:num="1"/>
          <w:docGrid w:type="lines" w:linePitch="312" w:charSpace="0"/>
        </w:sectPr>
      </w:pPr>
    </w:p>
    <w:p>
      <w:pPr>
        <w:jc w:val="left"/>
      </w:pPr>
    </w:p>
    <w:tbl>
      <w:tblPr>
        <w:tblStyle w:val="7"/>
        <w:tblW w:w="9933" w:type="dxa"/>
        <w:jc w:val="center"/>
        <w:tblLayout w:type="fixed"/>
        <w:tblCellMar>
          <w:top w:w="0" w:type="dxa"/>
          <w:left w:w="0" w:type="dxa"/>
          <w:bottom w:w="0" w:type="dxa"/>
          <w:right w:w="0" w:type="dxa"/>
        </w:tblCellMar>
      </w:tblPr>
      <w:tblGrid>
        <w:gridCol w:w="720"/>
        <w:gridCol w:w="248"/>
        <w:gridCol w:w="334"/>
        <w:gridCol w:w="664"/>
        <w:gridCol w:w="157"/>
        <w:gridCol w:w="250"/>
        <w:gridCol w:w="250"/>
        <w:gridCol w:w="1247"/>
        <w:gridCol w:w="765"/>
        <w:gridCol w:w="930"/>
        <w:gridCol w:w="915"/>
        <w:gridCol w:w="840"/>
        <w:gridCol w:w="915"/>
        <w:gridCol w:w="855"/>
        <w:gridCol w:w="843"/>
      </w:tblGrid>
      <w:tr>
        <w:tblPrEx>
          <w:tblCellMar>
            <w:top w:w="0" w:type="dxa"/>
            <w:left w:w="0" w:type="dxa"/>
            <w:bottom w:w="0" w:type="dxa"/>
            <w:right w:w="0" w:type="dxa"/>
          </w:tblCellMar>
        </w:tblPrEx>
        <w:trPr>
          <w:trHeight w:val="983" w:hRule="atLeast"/>
          <w:jc w:val="center"/>
        </w:trPr>
        <w:tc>
          <w:tcPr>
            <w:tcW w:w="9933" w:type="dxa"/>
            <w:gridSpan w:val="15"/>
            <w:tcBorders>
              <w:top w:val="nil"/>
              <w:left w:val="nil"/>
              <w:bottom w:val="nil"/>
              <w:right w:val="nil"/>
            </w:tcBorders>
            <w:noWrap/>
            <w:tcMar>
              <w:top w:w="15" w:type="dxa"/>
              <w:left w:w="15" w:type="dxa"/>
              <w:right w:w="15" w:type="dxa"/>
            </w:tcMar>
            <w:vAlign w:val="bottom"/>
          </w:tcPr>
          <w:p>
            <w:pPr>
              <w:widowControl/>
              <w:textAlignment w:val="bottom"/>
              <w:rPr>
                <w:rFonts w:ascii="黑体" w:hAnsi="宋体" w:eastAsia="黑体" w:cs="黑体"/>
                <w:color w:val="000000"/>
                <w:kern w:val="0"/>
                <w:sz w:val="32"/>
                <w:szCs w:val="32"/>
              </w:rPr>
            </w:pPr>
          </w:p>
          <w:p>
            <w:pPr>
              <w:widowControl/>
              <w:jc w:val="center"/>
              <w:textAlignment w:val="bottom"/>
              <w:rPr>
                <w:rFonts w:ascii="黑体" w:hAnsi="宋体" w:eastAsia="黑体" w:cs="黑体"/>
                <w:color w:val="000000"/>
                <w:sz w:val="32"/>
                <w:szCs w:val="32"/>
              </w:rPr>
            </w:pPr>
            <w:r>
              <w:rPr>
                <w:rFonts w:hint="eastAsia" w:ascii="黑体" w:hAnsi="宋体" w:eastAsia="黑体" w:cs="黑体"/>
                <w:color w:val="000000"/>
                <w:kern w:val="0"/>
                <w:sz w:val="32"/>
                <w:szCs w:val="32"/>
              </w:rPr>
              <w:t>收入决算表</w:t>
            </w:r>
          </w:p>
        </w:tc>
      </w:tr>
      <w:tr>
        <w:tblPrEx>
          <w:tblCellMar>
            <w:top w:w="0" w:type="dxa"/>
            <w:left w:w="0" w:type="dxa"/>
            <w:bottom w:w="0" w:type="dxa"/>
            <w:right w:w="0" w:type="dxa"/>
          </w:tblCellMar>
        </w:tblPrEx>
        <w:trPr>
          <w:trHeight w:val="357" w:hRule="atLeast"/>
          <w:jc w:val="center"/>
        </w:trPr>
        <w:tc>
          <w:tcPr>
            <w:tcW w:w="968" w:type="dxa"/>
            <w:gridSpan w:val="2"/>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33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6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57"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5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5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012" w:type="dxa"/>
            <w:gridSpan w:val="2"/>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3600" w:type="dxa"/>
            <w:gridSpan w:val="4"/>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698" w:type="dxa"/>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02</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357" w:hRule="atLeast"/>
          <w:jc w:val="center"/>
        </w:trPr>
        <w:tc>
          <w:tcPr>
            <w:tcW w:w="4635" w:type="dxa"/>
            <w:gridSpan w:val="9"/>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r>
              <w:rPr>
                <w:rFonts w:hint="eastAsia" w:ascii="宋体" w:hAnsi="宋体" w:eastAsia="宋体" w:cs="宋体"/>
                <w:color w:val="000000"/>
                <w:kern w:val="0"/>
                <w:sz w:val="20"/>
                <w:szCs w:val="20"/>
              </w:rPr>
              <w:t>部门：中共阜平县委老干部局</w:t>
            </w:r>
          </w:p>
        </w:tc>
        <w:tc>
          <w:tcPr>
            <w:tcW w:w="3600" w:type="dxa"/>
            <w:gridSpan w:val="4"/>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698" w:type="dxa"/>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385" w:hRule="atLeast"/>
          <w:jc w:val="center"/>
        </w:trPr>
        <w:tc>
          <w:tcPr>
            <w:tcW w:w="3870" w:type="dxa"/>
            <w:gridSpan w:val="8"/>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76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本年收入合计</w:t>
            </w:r>
          </w:p>
        </w:tc>
        <w:tc>
          <w:tcPr>
            <w:tcW w:w="93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财政拨款收入</w:t>
            </w:r>
          </w:p>
        </w:tc>
        <w:tc>
          <w:tcPr>
            <w:tcW w:w="91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上级补助收入</w:t>
            </w:r>
          </w:p>
        </w:tc>
        <w:tc>
          <w:tcPr>
            <w:tcW w:w="84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事业收入</w:t>
            </w:r>
          </w:p>
        </w:tc>
        <w:tc>
          <w:tcPr>
            <w:tcW w:w="91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经营收入</w:t>
            </w:r>
          </w:p>
        </w:tc>
        <w:tc>
          <w:tcPr>
            <w:tcW w:w="85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附属单位上缴收入</w:t>
            </w:r>
          </w:p>
        </w:tc>
        <w:tc>
          <w:tcPr>
            <w:tcW w:w="843"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其他收入</w:t>
            </w:r>
          </w:p>
        </w:tc>
      </w:tr>
      <w:tr>
        <w:tblPrEx>
          <w:tblCellMar>
            <w:top w:w="0" w:type="dxa"/>
            <w:left w:w="0" w:type="dxa"/>
            <w:bottom w:w="0" w:type="dxa"/>
            <w:right w:w="0" w:type="dxa"/>
          </w:tblCellMar>
        </w:tblPrEx>
        <w:trPr>
          <w:trHeight w:val="380" w:hRule="atLeast"/>
          <w:jc w:val="center"/>
        </w:trPr>
        <w:tc>
          <w:tcPr>
            <w:tcW w:w="720"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3150" w:type="dxa"/>
            <w:gridSpan w:val="7"/>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76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3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1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1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5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43"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80" w:hRule="atLeast"/>
          <w:jc w:val="center"/>
        </w:trPr>
        <w:tc>
          <w:tcPr>
            <w:tcW w:w="720"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3150" w:type="dxa"/>
            <w:gridSpan w:val="7"/>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76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3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1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1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5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43"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2" w:hRule="atLeast"/>
          <w:jc w:val="center"/>
        </w:trPr>
        <w:tc>
          <w:tcPr>
            <w:tcW w:w="720"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3150" w:type="dxa"/>
            <w:gridSpan w:val="7"/>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76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3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1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1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5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43"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85" w:hRule="atLeast"/>
          <w:jc w:val="center"/>
        </w:trPr>
        <w:tc>
          <w:tcPr>
            <w:tcW w:w="3870" w:type="dxa"/>
            <w:gridSpan w:val="8"/>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7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930"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91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840"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91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85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c>
          <w:tcPr>
            <w:tcW w:w="843"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7</w:t>
            </w:r>
          </w:p>
        </w:tc>
      </w:tr>
      <w:tr>
        <w:tblPrEx>
          <w:tblCellMar>
            <w:top w:w="0" w:type="dxa"/>
            <w:left w:w="0" w:type="dxa"/>
            <w:bottom w:w="0" w:type="dxa"/>
            <w:right w:w="0" w:type="dxa"/>
          </w:tblCellMar>
        </w:tblPrEx>
        <w:trPr>
          <w:trHeight w:val="385" w:hRule="atLeast"/>
          <w:jc w:val="center"/>
        </w:trPr>
        <w:tc>
          <w:tcPr>
            <w:tcW w:w="3870" w:type="dxa"/>
            <w:gridSpan w:val="8"/>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r>
              <w:rPr>
                <w:rFonts w:hint="eastAsia" w:ascii="宋体" w:hAnsi="宋体" w:eastAsia="宋体" w:cs="宋体"/>
                <w:b/>
                <w:color w:val="000000"/>
                <w:sz w:val="18"/>
                <w:szCs w:val="18"/>
              </w:rPr>
              <w:t>852.58</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r>
              <w:rPr>
                <w:rFonts w:hint="eastAsia" w:ascii="宋体" w:hAnsi="宋体" w:eastAsia="宋体" w:cs="宋体"/>
                <w:b/>
                <w:color w:val="000000"/>
                <w:sz w:val="18"/>
                <w:szCs w:val="18"/>
              </w:rPr>
              <w:t>852.58</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rPr>
                <w:rFonts w:ascii="宋体" w:hAnsi="宋体" w:eastAsia="宋体" w:cs="宋体"/>
                <w:b/>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201</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一般公共服务支出</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20101</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人大事务</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2010102</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一般行政管理事务</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60"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208</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社会保障和就业支出</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20805</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行政事业单位离退休</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2080502</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事业单位离退休</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77.88</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77.88</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2080503</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离退休人员管理机构</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316.38</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316.38</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2080504</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未归口管理的行政单位离退休</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263.83</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263.83</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2080505</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机关事业单位基本养老保险金缴费支出</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117.22</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117.22</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210</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卫生健康支出</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170.75</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170.75</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21011</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行政事业单位医疗</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163.65</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163.65</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2101101</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行政单位医疗</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128.91</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128.91</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2101102</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事业单位医疗</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34.74</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34.74</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21099</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其他卫生健康支出</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2109901</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其他卫生健康支出</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221</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住房保障支出</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22102</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住房改革支出</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72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2210201</w:t>
            </w:r>
          </w:p>
        </w:tc>
        <w:tc>
          <w:tcPr>
            <w:tcW w:w="315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18"/>
                <w:szCs w:val="18"/>
              </w:rPr>
            </w:pPr>
            <w:r>
              <w:rPr>
                <w:rFonts w:hint="eastAsia" w:ascii="宋体" w:hAnsi="宋体" w:eastAsia="宋体" w:cs="宋体"/>
                <w:color w:val="000000"/>
                <w:sz w:val="18"/>
                <w:szCs w:val="18"/>
              </w:rPr>
              <w:t>住房公积金</w:t>
            </w:r>
          </w:p>
        </w:tc>
        <w:tc>
          <w:tcPr>
            <w:tcW w:w="7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93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85" w:hRule="atLeast"/>
          <w:jc w:val="center"/>
        </w:trPr>
        <w:tc>
          <w:tcPr>
            <w:tcW w:w="9933" w:type="dxa"/>
            <w:gridSpan w:val="15"/>
            <w:tcBorders>
              <w:top w:val="nil"/>
              <w:left w:val="nil"/>
              <w:bottom w:val="nil"/>
              <w:right w:val="nil"/>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注：本表反映部门本年度取得的各项收入情况。</w:t>
            </w:r>
          </w:p>
        </w:tc>
      </w:tr>
    </w:tbl>
    <w:p/>
    <w:p/>
    <w:tbl>
      <w:tblPr>
        <w:tblStyle w:val="7"/>
        <w:tblW w:w="9490" w:type="dxa"/>
        <w:jc w:val="center"/>
        <w:tblLayout w:type="fixed"/>
        <w:tblCellMar>
          <w:top w:w="0" w:type="dxa"/>
          <w:left w:w="0" w:type="dxa"/>
          <w:bottom w:w="0" w:type="dxa"/>
          <w:right w:w="0" w:type="dxa"/>
        </w:tblCellMar>
      </w:tblPr>
      <w:tblGrid>
        <w:gridCol w:w="751"/>
        <w:gridCol w:w="53"/>
        <w:gridCol w:w="240"/>
        <w:gridCol w:w="3176"/>
        <w:gridCol w:w="975"/>
        <w:gridCol w:w="855"/>
        <w:gridCol w:w="885"/>
        <w:gridCol w:w="885"/>
        <w:gridCol w:w="915"/>
        <w:gridCol w:w="755"/>
      </w:tblGrid>
      <w:tr>
        <w:tblPrEx>
          <w:tblCellMar>
            <w:top w:w="0" w:type="dxa"/>
            <w:left w:w="0" w:type="dxa"/>
            <w:bottom w:w="0" w:type="dxa"/>
            <w:right w:w="0" w:type="dxa"/>
          </w:tblCellMar>
        </w:tblPrEx>
        <w:trPr>
          <w:trHeight w:val="612" w:hRule="atLeast"/>
          <w:jc w:val="center"/>
        </w:trPr>
        <w:tc>
          <w:tcPr>
            <w:tcW w:w="9490" w:type="dxa"/>
            <w:gridSpan w:val="10"/>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支出决算表</w:t>
            </w:r>
          </w:p>
        </w:tc>
      </w:tr>
      <w:tr>
        <w:tblPrEx>
          <w:tblCellMar>
            <w:top w:w="0" w:type="dxa"/>
            <w:left w:w="0" w:type="dxa"/>
            <w:bottom w:w="0" w:type="dxa"/>
            <w:right w:w="0" w:type="dxa"/>
          </w:tblCellMar>
        </w:tblPrEx>
        <w:trPr>
          <w:trHeight w:val="313" w:hRule="atLeast"/>
          <w:jc w:val="center"/>
        </w:trPr>
        <w:tc>
          <w:tcPr>
            <w:tcW w:w="75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53"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4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317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97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85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88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88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91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755" w:type="dxa"/>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03</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313" w:hRule="atLeast"/>
          <w:jc w:val="center"/>
        </w:trPr>
        <w:tc>
          <w:tcPr>
            <w:tcW w:w="6050" w:type="dxa"/>
            <w:gridSpan w:val="6"/>
            <w:tcBorders>
              <w:top w:val="nil"/>
              <w:left w:val="nil"/>
              <w:bottom w:val="nil"/>
              <w:right w:val="nil"/>
            </w:tcBorders>
            <w:noWrap/>
            <w:tcMar>
              <w:top w:w="15" w:type="dxa"/>
              <w:left w:w="15" w:type="dxa"/>
              <w:right w:w="15" w:type="dxa"/>
            </w:tcMar>
            <w:vAlign w:val="bottom"/>
          </w:tcPr>
          <w:p>
            <w:pPr>
              <w:rPr>
                <w:rFonts w:ascii="Arial" w:hAnsi="Arial" w:eastAsia="宋体" w:cs="Arial"/>
                <w:color w:val="000000"/>
                <w:sz w:val="20"/>
                <w:szCs w:val="20"/>
              </w:rPr>
            </w:pPr>
            <w:r>
              <w:rPr>
                <w:rFonts w:hint="eastAsia" w:ascii="宋体" w:hAnsi="宋体" w:eastAsia="宋体" w:cs="宋体"/>
                <w:color w:val="000000"/>
                <w:kern w:val="0"/>
                <w:sz w:val="20"/>
                <w:szCs w:val="20"/>
              </w:rPr>
              <w:t>部门：中共阜平县委老干部局</w:t>
            </w:r>
          </w:p>
        </w:tc>
        <w:tc>
          <w:tcPr>
            <w:tcW w:w="88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88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670" w:type="dxa"/>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323" w:hRule="atLeast"/>
          <w:jc w:val="center"/>
        </w:trPr>
        <w:tc>
          <w:tcPr>
            <w:tcW w:w="422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97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本年支出合计</w:t>
            </w:r>
          </w:p>
        </w:tc>
        <w:tc>
          <w:tcPr>
            <w:tcW w:w="85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88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88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上缴上级支出</w:t>
            </w:r>
          </w:p>
        </w:tc>
        <w:tc>
          <w:tcPr>
            <w:tcW w:w="91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经营支出</w:t>
            </w:r>
          </w:p>
        </w:tc>
        <w:tc>
          <w:tcPr>
            <w:tcW w:w="75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对附属单位补助支出</w:t>
            </w:r>
          </w:p>
        </w:tc>
      </w:tr>
      <w:tr>
        <w:tblPrEx>
          <w:tblCellMar>
            <w:top w:w="0" w:type="dxa"/>
            <w:left w:w="0" w:type="dxa"/>
            <w:bottom w:w="0" w:type="dxa"/>
            <w:right w:w="0" w:type="dxa"/>
          </w:tblCellMar>
        </w:tblPrEx>
        <w:trPr>
          <w:trHeight w:val="319" w:hRule="atLeast"/>
          <w:jc w:val="center"/>
        </w:trPr>
        <w:tc>
          <w:tcPr>
            <w:tcW w:w="1044"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3176"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97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5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8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8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1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5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9" w:hRule="atLeast"/>
          <w:jc w:val="center"/>
        </w:trPr>
        <w:tc>
          <w:tcPr>
            <w:tcW w:w="1044"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3176"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97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5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8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8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1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5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9" w:hRule="atLeast"/>
          <w:jc w:val="center"/>
        </w:trPr>
        <w:tc>
          <w:tcPr>
            <w:tcW w:w="1044"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3176"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97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5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8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8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91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5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23" w:hRule="atLeast"/>
          <w:jc w:val="center"/>
        </w:trPr>
        <w:tc>
          <w:tcPr>
            <w:tcW w:w="4220"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97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85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88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88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91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75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r>
      <w:tr>
        <w:tblPrEx>
          <w:tblCellMar>
            <w:top w:w="0" w:type="dxa"/>
            <w:left w:w="0" w:type="dxa"/>
            <w:bottom w:w="0" w:type="dxa"/>
            <w:right w:w="0" w:type="dxa"/>
          </w:tblCellMar>
        </w:tblPrEx>
        <w:trPr>
          <w:trHeight w:val="323" w:hRule="atLeast"/>
          <w:jc w:val="center"/>
        </w:trPr>
        <w:tc>
          <w:tcPr>
            <w:tcW w:w="4220"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r>
              <w:rPr>
                <w:rFonts w:hint="eastAsia" w:ascii="宋体" w:hAnsi="宋体" w:eastAsia="宋体" w:cs="宋体"/>
                <w:b/>
                <w:color w:val="000000"/>
                <w:sz w:val="18"/>
                <w:szCs w:val="18"/>
              </w:rPr>
              <w:t>852.58</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r>
              <w:rPr>
                <w:rFonts w:hint="eastAsia" w:ascii="宋体" w:hAnsi="宋体" w:eastAsia="宋体" w:cs="宋体"/>
                <w:b/>
                <w:color w:val="000000"/>
                <w:sz w:val="18"/>
                <w:szCs w:val="18"/>
              </w:rPr>
              <w:t>616.08</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r>
              <w:rPr>
                <w:rFonts w:hint="eastAsia" w:ascii="宋体" w:hAnsi="宋体" w:eastAsia="宋体" w:cs="宋体"/>
                <w:b/>
                <w:color w:val="000000"/>
                <w:sz w:val="18"/>
                <w:szCs w:val="18"/>
              </w:rPr>
              <w:t>236.50</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p>
        </w:tc>
      </w:tr>
      <w:tr>
        <w:tblPrEx>
          <w:tblCellMar>
            <w:top w:w="0" w:type="dxa"/>
            <w:left w:w="0" w:type="dxa"/>
            <w:bottom w:w="0" w:type="dxa"/>
            <w:right w:w="0" w:type="dxa"/>
          </w:tblCellMar>
        </w:tblPrEx>
        <w:trPr>
          <w:trHeight w:val="31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201</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一般公共服务支出</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1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20101</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人大事务</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2010102</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一般行政管理事务</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社会保障和就业支出</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604.65</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65.16</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行政事业单位离退休</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604.65</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65.16</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2080502</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事业单位离退休</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77.88</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77.88</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2080503</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离退休人员管理机构</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316.38</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251.22</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65.16</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238"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2080504</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未归口管理的行政单位离退休</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263.83</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263.83</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2080505</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机关事业单位基本养老保险金缴费支出</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117.22</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117.22</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卫生健康支出</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170.75</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4.41</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166.34</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21011</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行政事业单位医疗</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163.65</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4.41</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159.24</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2101101</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行政单位医疗</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128.91</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4.41</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124.50</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2101102</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事业单位医疗</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34.74</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34.74</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21099</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其他卫生健康支出</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2109901</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其他卫生健康支出</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221</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住房保障支出</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22102</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住房改革支出</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2210201</w:t>
            </w: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住房公积金</w:t>
            </w: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1044"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3176"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9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88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91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323" w:hRule="atLeast"/>
          <w:jc w:val="center"/>
        </w:trPr>
        <w:tc>
          <w:tcPr>
            <w:tcW w:w="9490" w:type="dxa"/>
            <w:gridSpan w:val="10"/>
            <w:tcBorders>
              <w:top w:val="nil"/>
              <w:left w:val="nil"/>
              <w:bottom w:val="nil"/>
              <w:right w:val="nil"/>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注：本表反映部门本年度各项支出情况。</w:t>
            </w:r>
          </w:p>
        </w:tc>
      </w:tr>
    </w:tbl>
    <w:p/>
    <w:p/>
    <w:p/>
    <w:p/>
    <w:p/>
    <w:tbl>
      <w:tblPr>
        <w:tblStyle w:val="7"/>
        <w:tblW w:w="9680" w:type="dxa"/>
        <w:jc w:val="center"/>
        <w:tblLayout w:type="fixed"/>
        <w:tblCellMar>
          <w:top w:w="0" w:type="dxa"/>
          <w:left w:w="0" w:type="dxa"/>
          <w:bottom w:w="0" w:type="dxa"/>
          <w:right w:w="0" w:type="dxa"/>
        </w:tblCellMar>
      </w:tblPr>
      <w:tblGrid>
        <w:gridCol w:w="2922"/>
        <w:gridCol w:w="425"/>
        <w:gridCol w:w="662"/>
        <w:gridCol w:w="2946"/>
        <w:gridCol w:w="507"/>
        <w:gridCol w:w="763"/>
        <w:gridCol w:w="705"/>
        <w:gridCol w:w="750"/>
      </w:tblGrid>
      <w:tr>
        <w:tblPrEx>
          <w:tblCellMar>
            <w:top w:w="0" w:type="dxa"/>
            <w:left w:w="0" w:type="dxa"/>
            <w:bottom w:w="0" w:type="dxa"/>
            <w:right w:w="0" w:type="dxa"/>
          </w:tblCellMar>
        </w:tblPrEx>
        <w:trPr>
          <w:trHeight w:val="555" w:hRule="atLeast"/>
          <w:jc w:val="center"/>
        </w:trPr>
        <w:tc>
          <w:tcPr>
            <w:tcW w:w="9680" w:type="dxa"/>
            <w:gridSpan w:val="8"/>
            <w:tcBorders>
              <w:top w:val="nil"/>
              <w:left w:val="nil"/>
              <w:bottom w:val="nil"/>
              <w:right w:val="nil"/>
            </w:tcBorders>
            <w:noWrap/>
            <w:tcMar>
              <w:top w:w="15" w:type="dxa"/>
              <w:left w:w="15" w:type="dxa"/>
              <w:right w:w="15" w:type="dxa"/>
            </w:tcMar>
            <w:vAlign w:val="bottom"/>
          </w:tcPr>
          <w:p>
            <w:pPr>
              <w:jc w:val="center"/>
              <w:rPr>
                <w:rFonts w:ascii="黑体" w:hAnsi="宋体" w:eastAsia="黑体" w:cs="黑体"/>
                <w:color w:val="000000"/>
                <w:sz w:val="32"/>
                <w:szCs w:val="32"/>
              </w:rPr>
            </w:pPr>
            <w:r>
              <w:rPr>
                <w:rFonts w:hint="eastAsia" w:ascii="黑体" w:hAnsi="宋体" w:eastAsia="黑体" w:cs="黑体"/>
                <w:color w:val="000000"/>
                <w:kern w:val="0"/>
                <w:sz w:val="32"/>
                <w:szCs w:val="32"/>
              </w:rPr>
              <w:t>财政拨款收入支出决算总表</w:t>
            </w:r>
          </w:p>
        </w:tc>
      </w:tr>
      <w:tr>
        <w:tblPrEx>
          <w:tblCellMar>
            <w:top w:w="0" w:type="dxa"/>
            <w:left w:w="0" w:type="dxa"/>
            <w:bottom w:w="0" w:type="dxa"/>
            <w:right w:w="0" w:type="dxa"/>
          </w:tblCellMar>
        </w:tblPrEx>
        <w:trPr>
          <w:trHeight w:val="257" w:hRule="atLeast"/>
          <w:jc w:val="center"/>
        </w:trPr>
        <w:tc>
          <w:tcPr>
            <w:tcW w:w="292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2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6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94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507"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218"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04</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227" w:hRule="atLeast"/>
          <w:jc w:val="center"/>
        </w:trPr>
        <w:tc>
          <w:tcPr>
            <w:tcW w:w="6955" w:type="dxa"/>
            <w:gridSpan w:val="4"/>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r>
              <w:rPr>
                <w:rFonts w:hint="eastAsia" w:ascii="宋体" w:hAnsi="宋体" w:eastAsia="宋体" w:cs="宋体"/>
                <w:color w:val="000000"/>
                <w:kern w:val="0"/>
                <w:sz w:val="20"/>
                <w:szCs w:val="20"/>
              </w:rPr>
              <w:t>部门：中共阜平县委老干部局</w:t>
            </w:r>
          </w:p>
        </w:tc>
        <w:tc>
          <w:tcPr>
            <w:tcW w:w="507"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218"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90" w:hRule="atLeast"/>
          <w:jc w:val="center"/>
        </w:trPr>
        <w:tc>
          <w:tcPr>
            <w:tcW w:w="4009"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w:t>
            </w:r>
            <w:r>
              <w:rPr>
                <w:rFonts w:ascii="宋体" w:hAnsi="宋体" w:eastAsia="宋体" w:cs="宋体"/>
                <w:color w:val="000000"/>
                <w:kern w:val="0"/>
                <w:sz w:val="22"/>
              </w:rPr>
              <w:t xml:space="preserve">     </w:t>
            </w:r>
            <w:r>
              <w:rPr>
                <w:rFonts w:hint="eastAsia" w:ascii="宋体" w:hAnsi="宋体" w:eastAsia="宋体" w:cs="宋体"/>
                <w:color w:val="000000"/>
                <w:kern w:val="0"/>
                <w:sz w:val="22"/>
              </w:rPr>
              <w:t>入</w:t>
            </w:r>
          </w:p>
        </w:tc>
        <w:tc>
          <w:tcPr>
            <w:tcW w:w="5671" w:type="dxa"/>
            <w:gridSpan w:val="5"/>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w:t>
            </w:r>
            <w:r>
              <w:rPr>
                <w:rFonts w:ascii="宋体" w:hAnsi="宋体" w:eastAsia="宋体" w:cs="宋体"/>
                <w:color w:val="000000"/>
                <w:kern w:val="0"/>
                <w:sz w:val="22"/>
              </w:rPr>
              <w:t xml:space="preserve">     </w:t>
            </w:r>
            <w:r>
              <w:rPr>
                <w:rFonts w:hint="eastAsia" w:ascii="宋体" w:hAnsi="宋体" w:eastAsia="宋体" w:cs="宋体"/>
                <w:color w:val="000000"/>
                <w:kern w:val="0"/>
                <w:sz w:val="22"/>
              </w:rPr>
              <w:t>出</w:t>
            </w:r>
          </w:p>
        </w:tc>
      </w:tr>
      <w:tr>
        <w:tblPrEx>
          <w:tblCellMar>
            <w:top w:w="0" w:type="dxa"/>
            <w:left w:w="0" w:type="dxa"/>
            <w:bottom w:w="0" w:type="dxa"/>
            <w:right w:w="0" w:type="dxa"/>
          </w:tblCellMar>
        </w:tblPrEx>
        <w:trPr>
          <w:cantSplit/>
          <w:trHeight w:val="312" w:hRule="exact"/>
          <w:jc w:val="center"/>
        </w:trPr>
        <w:tc>
          <w:tcPr>
            <w:tcW w:w="2922"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425"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66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2946"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507"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763"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705"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一般公共预算财政拨款</w:t>
            </w:r>
          </w:p>
        </w:tc>
        <w:tc>
          <w:tcPr>
            <w:tcW w:w="75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政府性基金预算财政拨款</w:t>
            </w:r>
          </w:p>
        </w:tc>
      </w:tr>
      <w:tr>
        <w:tblPrEx>
          <w:tblCellMar>
            <w:top w:w="0" w:type="dxa"/>
            <w:left w:w="0" w:type="dxa"/>
            <w:bottom w:w="0" w:type="dxa"/>
            <w:right w:w="0" w:type="dxa"/>
          </w:tblCellMar>
        </w:tblPrEx>
        <w:trPr>
          <w:trHeight w:val="651" w:hRule="atLeast"/>
          <w:jc w:val="center"/>
        </w:trPr>
        <w:tc>
          <w:tcPr>
            <w:tcW w:w="2922"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425"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662"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2946"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07"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63"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705"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5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栏次</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一、一般公共预算财政拨款</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852.58</w:t>
            </w: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一、一般公共服务支出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30</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二、政府性基金预算财政拨款</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ind w:firstLine="1080" w:firstLineChars="600"/>
              <w:rPr>
                <w:rFonts w:ascii="宋体" w:hAnsi="宋体" w:eastAsia="宋体" w:cs="宋体"/>
                <w:color w:val="000000"/>
                <w:sz w:val="18"/>
                <w:szCs w:val="18"/>
              </w:rPr>
            </w:pPr>
            <w:r>
              <w:rPr>
                <w:rFonts w:hint="eastAsia" w:ascii="宋体" w:hAnsi="宋体" w:eastAsia="宋体" w:cs="宋体"/>
                <w:color w:val="000000"/>
                <w:sz w:val="18"/>
                <w:szCs w:val="18"/>
              </w:rPr>
              <w:t>二、外交支出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31</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三、国防支出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32</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四、公共安全支出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33</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五、教育支出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34</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六、科学技术支出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35</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七、文化旅游体育与传媒支出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36</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8</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八、社会保障和就业支出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37</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9</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九、卫生健康支出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38</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170.75</w:t>
            </w: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170.75</w:t>
            </w: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10</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十、节能环保支出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39</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11</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十一、城乡社区支出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40</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12</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十二、农林水支出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41</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13</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十三、交通运输支出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42</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14</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十四、资源勘探信息等支出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43</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15</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十五、商业服务业等支出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44</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16</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十六、金融支出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45</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17</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十七、援助其他地区支出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46</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18</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十八、自然资源海洋气象等支出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47</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19</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十九、住房保障支出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48</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20</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二十、粮油物资储备支出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49</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21</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二十一、灾害防治及应急管理支出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22</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二十二、其他支出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51</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23</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二十四、债务付息支出</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52</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本年收入合计</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24</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852.58</w:t>
            </w: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本年支出合计</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53</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852.58</w:t>
            </w: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852.58</w:t>
            </w: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年初财政拨款结转和结余</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25</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年末财政拨款结转和结余</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54</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一、一般公共预算财政拨款</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26</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18"/>
                <w:szCs w:val="18"/>
              </w:rPr>
            </w:pP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55</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二、政府性基金预算财政拨款</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27</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56</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cantSplit/>
          <w:trHeight w:val="312" w:hRule="exact"/>
          <w:jc w:val="center"/>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总计</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29</w:t>
            </w:r>
          </w:p>
        </w:tc>
        <w:tc>
          <w:tcPr>
            <w:tcW w:w="662"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852.58</w:t>
            </w:r>
          </w:p>
        </w:tc>
        <w:tc>
          <w:tcPr>
            <w:tcW w:w="294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总计</w:t>
            </w:r>
          </w:p>
        </w:tc>
        <w:tc>
          <w:tcPr>
            <w:tcW w:w="507"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58</w:t>
            </w: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852.58</w:t>
            </w:r>
          </w:p>
        </w:tc>
        <w:tc>
          <w:tcPr>
            <w:tcW w:w="70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852.58</w:t>
            </w:r>
          </w:p>
        </w:tc>
        <w:tc>
          <w:tcPr>
            <w:tcW w:w="750"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trHeight w:val="90" w:hRule="atLeast"/>
          <w:jc w:val="center"/>
        </w:trPr>
        <w:tc>
          <w:tcPr>
            <w:tcW w:w="9680" w:type="dxa"/>
            <w:gridSpan w:val="8"/>
            <w:tcBorders>
              <w:top w:val="nil"/>
              <w:left w:val="nil"/>
              <w:bottom w:val="nil"/>
              <w:right w:val="nil"/>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注：本表反映部门本年度一般公共预算财政拨款和政府性基金预算财政拨款的总收支和年末结转结余情况。</w:t>
            </w:r>
          </w:p>
        </w:tc>
      </w:tr>
    </w:tbl>
    <w:p/>
    <w:p/>
    <w:tbl>
      <w:tblPr>
        <w:tblStyle w:val="7"/>
        <w:tblW w:w="9897" w:type="dxa"/>
        <w:jc w:val="center"/>
        <w:tblLayout w:type="fixed"/>
        <w:tblCellMar>
          <w:top w:w="0" w:type="dxa"/>
          <w:left w:w="0" w:type="dxa"/>
          <w:bottom w:w="0" w:type="dxa"/>
          <w:right w:w="0" w:type="dxa"/>
        </w:tblCellMar>
      </w:tblPr>
      <w:tblGrid>
        <w:gridCol w:w="544"/>
        <w:gridCol w:w="240"/>
        <w:gridCol w:w="221"/>
        <w:gridCol w:w="73"/>
        <w:gridCol w:w="3675"/>
        <w:gridCol w:w="681"/>
        <w:gridCol w:w="1074"/>
        <w:gridCol w:w="414"/>
        <w:gridCol w:w="1161"/>
        <w:gridCol w:w="1755"/>
        <w:gridCol w:w="59"/>
      </w:tblGrid>
      <w:tr>
        <w:tblPrEx>
          <w:tblCellMar>
            <w:top w:w="0" w:type="dxa"/>
            <w:left w:w="0" w:type="dxa"/>
            <w:bottom w:w="0" w:type="dxa"/>
            <w:right w:w="0" w:type="dxa"/>
          </w:tblCellMar>
        </w:tblPrEx>
        <w:trPr>
          <w:gridAfter w:val="1"/>
          <w:wAfter w:w="59" w:type="dxa"/>
          <w:trHeight w:val="600" w:hRule="atLeast"/>
          <w:jc w:val="center"/>
        </w:trPr>
        <w:tc>
          <w:tcPr>
            <w:tcW w:w="9838" w:type="dxa"/>
            <w:gridSpan w:val="10"/>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一般公共预算财政拨款支出决算表</w:t>
            </w:r>
          </w:p>
        </w:tc>
      </w:tr>
      <w:tr>
        <w:tblPrEx>
          <w:tblCellMar>
            <w:top w:w="0" w:type="dxa"/>
            <w:left w:w="0" w:type="dxa"/>
            <w:bottom w:w="0" w:type="dxa"/>
            <w:right w:w="0" w:type="dxa"/>
          </w:tblCellMar>
        </w:tblPrEx>
        <w:trPr>
          <w:trHeight w:val="255" w:hRule="atLeast"/>
          <w:jc w:val="center"/>
        </w:trPr>
        <w:tc>
          <w:tcPr>
            <w:tcW w:w="54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4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2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429" w:type="dxa"/>
            <w:gridSpan w:val="3"/>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488" w:type="dxa"/>
            <w:gridSpan w:val="2"/>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975"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05</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255" w:hRule="atLeast"/>
          <w:jc w:val="center"/>
        </w:trPr>
        <w:tc>
          <w:tcPr>
            <w:tcW w:w="5434" w:type="dxa"/>
            <w:gridSpan w:val="6"/>
            <w:tcBorders>
              <w:top w:val="nil"/>
              <w:left w:val="nil"/>
              <w:bottom w:val="nil"/>
              <w:right w:val="nil"/>
            </w:tcBorders>
            <w:noWrap/>
            <w:tcMar>
              <w:top w:w="15" w:type="dxa"/>
              <w:left w:w="15" w:type="dxa"/>
              <w:right w:w="15" w:type="dxa"/>
            </w:tcMar>
            <w:vAlign w:val="bottom"/>
          </w:tcPr>
          <w:p>
            <w:pPr>
              <w:widowControl/>
              <w:jc w:val="left"/>
              <w:textAlignment w:val="bottom"/>
              <w:rPr>
                <w:rFonts w:ascii="Arial" w:hAnsi="Arial" w:cs="Arial"/>
                <w:color w:val="000000"/>
                <w:sz w:val="20"/>
                <w:szCs w:val="20"/>
              </w:rPr>
            </w:pPr>
            <w:r>
              <w:rPr>
                <w:rFonts w:hint="eastAsia" w:ascii="宋体" w:hAnsi="宋体" w:eastAsia="宋体" w:cs="宋体"/>
                <w:color w:val="000000"/>
                <w:kern w:val="0"/>
                <w:sz w:val="20"/>
                <w:szCs w:val="20"/>
              </w:rPr>
              <w:t>部门：中共阜平县委老干部局</w:t>
            </w:r>
          </w:p>
        </w:tc>
        <w:tc>
          <w:tcPr>
            <w:tcW w:w="1488" w:type="dxa"/>
            <w:gridSpan w:val="2"/>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975"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gridAfter w:val="1"/>
          <w:wAfter w:w="59" w:type="dxa"/>
          <w:trHeight w:val="308" w:hRule="atLeast"/>
          <w:jc w:val="center"/>
        </w:trPr>
        <w:tc>
          <w:tcPr>
            <w:tcW w:w="4753"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5085" w:type="dxa"/>
            <w:gridSpan w:val="5"/>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tblPrEx>
          <w:tblCellMar>
            <w:top w:w="0" w:type="dxa"/>
            <w:left w:w="0" w:type="dxa"/>
            <w:bottom w:w="0" w:type="dxa"/>
            <w:right w:w="0" w:type="dxa"/>
          </w:tblCellMar>
        </w:tblPrEx>
        <w:trPr>
          <w:gridAfter w:val="1"/>
          <w:wAfter w:w="59" w:type="dxa"/>
          <w:trHeight w:val="312" w:hRule="atLeast"/>
          <w:jc w:val="center"/>
        </w:trPr>
        <w:tc>
          <w:tcPr>
            <w:tcW w:w="1078" w:type="dxa"/>
            <w:gridSpan w:val="4"/>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3675"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755" w:type="dxa"/>
            <w:gridSpan w:val="2"/>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75" w:type="dxa"/>
            <w:gridSpan w:val="2"/>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755"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tblPrEx>
          <w:tblCellMar>
            <w:top w:w="0" w:type="dxa"/>
            <w:left w:w="0" w:type="dxa"/>
            <w:bottom w:w="0" w:type="dxa"/>
            <w:right w:w="0" w:type="dxa"/>
          </w:tblCellMar>
        </w:tblPrEx>
        <w:trPr>
          <w:gridAfter w:val="1"/>
          <w:wAfter w:w="59" w:type="dxa"/>
          <w:trHeight w:val="312" w:hRule="atLeast"/>
          <w:jc w:val="center"/>
        </w:trPr>
        <w:tc>
          <w:tcPr>
            <w:tcW w:w="1078" w:type="dxa"/>
            <w:gridSpan w:val="4"/>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3675"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755"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575"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755"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gridAfter w:val="1"/>
          <w:wAfter w:w="59" w:type="dxa"/>
          <w:trHeight w:val="312" w:hRule="atLeast"/>
          <w:jc w:val="center"/>
        </w:trPr>
        <w:tc>
          <w:tcPr>
            <w:tcW w:w="1078" w:type="dxa"/>
            <w:gridSpan w:val="4"/>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3675"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755"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575"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755"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gridAfter w:val="1"/>
          <w:wAfter w:w="59" w:type="dxa"/>
          <w:trHeight w:val="308" w:hRule="atLeast"/>
          <w:jc w:val="center"/>
        </w:trPr>
        <w:tc>
          <w:tcPr>
            <w:tcW w:w="4753"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r>
      <w:tr>
        <w:tblPrEx>
          <w:tblCellMar>
            <w:top w:w="0" w:type="dxa"/>
            <w:left w:w="0" w:type="dxa"/>
            <w:bottom w:w="0" w:type="dxa"/>
            <w:right w:w="0" w:type="dxa"/>
          </w:tblCellMar>
        </w:tblPrEx>
        <w:trPr>
          <w:gridAfter w:val="1"/>
          <w:wAfter w:w="59" w:type="dxa"/>
          <w:trHeight w:val="308" w:hRule="atLeast"/>
          <w:jc w:val="center"/>
        </w:trPr>
        <w:tc>
          <w:tcPr>
            <w:tcW w:w="4753"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r>
              <w:rPr>
                <w:rFonts w:hint="eastAsia" w:ascii="宋体" w:hAnsi="宋体" w:eastAsia="宋体" w:cs="宋体"/>
                <w:b/>
                <w:color w:val="000000"/>
                <w:sz w:val="18"/>
                <w:szCs w:val="18"/>
              </w:rPr>
              <w:t>852.58</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r>
              <w:rPr>
                <w:rFonts w:hint="eastAsia" w:ascii="宋体" w:hAnsi="宋体" w:eastAsia="宋体" w:cs="宋体"/>
                <w:b/>
                <w:color w:val="000000"/>
                <w:sz w:val="18"/>
                <w:szCs w:val="18"/>
              </w:rPr>
              <w:t>616.08</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18"/>
                <w:szCs w:val="18"/>
              </w:rPr>
            </w:pPr>
            <w:r>
              <w:rPr>
                <w:rFonts w:hint="eastAsia" w:ascii="宋体" w:hAnsi="宋体" w:eastAsia="宋体" w:cs="宋体"/>
                <w:b/>
                <w:color w:val="000000"/>
                <w:sz w:val="18"/>
                <w:szCs w:val="18"/>
              </w:rPr>
              <w:t>236.5</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201</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一般公共服务支出</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20101</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人大事务</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2010102</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一般行政管理事务</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5.00</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社会保障和就业支出</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604.65</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65.16</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行政事业单位离退休</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669.81</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604.65</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65.16</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2080502</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事业单位离退休</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77.88</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77.88</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2080503</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离退休人员管理机构</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316.38</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251.22</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65.16</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2080504</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未归口管理的行政单位离退休</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263.83</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263.83</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2080505</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机关事业单位基本养老保险金缴费支出</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117.22</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117.22</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卫生健康支出</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170.75</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4.41</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166.34</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21011</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行政事业单位医疗</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163.65</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4.41</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159.24</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2101101</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行政单位医疗</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128.91</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4.41</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124.50</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2101102</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事业单位医疗</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34.74</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34.74</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21099</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其他卫生健康支出</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tbl>
            <w:tblPr>
              <w:tblStyle w:val="7"/>
              <w:tblW w:w="9897" w:type="dxa"/>
              <w:jc w:val="center"/>
              <w:tblLayout w:type="fixed"/>
              <w:tblCellMar>
                <w:top w:w="0" w:type="dxa"/>
                <w:left w:w="0" w:type="dxa"/>
                <w:bottom w:w="0" w:type="dxa"/>
                <w:right w:w="0" w:type="dxa"/>
              </w:tblCellMar>
            </w:tblPr>
            <w:tblGrid>
              <w:gridCol w:w="9897"/>
            </w:tblGrid>
            <w:tr>
              <w:tblPrEx>
                <w:tblCellMar>
                  <w:top w:w="0" w:type="dxa"/>
                  <w:left w:w="0" w:type="dxa"/>
                  <w:bottom w:w="0" w:type="dxa"/>
                  <w:right w:w="0" w:type="dxa"/>
                </w:tblCellMar>
              </w:tblPrEx>
              <w:trPr>
                <w:trHeight w:val="308" w:hRule="atLeast"/>
                <w:jc w:val="center"/>
              </w:trPr>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r>
          </w:tbl>
          <w:p>
            <w:pPr>
              <w:jc w:val="right"/>
              <w:rPr>
                <w:rFonts w:ascii="宋体" w:hAnsi="宋体" w:eastAsia="宋体" w:cs="宋体"/>
                <w:color w:val="000000"/>
                <w:sz w:val="18"/>
                <w:szCs w:val="18"/>
              </w:rPr>
            </w:pP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2109901</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其他卫生健康支出</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7.10</w:t>
            </w: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221</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住房保障支出</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22102</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住房改革支出</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r>
        <w:tblPrEx>
          <w:tblCellMar>
            <w:top w:w="0" w:type="dxa"/>
            <w:left w:w="0" w:type="dxa"/>
            <w:bottom w:w="0" w:type="dxa"/>
            <w:right w:w="0" w:type="dxa"/>
          </w:tblCellMar>
        </w:tblPrEx>
        <w:trPr>
          <w:gridAfter w:val="1"/>
          <w:wAfter w:w="59" w:type="dxa"/>
          <w:trHeight w:val="308" w:hRule="atLeast"/>
          <w:jc w:val="center"/>
        </w:trPr>
        <w:tc>
          <w:tcPr>
            <w:tcW w:w="107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2210201</w:t>
            </w:r>
          </w:p>
        </w:tc>
        <w:tc>
          <w:tcPr>
            <w:tcW w:w="3675"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r>
              <w:rPr>
                <w:rFonts w:hint="eastAsia" w:ascii="宋体" w:hAnsi="宋体" w:eastAsia="宋体" w:cs="宋体"/>
                <w:color w:val="000000"/>
                <w:sz w:val="18"/>
                <w:szCs w:val="18"/>
              </w:rPr>
              <w:t>住房公积金</w:t>
            </w:r>
          </w:p>
        </w:tc>
        <w:tc>
          <w:tcPr>
            <w:tcW w:w="175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157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r>
              <w:rPr>
                <w:rFonts w:hint="eastAsia" w:ascii="宋体" w:hAnsi="宋体" w:eastAsia="宋体" w:cs="宋体"/>
                <w:color w:val="000000"/>
                <w:sz w:val="18"/>
                <w:szCs w:val="18"/>
              </w:rPr>
              <w:t>7.02</w:t>
            </w:r>
          </w:p>
        </w:tc>
        <w:tc>
          <w:tcPr>
            <w:tcW w:w="175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18"/>
                <w:szCs w:val="18"/>
              </w:rPr>
            </w:pPr>
          </w:p>
        </w:tc>
      </w:tr>
    </w:tbl>
    <w:p/>
    <w:p/>
    <w:p/>
    <w:p/>
    <w:p/>
    <w:p/>
    <w:p/>
    <w:tbl>
      <w:tblPr>
        <w:tblStyle w:val="7"/>
        <w:tblW w:w="10000" w:type="dxa"/>
        <w:jc w:val="center"/>
        <w:tblLayout w:type="fixed"/>
        <w:tblCellMar>
          <w:top w:w="0" w:type="dxa"/>
          <w:left w:w="0" w:type="dxa"/>
          <w:bottom w:w="0" w:type="dxa"/>
          <w:right w:w="0" w:type="dxa"/>
        </w:tblCellMar>
      </w:tblPr>
      <w:tblGrid>
        <w:gridCol w:w="740"/>
        <w:gridCol w:w="2040"/>
        <w:gridCol w:w="870"/>
        <w:gridCol w:w="616"/>
        <w:gridCol w:w="1599"/>
        <w:gridCol w:w="768"/>
        <w:gridCol w:w="744"/>
        <w:gridCol w:w="1891"/>
        <w:gridCol w:w="732"/>
      </w:tblGrid>
      <w:tr>
        <w:tblPrEx>
          <w:tblCellMar>
            <w:top w:w="0" w:type="dxa"/>
            <w:left w:w="0" w:type="dxa"/>
            <w:bottom w:w="0" w:type="dxa"/>
            <w:right w:w="0" w:type="dxa"/>
          </w:tblCellMar>
        </w:tblPrEx>
        <w:trPr>
          <w:trHeight w:val="557" w:hRule="atLeast"/>
          <w:jc w:val="center"/>
        </w:trPr>
        <w:tc>
          <w:tcPr>
            <w:tcW w:w="10000" w:type="dxa"/>
            <w:gridSpan w:val="9"/>
            <w:tcBorders>
              <w:top w:val="nil"/>
              <w:left w:val="nil"/>
              <w:bottom w:val="nil"/>
              <w:right w:val="nil"/>
            </w:tcBorders>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一般公共预算财政拨款基本支出决算表</w:t>
            </w:r>
          </w:p>
        </w:tc>
      </w:tr>
      <w:tr>
        <w:tblPrEx>
          <w:tblCellMar>
            <w:top w:w="0" w:type="dxa"/>
            <w:left w:w="0" w:type="dxa"/>
            <w:bottom w:w="0" w:type="dxa"/>
            <w:right w:w="0" w:type="dxa"/>
          </w:tblCellMar>
        </w:tblPrEx>
        <w:trPr>
          <w:trHeight w:val="339" w:hRule="atLeast"/>
          <w:jc w:val="center"/>
        </w:trPr>
        <w:tc>
          <w:tcPr>
            <w:tcW w:w="74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040" w:type="dxa"/>
            <w:tcBorders>
              <w:top w:val="nil"/>
              <w:left w:val="nil"/>
              <w:bottom w:val="nil"/>
              <w:right w:val="nil"/>
            </w:tcBorders>
            <w:tcMar>
              <w:top w:w="15" w:type="dxa"/>
              <w:left w:w="15" w:type="dxa"/>
              <w:right w:w="15" w:type="dxa"/>
            </w:tcMar>
            <w:vAlign w:val="bottom"/>
          </w:tcPr>
          <w:p>
            <w:pPr>
              <w:rPr>
                <w:rFonts w:ascii="Arial" w:hAnsi="Arial" w:cs="Arial"/>
                <w:color w:val="000000"/>
                <w:sz w:val="20"/>
                <w:szCs w:val="20"/>
              </w:rPr>
            </w:pPr>
          </w:p>
        </w:tc>
        <w:tc>
          <w:tcPr>
            <w:tcW w:w="87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1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599" w:type="dxa"/>
            <w:tcBorders>
              <w:top w:val="nil"/>
              <w:left w:val="nil"/>
              <w:bottom w:val="nil"/>
              <w:right w:val="nil"/>
            </w:tcBorders>
            <w:tcMar>
              <w:top w:w="15" w:type="dxa"/>
              <w:left w:w="15" w:type="dxa"/>
              <w:right w:w="15" w:type="dxa"/>
            </w:tcMar>
            <w:vAlign w:val="bottom"/>
          </w:tcPr>
          <w:p>
            <w:pPr>
              <w:rPr>
                <w:rFonts w:ascii="Arial" w:hAnsi="Arial" w:cs="Arial"/>
                <w:color w:val="000000"/>
                <w:sz w:val="20"/>
                <w:szCs w:val="20"/>
              </w:rPr>
            </w:pPr>
          </w:p>
        </w:tc>
        <w:tc>
          <w:tcPr>
            <w:tcW w:w="76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74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623" w:type="dxa"/>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公开</w:t>
            </w:r>
            <w:r>
              <w:rPr>
                <w:rFonts w:ascii="宋体" w:hAnsi="宋体" w:eastAsia="宋体" w:cs="宋体"/>
                <w:color w:val="000000"/>
                <w:kern w:val="0"/>
                <w:sz w:val="18"/>
                <w:szCs w:val="18"/>
              </w:rPr>
              <w:t>06</w:t>
            </w:r>
            <w:r>
              <w:rPr>
                <w:rFonts w:hint="eastAsia" w:ascii="宋体" w:hAnsi="宋体" w:eastAsia="宋体" w:cs="宋体"/>
                <w:color w:val="000000"/>
                <w:kern w:val="0"/>
                <w:sz w:val="18"/>
                <w:szCs w:val="18"/>
              </w:rPr>
              <w:t>表</w:t>
            </w:r>
          </w:p>
        </w:tc>
      </w:tr>
      <w:tr>
        <w:tblPrEx>
          <w:tblCellMar>
            <w:top w:w="0" w:type="dxa"/>
            <w:left w:w="0" w:type="dxa"/>
            <w:bottom w:w="0" w:type="dxa"/>
            <w:right w:w="0" w:type="dxa"/>
          </w:tblCellMar>
        </w:tblPrEx>
        <w:trPr>
          <w:trHeight w:val="309" w:hRule="atLeast"/>
          <w:jc w:val="center"/>
        </w:trPr>
        <w:tc>
          <w:tcPr>
            <w:tcW w:w="740" w:type="dxa"/>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部门：</w:t>
            </w:r>
          </w:p>
        </w:tc>
        <w:tc>
          <w:tcPr>
            <w:tcW w:w="3526" w:type="dxa"/>
            <w:gridSpan w:val="3"/>
            <w:tcBorders>
              <w:top w:val="nil"/>
              <w:left w:val="nil"/>
              <w:bottom w:val="nil"/>
              <w:right w:val="nil"/>
            </w:tcBorders>
            <w:tcMar>
              <w:top w:w="15" w:type="dxa"/>
              <w:left w:w="15" w:type="dxa"/>
              <w:right w:w="15" w:type="dxa"/>
            </w:tcMar>
            <w:vAlign w:val="bottom"/>
          </w:tcPr>
          <w:p>
            <w:pPr>
              <w:rPr>
                <w:rFonts w:ascii="Arial" w:hAnsi="Arial" w:cs="Arial"/>
                <w:color w:val="000000"/>
                <w:sz w:val="18"/>
                <w:szCs w:val="18"/>
              </w:rPr>
            </w:pPr>
            <w:r>
              <w:rPr>
                <w:rFonts w:hint="eastAsia" w:ascii="宋体" w:hAnsi="宋体" w:eastAsia="宋体" w:cs="宋体"/>
                <w:color w:val="000000"/>
                <w:kern w:val="0"/>
                <w:sz w:val="20"/>
                <w:szCs w:val="20"/>
              </w:rPr>
              <w:t>中共阜平县委老干部局</w:t>
            </w:r>
          </w:p>
        </w:tc>
        <w:tc>
          <w:tcPr>
            <w:tcW w:w="1599" w:type="dxa"/>
            <w:tcBorders>
              <w:top w:val="nil"/>
              <w:left w:val="nil"/>
              <w:bottom w:val="nil"/>
              <w:right w:val="nil"/>
            </w:tcBorders>
            <w:tcMar>
              <w:top w:w="15" w:type="dxa"/>
              <w:left w:w="15" w:type="dxa"/>
              <w:right w:w="15" w:type="dxa"/>
            </w:tcMar>
            <w:vAlign w:val="bottom"/>
          </w:tcPr>
          <w:p>
            <w:pPr>
              <w:rPr>
                <w:rFonts w:ascii="Arial" w:hAnsi="Arial" w:cs="Arial"/>
                <w:color w:val="000000"/>
                <w:sz w:val="20"/>
                <w:szCs w:val="20"/>
              </w:rPr>
            </w:pPr>
          </w:p>
        </w:tc>
        <w:tc>
          <w:tcPr>
            <w:tcW w:w="76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74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623" w:type="dxa"/>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金额单位：万元</w:t>
            </w:r>
          </w:p>
        </w:tc>
      </w:tr>
      <w:tr>
        <w:tblPrEx>
          <w:tblCellMar>
            <w:top w:w="0" w:type="dxa"/>
            <w:left w:w="0" w:type="dxa"/>
            <w:bottom w:w="0" w:type="dxa"/>
            <w:right w:w="0" w:type="dxa"/>
          </w:tblCellMar>
        </w:tblPrEx>
        <w:trPr>
          <w:trHeight w:val="362" w:hRule="atLeast"/>
          <w:jc w:val="center"/>
        </w:trPr>
        <w:tc>
          <w:tcPr>
            <w:tcW w:w="3650"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人员经费</w:t>
            </w:r>
          </w:p>
        </w:tc>
        <w:tc>
          <w:tcPr>
            <w:tcW w:w="6350" w:type="dxa"/>
            <w:gridSpan w:val="6"/>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公用经费</w:t>
            </w:r>
          </w:p>
        </w:tc>
      </w:tr>
      <w:tr>
        <w:tblPrEx>
          <w:tblCellMar>
            <w:top w:w="0" w:type="dxa"/>
            <w:left w:w="0" w:type="dxa"/>
            <w:bottom w:w="0" w:type="dxa"/>
            <w:right w:w="0" w:type="dxa"/>
          </w:tblCellMar>
        </w:tblPrEx>
        <w:trPr>
          <w:trHeight w:val="362" w:hRule="atLeast"/>
          <w:jc w:val="center"/>
        </w:trPr>
        <w:tc>
          <w:tcPr>
            <w:tcW w:w="740"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204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87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616"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科目编码</w:t>
            </w:r>
          </w:p>
        </w:tc>
        <w:tc>
          <w:tcPr>
            <w:tcW w:w="1599"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768"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744"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1891"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73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tblPrEx>
          <w:tblCellMar>
            <w:top w:w="0" w:type="dxa"/>
            <w:left w:w="0" w:type="dxa"/>
            <w:bottom w:w="0" w:type="dxa"/>
            <w:right w:w="0" w:type="dxa"/>
          </w:tblCellMar>
        </w:tblPrEx>
        <w:trPr>
          <w:trHeight w:val="349" w:hRule="atLeast"/>
          <w:jc w:val="center"/>
        </w:trPr>
        <w:tc>
          <w:tcPr>
            <w:tcW w:w="740"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204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7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616"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599"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68"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44"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891"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32"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工资福利支出</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103.76</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商品和服务支出</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19.52</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307</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债务利息及费用支出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30101</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基本工资</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55.46</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30201</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办公费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0.50</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30701</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国内债务付息</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30102</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津贴补贴</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17.66</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30202</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印刷费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0.60</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30702</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国外债务付息</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30103</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奖金</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4.00</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30203</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咨询费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资本性支出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30106</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伙食补助费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30204</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手续费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31001</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房屋建筑物购建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30107</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绩效工资</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30205</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水费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0.21</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31002</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办公设备购置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0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30108</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机关事业单位基本养老保险缴费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11.73</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30206</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电费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31003</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专用设备购置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30109</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职业年金缴费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30207</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邮电费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4.00</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31005</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基础设施建设</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30110</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职工基本医疗保险缴费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4.41</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30208</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取暖费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3.48</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31006</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大型修缮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30111</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公务员医疗补助缴费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30209</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物业管理费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31007</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信息网络及软件购置更新</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30112</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其他社会保障缴费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0.65</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30211</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差旅费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1.00</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31008</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物资储备</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30113</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住房公积金</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7.02</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30212</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因公出国（境）费用</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土地补偿</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30114</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医疗费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30213</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维修（护）费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0.30</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31010</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安置补助</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30199</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其他工资福利支出</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2.82</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30214</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租赁费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31011</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地上附着物和青苗补偿</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对个人和家庭的补助</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492.81</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30215</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会议费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0.25</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31012</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拆迁补偿</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30301</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离休费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338.45</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30216</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培训费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31013</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公务用车购置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30302</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退休费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3.26</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公务接待费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0.05</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其他交通工具购置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30303</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退职（役）费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30218</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专用材料费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31021</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文物和陈列品购置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30304</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抚恤金</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107.30</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30224</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被装购置费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31022</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无形资产购置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30305</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生活补助</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4.26</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30225</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专用燃料费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31099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其他资本性支出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30306</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救济费</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30226</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劳务费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其他支出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30307</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医疗费补助</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30227</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委托业务费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39906</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赠与</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30308</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助学金</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30228</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工会经费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39907</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国家赔偿费用支出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center"/>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30309</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奖励金</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30229</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福利费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39908</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对民间非营利组织和群众性自治组织补贴</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30310</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个人农业生产补贴</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30231</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公务用车运行维护费</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3.00</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39999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其他支出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30399</w:t>
            </w: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其他对个人和家庭的补助</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39.54</w:t>
            </w: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30239</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其他交通费用</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5.93</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30240</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税金及附加费用</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740"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2040"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61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30299</w:t>
            </w:r>
          </w:p>
        </w:tc>
        <w:tc>
          <w:tcPr>
            <w:tcW w:w="159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16"/>
                <w:szCs w:val="16"/>
              </w:rPr>
            </w:pPr>
            <w:r>
              <w:rPr>
                <w:rFonts w:ascii="宋体" w:hAnsi="宋体" w:eastAsia="宋体" w:cs="宋体"/>
                <w:color w:val="000000"/>
                <w:kern w:val="0"/>
                <w:sz w:val="16"/>
                <w:szCs w:val="16"/>
              </w:rPr>
              <w:t xml:space="preserve">  </w:t>
            </w:r>
            <w:r>
              <w:rPr>
                <w:rFonts w:hint="eastAsia" w:ascii="宋体" w:hAnsi="宋体" w:eastAsia="宋体" w:cs="宋体"/>
                <w:color w:val="000000"/>
                <w:kern w:val="0"/>
                <w:sz w:val="16"/>
                <w:szCs w:val="16"/>
              </w:rPr>
              <w:t>其他商品和服务支出</w:t>
            </w:r>
          </w:p>
        </w:tc>
        <w:tc>
          <w:tcPr>
            <w:tcW w:w="76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0.20</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2" w:hRule="exact"/>
          <w:jc w:val="center"/>
        </w:trPr>
        <w:tc>
          <w:tcPr>
            <w:tcW w:w="278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人员经费合计</w:t>
            </w:r>
          </w:p>
        </w:tc>
        <w:tc>
          <w:tcPr>
            <w:tcW w:w="870"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r>
              <w:rPr>
                <w:rFonts w:hint="eastAsia" w:ascii="宋体" w:hAnsi="宋体" w:eastAsia="宋体" w:cs="宋体"/>
                <w:color w:val="000000"/>
                <w:sz w:val="20"/>
                <w:szCs w:val="20"/>
              </w:rPr>
              <w:t>596.56</w:t>
            </w:r>
          </w:p>
        </w:tc>
        <w:tc>
          <w:tcPr>
            <w:tcW w:w="5618" w:type="dxa"/>
            <w:gridSpan w:val="5"/>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公用经费合计</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r>
              <w:rPr>
                <w:rFonts w:hint="eastAsia" w:ascii="宋体" w:hAnsi="宋体" w:eastAsia="宋体" w:cs="宋体"/>
                <w:color w:val="000000"/>
                <w:sz w:val="20"/>
                <w:szCs w:val="20"/>
              </w:rPr>
              <w:t>19.52</w:t>
            </w:r>
          </w:p>
        </w:tc>
      </w:tr>
    </w:tbl>
    <w:p>
      <w:r>
        <w:br w:type="page"/>
      </w:r>
    </w:p>
    <w:tbl>
      <w:tblPr>
        <w:tblStyle w:val="7"/>
        <w:tblW w:w="9220" w:type="dxa"/>
        <w:jc w:val="center"/>
        <w:tblLayout w:type="autofit"/>
        <w:tblCellMar>
          <w:top w:w="0" w:type="dxa"/>
          <w:left w:w="0" w:type="dxa"/>
          <w:bottom w:w="0" w:type="dxa"/>
          <w:right w:w="0" w:type="dxa"/>
        </w:tblCellMar>
      </w:tblPr>
      <w:tblGrid>
        <w:gridCol w:w="1267"/>
        <w:gridCol w:w="1686"/>
        <w:gridCol w:w="1565"/>
        <w:gridCol w:w="1565"/>
        <w:gridCol w:w="1565"/>
        <w:gridCol w:w="1572"/>
      </w:tblGrid>
      <w:tr>
        <w:tblPrEx>
          <w:tblCellMar>
            <w:top w:w="0" w:type="dxa"/>
            <w:left w:w="0" w:type="dxa"/>
            <w:bottom w:w="0" w:type="dxa"/>
            <w:right w:w="0" w:type="dxa"/>
          </w:tblCellMar>
        </w:tblPrEx>
        <w:trPr>
          <w:trHeight w:val="638" w:hRule="atLeast"/>
          <w:jc w:val="center"/>
        </w:trPr>
        <w:tc>
          <w:tcPr>
            <w:tcW w:w="9220" w:type="dxa"/>
            <w:gridSpan w:val="6"/>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一般公共预算财政拨款“三公”经费支出决算表</w:t>
            </w:r>
          </w:p>
        </w:tc>
      </w:tr>
      <w:tr>
        <w:tblPrEx>
          <w:tblCellMar>
            <w:top w:w="0" w:type="dxa"/>
            <w:left w:w="0" w:type="dxa"/>
            <w:bottom w:w="0" w:type="dxa"/>
            <w:right w:w="0" w:type="dxa"/>
          </w:tblCellMar>
        </w:tblPrEx>
        <w:trPr>
          <w:trHeight w:val="360" w:hRule="atLeast"/>
          <w:jc w:val="center"/>
        </w:trPr>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68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56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07</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360" w:hRule="atLeast"/>
          <w:jc w:val="center"/>
        </w:trPr>
        <w:tc>
          <w:tcPr>
            <w:tcW w:w="4518" w:type="dxa"/>
            <w:gridSpan w:val="3"/>
            <w:tcBorders>
              <w:top w:val="nil"/>
              <w:left w:val="nil"/>
              <w:bottom w:val="nil"/>
              <w:right w:val="nil"/>
            </w:tcBorders>
            <w:noWrap/>
            <w:tcMar>
              <w:top w:w="15" w:type="dxa"/>
              <w:left w:w="15" w:type="dxa"/>
              <w:right w:w="15" w:type="dxa"/>
            </w:tcMar>
            <w:vAlign w:val="bottom"/>
          </w:tcPr>
          <w:p>
            <w:pPr>
              <w:rPr>
                <w:rFonts w:ascii="Arial" w:hAnsi="Arial" w:eastAsia="宋体" w:cs="Arial"/>
                <w:color w:val="000000"/>
                <w:sz w:val="20"/>
                <w:szCs w:val="20"/>
              </w:rPr>
            </w:pPr>
            <w:r>
              <w:rPr>
                <w:rFonts w:hint="eastAsia" w:ascii="宋体" w:hAnsi="宋体" w:eastAsia="宋体" w:cs="宋体"/>
                <w:color w:val="000000"/>
                <w:kern w:val="0"/>
                <w:sz w:val="20"/>
                <w:szCs w:val="20"/>
              </w:rPr>
              <w:t>部门：中共阜平县委老干部局</w:t>
            </w: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r>
      <w:tr>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1686"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1572" w:type="dxa"/>
            <w:tcBorders>
              <w:top w:val="nil"/>
              <w:left w:val="nil"/>
              <w:bottom w:val="single" w:color="000000"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r>
      <w:tr>
        <w:tblPrEx>
          <w:tblCellMar>
            <w:top w:w="0" w:type="dxa"/>
            <w:left w:w="0" w:type="dxa"/>
            <w:bottom w:w="0" w:type="dxa"/>
            <w:right w:w="0" w:type="dxa"/>
          </w:tblCellMar>
        </w:tblPrEx>
        <w:trPr>
          <w:trHeight w:val="417" w:hRule="atLeast"/>
          <w:jc w:val="center"/>
        </w:trPr>
        <w:tc>
          <w:tcPr>
            <w:tcW w:w="0" w:type="auto"/>
            <w:tcBorders>
              <w:top w:val="nil"/>
              <w:left w:val="single" w:color="auto" w:sz="4" w:space="0"/>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2"/>
              </w:rPr>
              <w:t>3.05</w:t>
            </w:r>
          </w:p>
        </w:tc>
        <w:tc>
          <w:tcPr>
            <w:tcW w:w="1686"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2"/>
              </w:rPr>
              <w:t>3.00</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2"/>
              </w:rPr>
              <w:t>3.00</w:t>
            </w:r>
          </w:p>
        </w:tc>
        <w:tc>
          <w:tcPr>
            <w:tcW w:w="0" w:type="auto"/>
            <w:tcBorders>
              <w:top w:val="nil"/>
              <w:left w:val="nil"/>
              <w:bottom w:val="single" w:color="000000" w:sz="4" w:space="0"/>
              <w:right w:val="single" w:color="auto"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2"/>
              </w:rPr>
              <w:t>0.05</w:t>
            </w:r>
          </w:p>
        </w:tc>
      </w:tr>
      <w:tr>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7</w:t>
            </w:r>
          </w:p>
        </w:tc>
        <w:tc>
          <w:tcPr>
            <w:tcW w:w="1686"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8</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9</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10</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11</w:t>
            </w:r>
          </w:p>
        </w:tc>
        <w:tc>
          <w:tcPr>
            <w:tcW w:w="1572" w:type="dxa"/>
            <w:tcBorders>
              <w:top w:val="nil"/>
              <w:left w:val="nil"/>
              <w:bottom w:val="single" w:color="000000"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12</w:t>
            </w:r>
          </w:p>
        </w:tc>
      </w:tr>
      <w:tr>
        <w:tblPrEx>
          <w:tblCellMar>
            <w:top w:w="0" w:type="dxa"/>
            <w:left w:w="0" w:type="dxa"/>
            <w:bottom w:w="0" w:type="dxa"/>
            <w:right w:w="0" w:type="dxa"/>
          </w:tblCellMar>
        </w:tblPrEx>
        <w:trPr>
          <w:trHeight w:val="447" w:hRule="atLeast"/>
          <w:jc w:val="center"/>
        </w:trPr>
        <w:tc>
          <w:tcPr>
            <w:tcW w:w="0" w:type="auto"/>
            <w:tcBorders>
              <w:top w:val="nil"/>
              <w:left w:val="single" w:color="auto" w:sz="4" w:space="0"/>
              <w:bottom w:val="single" w:color="auto"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2"/>
              </w:rPr>
              <w:t>3.05</w:t>
            </w:r>
          </w:p>
        </w:tc>
        <w:tc>
          <w:tcPr>
            <w:tcW w:w="1686" w:type="dxa"/>
            <w:tcBorders>
              <w:top w:val="nil"/>
              <w:left w:val="nil"/>
              <w:bottom w:val="single" w:color="auto"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565" w:type="dxa"/>
            <w:tcBorders>
              <w:top w:val="nil"/>
              <w:left w:val="nil"/>
              <w:bottom w:val="single" w:color="auto"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2"/>
              </w:rPr>
              <w:t>3.00</w:t>
            </w:r>
          </w:p>
        </w:tc>
        <w:tc>
          <w:tcPr>
            <w:tcW w:w="0" w:type="auto"/>
            <w:tcBorders>
              <w:top w:val="nil"/>
              <w:left w:val="nil"/>
              <w:bottom w:val="single" w:color="auto"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nil"/>
              <w:left w:val="nil"/>
              <w:bottom w:val="single" w:color="auto"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2"/>
              </w:rPr>
              <w:t>3.00</w:t>
            </w:r>
          </w:p>
        </w:tc>
        <w:tc>
          <w:tcPr>
            <w:tcW w:w="0" w:type="auto"/>
            <w:tcBorders>
              <w:top w:val="nil"/>
              <w:left w:val="nil"/>
              <w:bottom w:val="single" w:color="auto" w:sz="4" w:space="0"/>
              <w:right w:val="single" w:color="auto"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2"/>
              </w:rPr>
              <w:t>0.05</w:t>
            </w:r>
          </w:p>
        </w:tc>
      </w:tr>
    </w:tbl>
    <w:p>
      <w:r>
        <w:rPr>
          <w:rFonts w:hint="eastAsia" w:ascii="宋体" w:hAnsi="宋体" w:eastAsia="宋体" w:cs="宋体"/>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仿宋_GB2312" w:hAnsi="仿宋_GB2312" w:eastAsia="仿宋_GB2312" w:cs="仿宋_GB2312"/>
        </w:rPr>
        <w:tab/>
      </w:r>
      <w:r>
        <w:tab/>
      </w:r>
      <w:r>
        <w:tab/>
      </w:r>
      <w:r>
        <w:tab/>
      </w:r>
      <w:r>
        <w:tab/>
      </w:r>
      <w:r>
        <w:tab/>
      </w:r>
      <w:r>
        <w:tab/>
      </w:r>
      <w:r>
        <w:tab/>
      </w:r>
      <w:r>
        <w:tab/>
      </w:r>
      <w:r>
        <w:tab/>
      </w:r>
      <w:r>
        <w:tab/>
      </w:r>
      <w:r>
        <w:br w:type="page"/>
      </w:r>
    </w:p>
    <w:tbl>
      <w:tblPr>
        <w:tblStyle w:val="7"/>
        <w:tblW w:w="9510" w:type="dxa"/>
        <w:jc w:val="center"/>
        <w:tblLayout w:type="autofit"/>
        <w:tblCellMar>
          <w:top w:w="0" w:type="dxa"/>
          <w:left w:w="0" w:type="dxa"/>
          <w:bottom w:w="0" w:type="dxa"/>
          <w:right w:w="0" w:type="dxa"/>
        </w:tblCellMar>
      </w:tblPr>
      <w:tblGrid>
        <w:gridCol w:w="1031"/>
        <w:gridCol w:w="59"/>
        <w:gridCol w:w="59"/>
        <w:gridCol w:w="1489"/>
        <w:gridCol w:w="1145"/>
        <w:gridCol w:w="1145"/>
        <w:gridCol w:w="1145"/>
        <w:gridCol w:w="1145"/>
        <w:gridCol w:w="1145"/>
        <w:gridCol w:w="1147"/>
      </w:tblGrid>
      <w:tr>
        <w:tblPrEx>
          <w:tblCellMar>
            <w:top w:w="0" w:type="dxa"/>
            <w:left w:w="0" w:type="dxa"/>
            <w:bottom w:w="0" w:type="dxa"/>
            <w:right w:w="0" w:type="dxa"/>
          </w:tblCellMar>
        </w:tblPrEx>
        <w:trPr>
          <w:trHeight w:val="780" w:hRule="atLeast"/>
          <w:jc w:val="center"/>
        </w:trPr>
        <w:tc>
          <w:tcPr>
            <w:tcW w:w="9510" w:type="dxa"/>
            <w:gridSpan w:val="10"/>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政府性基金预算财政拨款收入支出决算表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08</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924" w:type="dxa"/>
            <w:gridSpan w:val="4"/>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r>
              <w:rPr>
                <w:rFonts w:hint="eastAsia" w:ascii="宋体" w:hAnsi="宋体" w:eastAsia="宋体" w:cs="宋体"/>
                <w:color w:val="000000"/>
                <w:kern w:val="0"/>
                <w:sz w:val="20"/>
                <w:szCs w:val="20"/>
              </w:rPr>
              <w:t>中共阜平县委老干部局</w:t>
            </w: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15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年初结转和结余</w:t>
            </w:r>
          </w:p>
        </w:tc>
        <w:tc>
          <w:tcPr>
            <w:tcW w:w="115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w:t>
            </w:r>
          </w:p>
        </w:tc>
        <w:tc>
          <w:tcPr>
            <w:tcW w:w="3450"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c>
          <w:tcPr>
            <w:tcW w:w="115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年末结转和结余</w:t>
            </w:r>
          </w:p>
        </w:tc>
      </w:tr>
      <w:tr>
        <w:tblPrEx>
          <w:tblCellMar>
            <w:top w:w="0" w:type="dxa"/>
            <w:left w:w="0" w:type="dxa"/>
            <w:bottom w:w="0" w:type="dxa"/>
            <w:right w:w="0" w:type="dxa"/>
          </w:tblCellMar>
        </w:tblPrEx>
        <w:trPr>
          <w:trHeight w:val="312" w:hRule="atLeast"/>
          <w:jc w:val="center"/>
        </w:trPr>
        <w:tc>
          <w:tcPr>
            <w:tcW w:w="1136"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0" w:type="auto"/>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15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15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15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115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2" w:hRule="atLeast"/>
          <w:jc w:val="center"/>
        </w:trPr>
        <w:tc>
          <w:tcPr>
            <w:tcW w:w="113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0" w:type="auto"/>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2" w:hRule="atLeast"/>
          <w:jc w:val="center"/>
        </w:trPr>
        <w:tc>
          <w:tcPr>
            <w:tcW w:w="113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0" w:type="auto"/>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5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bl>
    <w:p>
      <w:r>
        <w:rPr>
          <w:rFonts w:hint="eastAsia" w:ascii="宋体" w:hAnsi="宋体" w:eastAsia="宋体" w:cs="宋体"/>
        </w:rPr>
        <w:t>本部门本年度无政府性基金财政拨款收入情况，按照要求空表列示。</w:t>
      </w:r>
      <w:r>
        <w:br w:type="page"/>
      </w:r>
    </w:p>
    <w:tbl>
      <w:tblPr>
        <w:tblStyle w:val="7"/>
        <w:tblW w:w="9915" w:type="dxa"/>
        <w:jc w:val="center"/>
        <w:tblLayout w:type="autofit"/>
        <w:tblCellMar>
          <w:top w:w="0" w:type="dxa"/>
          <w:left w:w="0" w:type="dxa"/>
          <w:bottom w:w="0" w:type="dxa"/>
          <w:right w:w="0" w:type="dxa"/>
        </w:tblCellMar>
      </w:tblPr>
      <w:tblGrid>
        <w:gridCol w:w="1155"/>
        <w:gridCol w:w="66"/>
        <w:gridCol w:w="66"/>
        <w:gridCol w:w="4432"/>
        <w:gridCol w:w="861"/>
        <w:gridCol w:w="1668"/>
        <w:gridCol w:w="1667"/>
      </w:tblGrid>
      <w:tr>
        <w:tblPrEx>
          <w:tblCellMar>
            <w:top w:w="0" w:type="dxa"/>
            <w:left w:w="0" w:type="dxa"/>
            <w:bottom w:w="0" w:type="dxa"/>
            <w:right w:w="0" w:type="dxa"/>
          </w:tblCellMar>
        </w:tblPrEx>
        <w:trPr>
          <w:trHeight w:val="840" w:hRule="atLeast"/>
          <w:jc w:val="center"/>
        </w:trPr>
        <w:tc>
          <w:tcPr>
            <w:tcW w:w="9915" w:type="dxa"/>
            <w:gridSpan w:val="7"/>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国有资本经营预算财政拨款支出决算表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09</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r>
              <w:rPr>
                <w:rFonts w:hint="eastAsia" w:ascii="宋体" w:hAnsi="宋体" w:eastAsia="宋体" w:cs="宋体"/>
                <w:color w:val="000000"/>
                <w:kern w:val="0"/>
                <w:sz w:val="20"/>
                <w:szCs w:val="20"/>
              </w:rPr>
              <w:t>中共阜平县委老干部局</w:t>
            </w: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w:t>
            </w:r>
          </w:p>
        </w:tc>
        <w:tc>
          <w:tcPr>
            <w:tcW w:w="0" w:type="auto"/>
            <w:gridSpan w:val="3"/>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tblPrEx>
          <w:tblCellMar>
            <w:top w:w="0" w:type="dxa"/>
            <w:left w:w="0" w:type="dxa"/>
            <w:bottom w:w="0" w:type="dxa"/>
            <w:right w:w="0" w:type="dxa"/>
          </w:tblCellMar>
        </w:tblPrEx>
        <w:trPr>
          <w:trHeight w:val="615" w:hRule="atLeast"/>
          <w:jc w:val="center"/>
        </w:trPr>
        <w:tc>
          <w:tcPr>
            <w:tcW w:w="1710"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bl>
    <w:p>
      <w:r>
        <w:rPr>
          <w:rFonts w:hint="eastAsia" w:ascii="宋体" w:hAnsi="宋体" w:eastAsia="宋体" w:cs="宋体"/>
        </w:rPr>
        <w:t>本部门本年度无国有资本经营预算财政拨款支出情况，按照要求空表列示。</w:t>
      </w:r>
      <w:r>
        <w:br w:type="page"/>
      </w:r>
    </w:p>
    <w:p>
      <w:r>
        <w:pict>
          <v:rect id="_x0000_s1105" o:spid="_x0000_s1105" o:spt="1" style="position:absolute;left:0pt;margin-left:-70.5pt;margin-top:-85.25pt;height:841.15pt;width:595.1pt;z-index:251671552;v-text-anchor:middle;mso-width-relative:page;mso-height-relative:page;" fillcolor="#FFC000" filled="t" stroked="f" coordsize="21600,21600">
            <v:path/>
            <v:fill on="t" focussize="0,0"/>
            <v:stroke on="f" weight="1pt"/>
            <v:imagedata o:title=""/>
            <o:lock v:ext="edit"/>
          </v:rect>
        </w:pict>
      </w:r>
    </w:p>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0000000000000000000"/>
    <w:charset w:val="80"/>
    <w:family w:val="swiss"/>
    <w:pitch w:val="default"/>
    <w:sig w:usb0="00000000" w:usb1="00000000" w:usb2="00000016" w:usb3="00000000" w:csb0="0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Cambria">
    <w:panose1 w:val="02040503050406030204"/>
    <w:charset w:val="00"/>
    <w:family w:val="roman"/>
    <w:pitch w:val="default"/>
    <w:sig w:usb0="A00002EF" w:usb1="4000004B" w:usb2="00000000" w:usb3="00000000" w:csb0="2000019F"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24E783"/>
    <w:multiLevelType w:val="singleLevel"/>
    <w:tmpl w:val="8924E783"/>
    <w:lvl w:ilvl="0" w:tentative="0">
      <w:start w:val="1"/>
      <w:numFmt w:val="chineseCounting"/>
      <w:suff w:val="nothing"/>
      <w:lvlText w:val="（%1）"/>
      <w:lvlJc w:val="left"/>
      <w:pPr>
        <w:ind w:left="-223"/>
      </w:pPr>
      <w:rPr>
        <w:rFonts w:hint="eastAsia"/>
        <w:b/>
        <w:bCs/>
      </w:rPr>
    </w:lvl>
  </w:abstractNum>
  <w:abstractNum w:abstractNumId="1">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2">
    <w:nsid w:val="59950409"/>
    <w:multiLevelType w:val="singleLevel"/>
    <w:tmpl w:val="59950409"/>
    <w:lvl w:ilvl="0" w:tentative="0">
      <w:start w:val="1"/>
      <w:numFmt w:val="decimal"/>
      <w:suff w:val="space"/>
      <w:lvlText w:val="%1."/>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AAF1C96"/>
    <w:rsid w:val="0007063E"/>
    <w:rsid w:val="00071ADD"/>
    <w:rsid w:val="00073392"/>
    <w:rsid w:val="00073F4E"/>
    <w:rsid w:val="00086C89"/>
    <w:rsid w:val="000A39FB"/>
    <w:rsid w:val="000F52E5"/>
    <w:rsid w:val="00117746"/>
    <w:rsid w:val="00163F95"/>
    <w:rsid w:val="00180A9A"/>
    <w:rsid w:val="001829C0"/>
    <w:rsid w:val="00184809"/>
    <w:rsid w:val="00192112"/>
    <w:rsid w:val="001B0127"/>
    <w:rsid w:val="001C12D5"/>
    <w:rsid w:val="001C69F7"/>
    <w:rsid w:val="001E45D3"/>
    <w:rsid w:val="002650EC"/>
    <w:rsid w:val="002A6C46"/>
    <w:rsid w:val="002C19B5"/>
    <w:rsid w:val="00371224"/>
    <w:rsid w:val="003A4EE8"/>
    <w:rsid w:val="003A5220"/>
    <w:rsid w:val="003F1811"/>
    <w:rsid w:val="00442CC2"/>
    <w:rsid w:val="00446244"/>
    <w:rsid w:val="00473C20"/>
    <w:rsid w:val="004D61CB"/>
    <w:rsid w:val="005011D6"/>
    <w:rsid w:val="00503F2E"/>
    <w:rsid w:val="00552226"/>
    <w:rsid w:val="00566120"/>
    <w:rsid w:val="00582E6D"/>
    <w:rsid w:val="005954D5"/>
    <w:rsid w:val="005A53FA"/>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E5B"/>
    <w:rsid w:val="009B4EF0"/>
    <w:rsid w:val="009D271F"/>
    <w:rsid w:val="009D2F53"/>
    <w:rsid w:val="00A16C90"/>
    <w:rsid w:val="00A4337A"/>
    <w:rsid w:val="00A929C2"/>
    <w:rsid w:val="00AD097F"/>
    <w:rsid w:val="00B844F4"/>
    <w:rsid w:val="00BA06A1"/>
    <w:rsid w:val="00BA770A"/>
    <w:rsid w:val="00BF4D15"/>
    <w:rsid w:val="00C054DE"/>
    <w:rsid w:val="00C679A9"/>
    <w:rsid w:val="00C7541C"/>
    <w:rsid w:val="00CC0FAA"/>
    <w:rsid w:val="00CD0736"/>
    <w:rsid w:val="00D1570F"/>
    <w:rsid w:val="00D32830"/>
    <w:rsid w:val="00D70AB5"/>
    <w:rsid w:val="00DB7153"/>
    <w:rsid w:val="00DB7F05"/>
    <w:rsid w:val="00E028C3"/>
    <w:rsid w:val="00E14F77"/>
    <w:rsid w:val="00E3076B"/>
    <w:rsid w:val="00E36978"/>
    <w:rsid w:val="00E82A1E"/>
    <w:rsid w:val="00EC06F4"/>
    <w:rsid w:val="00EE4E36"/>
    <w:rsid w:val="00F665F4"/>
    <w:rsid w:val="00FB1D00"/>
    <w:rsid w:val="00FD225F"/>
    <w:rsid w:val="01711280"/>
    <w:rsid w:val="028965A2"/>
    <w:rsid w:val="02CB4A7B"/>
    <w:rsid w:val="02E2469D"/>
    <w:rsid w:val="03162D7E"/>
    <w:rsid w:val="04755C2C"/>
    <w:rsid w:val="04A014D3"/>
    <w:rsid w:val="04F4056F"/>
    <w:rsid w:val="051B0288"/>
    <w:rsid w:val="0574632F"/>
    <w:rsid w:val="072E398D"/>
    <w:rsid w:val="083416C7"/>
    <w:rsid w:val="09331090"/>
    <w:rsid w:val="093E2797"/>
    <w:rsid w:val="0A994F72"/>
    <w:rsid w:val="0AD0287F"/>
    <w:rsid w:val="0AE212A0"/>
    <w:rsid w:val="0B1569EB"/>
    <w:rsid w:val="0BBA2775"/>
    <w:rsid w:val="0BEE5EB7"/>
    <w:rsid w:val="0D8A7A9E"/>
    <w:rsid w:val="0DDE718D"/>
    <w:rsid w:val="0E3C1185"/>
    <w:rsid w:val="0E522B80"/>
    <w:rsid w:val="0E995D95"/>
    <w:rsid w:val="0ED272A9"/>
    <w:rsid w:val="0ED532D9"/>
    <w:rsid w:val="0F072C06"/>
    <w:rsid w:val="0F534D42"/>
    <w:rsid w:val="0F8E49B3"/>
    <w:rsid w:val="0FDB0AA2"/>
    <w:rsid w:val="10193C31"/>
    <w:rsid w:val="105A3E69"/>
    <w:rsid w:val="10692CF2"/>
    <w:rsid w:val="10817615"/>
    <w:rsid w:val="10E16F69"/>
    <w:rsid w:val="116B67FD"/>
    <w:rsid w:val="1173087A"/>
    <w:rsid w:val="11975035"/>
    <w:rsid w:val="11F73066"/>
    <w:rsid w:val="122D7F19"/>
    <w:rsid w:val="12AD000A"/>
    <w:rsid w:val="130A5010"/>
    <w:rsid w:val="13143141"/>
    <w:rsid w:val="1314343E"/>
    <w:rsid w:val="136649C0"/>
    <w:rsid w:val="138D7086"/>
    <w:rsid w:val="13B176C2"/>
    <w:rsid w:val="158572DF"/>
    <w:rsid w:val="15B46610"/>
    <w:rsid w:val="15EF13C7"/>
    <w:rsid w:val="15F35289"/>
    <w:rsid w:val="169F6FE5"/>
    <w:rsid w:val="173E0E77"/>
    <w:rsid w:val="18042DFE"/>
    <w:rsid w:val="182C6C30"/>
    <w:rsid w:val="18535D24"/>
    <w:rsid w:val="185845B0"/>
    <w:rsid w:val="1AEF5C12"/>
    <w:rsid w:val="1BEA30CF"/>
    <w:rsid w:val="1C0F7CA6"/>
    <w:rsid w:val="1C13641B"/>
    <w:rsid w:val="1C44317B"/>
    <w:rsid w:val="1C517A15"/>
    <w:rsid w:val="1CAD4A78"/>
    <w:rsid w:val="1D6D1445"/>
    <w:rsid w:val="1DA3406B"/>
    <w:rsid w:val="1E2E7455"/>
    <w:rsid w:val="1E442FA1"/>
    <w:rsid w:val="1EC92633"/>
    <w:rsid w:val="1EEA16A0"/>
    <w:rsid w:val="1F9206DF"/>
    <w:rsid w:val="1FB4144B"/>
    <w:rsid w:val="1FB81101"/>
    <w:rsid w:val="204E336B"/>
    <w:rsid w:val="206408DE"/>
    <w:rsid w:val="206642F2"/>
    <w:rsid w:val="206F0D2B"/>
    <w:rsid w:val="20A77933"/>
    <w:rsid w:val="211F3564"/>
    <w:rsid w:val="21506E04"/>
    <w:rsid w:val="21811A73"/>
    <w:rsid w:val="21AD2997"/>
    <w:rsid w:val="21AD42E7"/>
    <w:rsid w:val="21BC1EE8"/>
    <w:rsid w:val="21BE4E2A"/>
    <w:rsid w:val="21F341C8"/>
    <w:rsid w:val="220957D7"/>
    <w:rsid w:val="22711A83"/>
    <w:rsid w:val="22852D8D"/>
    <w:rsid w:val="234C5B54"/>
    <w:rsid w:val="237724E2"/>
    <w:rsid w:val="241E257D"/>
    <w:rsid w:val="245E02CD"/>
    <w:rsid w:val="248C7EB4"/>
    <w:rsid w:val="24C140CF"/>
    <w:rsid w:val="24D70F4B"/>
    <w:rsid w:val="25160F8B"/>
    <w:rsid w:val="25191FA6"/>
    <w:rsid w:val="25C518BD"/>
    <w:rsid w:val="25DE6F32"/>
    <w:rsid w:val="25E4546F"/>
    <w:rsid w:val="26381DA8"/>
    <w:rsid w:val="263E5E3C"/>
    <w:rsid w:val="266B0FFC"/>
    <w:rsid w:val="277A4EA7"/>
    <w:rsid w:val="282F7F68"/>
    <w:rsid w:val="28686D3B"/>
    <w:rsid w:val="2911537B"/>
    <w:rsid w:val="29D83029"/>
    <w:rsid w:val="29E2017D"/>
    <w:rsid w:val="2AA66370"/>
    <w:rsid w:val="2BD86891"/>
    <w:rsid w:val="2D394C2E"/>
    <w:rsid w:val="2DBB31BF"/>
    <w:rsid w:val="2E435FD6"/>
    <w:rsid w:val="2E4B3B37"/>
    <w:rsid w:val="30382DE3"/>
    <w:rsid w:val="30DB699A"/>
    <w:rsid w:val="30EB4703"/>
    <w:rsid w:val="313A6212"/>
    <w:rsid w:val="31C2036A"/>
    <w:rsid w:val="320D02A5"/>
    <w:rsid w:val="321A1829"/>
    <w:rsid w:val="325A6882"/>
    <w:rsid w:val="32D03E89"/>
    <w:rsid w:val="32F77D58"/>
    <w:rsid w:val="348E566F"/>
    <w:rsid w:val="34FF5B79"/>
    <w:rsid w:val="351D5CDD"/>
    <w:rsid w:val="3556473C"/>
    <w:rsid w:val="35781B55"/>
    <w:rsid w:val="36583D81"/>
    <w:rsid w:val="366B256E"/>
    <w:rsid w:val="368079DE"/>
    <w:rsid w:val="36A444F5"/>
    <w:rsid w:val="37FB399D"/>
    <w:rsid w:val="3823039B"/>
    <w:rsid w:val="398F34CE"/>
    <w:rsid w:val="39B764CE"/>
    <w:rsid w:val="39D35938"/>
    <w:rsid w:val="3A226944"/>
    <w:rsid w:val="3ACD33B9"/>
    <w:rsid w:val="3AEE6A48"/>
    <w:rsid w:val="3B201DAE"/>
    <w:rsid w:val="3C1620AA"/>
    <w:rsid w:val="3C32768A"/>
    <w:rsid w:val="3C6113D6"/>
    <w:rsid w:val="3D373378"/>
    <w:rsid w:val="3D8849DA"/>
    <w:rsid w:val="3D8F080F"/>
    <w:rsid w:val="3DD038FE"/>
    <w:rsid w:val="3F813E87"/>
    <w:rsid w:val="3F8957EA"/>
    <w:rsid w:val="41124BA3"/>
    <w:rsid w:val="41700CB5"/>
    <w:rsid w:val="41E4397B"/>
    <w:rsid w:val="428A6D59"/>
    <w:rsid w:val="428D1FA7"/>
    <w:rsid w:val="43B67199"/>
    <w:rsid w:val="442361BC"/>
    <w:rsid w:val="44365FE3"/>
    <w:rsid w:val="449F1231"/>
    <w:rsid w:val="44CE1FA4"/>
    <w:rsid w:val="45025265"/>
    <w:rsid w:val="45404558"/>
    <w:rsid w:val="45843FF4"/>
    <w:rsid w:val="459D7E9D"/>
    <w:rsid w:val="459E70E5"/>
    <w:rsid w:val="45D224AB"/>
    <w:rsid w:val="45D476C2"/>
    <w:rsid w:val="46464794"/>
    <w:rsid w:val="46673A8C"/>
    <w:rsid w:val="467E0587"/>
    <w:rsid w:val="46A415AE"/>
    <w:rsid w:val="46BC64CE"/>
    <w:rsid w:val="476860AB"/>
    <w:rsid w:val="487F73ED"/>
    <w:rsid w:val="49273196"/>
    <w:rsid w:val="49385AAB"/>
    <w:rsid w:val="49564FBA"/>
    <w:rsid w:val="49D16A9D"/>
    <w:rsid w:val="49EC020F"/>
    <w:rsid w:val="49F34149"/>
    <w:rsid w:val="4A347EAE"/>
    <w:rsid w:val="4A607D30"/>
    <w:rsid w:val="4A7E4BFD"/>
    <w:rsid w:val="4BD00B0D"/>
    <w:rsid w:val="4C0C4E82"/>
    <w:rsid w:val="4C523AC7"/>
    <w:rsid w:val="4C777E59"/>
    <w:rsid w:val="4D121172"/>
    <w:rsid w:val="4D253E57"/>
    <w:rsid w:val="4D270A7A"/>
    <w:rsid w:val="4D4D599C"/>
    <w:rsid w:val="4DF20A13"/>
    <w:rsid w:val="4ED26CCC"/>
    <w:rsid w:val="4EE57C44"/>
    <w:rsid w:val="4F8A43D5"/>
    <w:rsid w:val="501D514B"/>
    <w:rsid w:val="51443C90"/>
    <w:rsid w:val="517A52A9"/>
    <w:rsid w:val="5186701D"/>
    <w:rsid w:val="520C1EEB"/>
    <w:rsid w:val="52600405"/>
    <w:rsid w:val="52790126"/>
    <w:rsid w:val="529B4319"/>
    <w:rsid w:val="53772993"/>
    <w:rsid w:val="551706A5"/>
    <w:rsid w:val="55594EE8"/>
    <w:rsid w:val="558038E6"/>
    <w:rsid w:val="562335D7"/>
    <w:rsid w:val="56BB338C"/>
    <w:rsid w:val="57773DD6"/>
    <w:rsid w:val="577C50C1"/>
    <w:rsid w:val="578B79AB"/>
    <w:rsid w:val="57B83936"/>
    <w:rsid w:val="58035A16"/>
    <w:rsid w:val="58225A65"/>
    <w:rsid w:val="586B35A7"/>
    <w:rsid w:val="58897039"/>
    <w:rsid w:val="58F70CA0"/>
    <w:rsid w:val="5A68235D"/>
    <w:rsid w:val="5AB56E29"/>
    <w:rsid w:val="5C552ED4"/>
    <w:rsid w:val="5CB74CCC"/>
    <w:rsid w:val="5CCD3FD5"/>
    <w:rsid w:val="5CD41ABC"/>
    <w:rsid w:val="5D2A0EE6"/>
    <w:rsid w:val="5E1472C1"/>
    <w:rsid w:val="5E7A267E"/>
    <w:rsid w:val="5ECD531B"/>
    <w:rsid w:val="5F0F36FF"/>
    <w:rsid w:val="60471946"/>
    <w:rsid w:val="6056213B"/>
    <w:rsid w:val="60FC7248"/>
    <w:rsid w:val="61250374"/>
    <w:rsid w:val="6154061D"/>
    <w:rsid w:val="61FA5F9D"/>
    <w:rsid w:val="62151ABF"/>
    <w:rsid w:val="62310653"/>
    <w:rsid w:val="6290260A"/>
    <w:rsid w:val="635F41F3"/>
    <w:rsid w:val="640E740C"/>
    <w:rsid w:val="64CD6910"/>
    <w:rsid w:val="64E94D7D"/>
    <w:rsid w:val="6514269B"/>
    <w:rsid w:val="656D39F5"/>
    <w:rsid w:val="65850BA5"/>
    <w:rsid w:val="658963D3"/>
    <w:rsid w:val="65DF2D85"/>
    <w:rsid w:val="66654BF9"/>
    <w:rsid w:val="66C15363"/>
    <w:rsid w:val="677C45D9"/>
    <w:rsid w:val="6789158D"/>
    <w:rsid w:val="679C56F9"/>
    <w:rsid w:val="67D81BA4"/>
    <w:rsid w:val="67EB5E74"/>
    <w:rsid w:val="69121220"/>
    <w:rsid w:val="69134606"/>
    <w:rsid w:val="69885944"/>
    <w:rsid w:val="69C54497"/>
    <w:rsid w:val="69E31E40"/>
    <w:rsid w:val="6AAF1C96"/>
    <w:rsid w:val="6B3C1E5B"/>
    <w:rsid w:val="6B432FB2"/>
    <w:rsid w:val="6B557FF4"/>
    <w:rsid w:val="6B687463"/>
    <w:rsid w:val="6B6F10DD"/>
    <w:rsid w:val="6BBA0015"/>
    <w:rsid w:val="6D11099C"/>
    <w:rsid w:val="6D1B026E"/>
    <w:rsid w:val="6D6F2489"/>
    <w:rsid w:val="6DB54E68"/>
    <w:rsid w:val="6DFA167A"/>
    <w:rsid w:val="6E5A15C6"/>
    <w:rsid w:val="6EAE33E5"/>
    <w:rsid w:val="70630927"/>
    <w:rsid w:val="711E5021"/>
    <w:rsid w:val="714C5B43"/>
    <w:rsid w:val="722C7CE7"/>
    <w:rsid w:val="72F9319F"/>
    <w:rsid w:val="732A49E9"/>
    <w:rsid w:val="73DA1D73"/>
    <w:rsid w:val="743B645B"/>
    <w:rsid w:val="74426A9E"/>
    <w:rsid w:val="74447166"/>
    <w:rsid w:val="747F1573"/>
    <w:rsid w:val="74D934F8"/>
    <w:rsid w:val="751953BF"/>
    <w:rsid w:val="75681757"/>
    <w:rsid w:val="75740225"/>
    <w:rsid w:val="75A346A8"/>
    <w:rsid w:val="763B0DC2"/>
    <w:rsid w:val="7798668A"/>
    <w:rsid w:val="790D7DFB"/>
    <w:rsid w:val="79381CB4"/>
    <w:rsid w:val="7984081E"/>
    <w:rsid w:val="79B9382C"/>
    <w:rsid w:val="7AAF31C9"/>
    <w:rsid w:val="7B043B76"/>
    <w:rsid w:val="7B2E7D30"/>
    <w:rsid w:val="7B7A1ED8"/>
    <w:rsid w:val="7BF63191"/>
    <w:rsid w:val="7C041A6A"/>
    <w:rsid w:val="7C337991"/>
    <w:rsid w:val="7C9D0D63"/>
    <w:rsid w:val="7CAF1206"/>
    <w:rsid w:val="7D224CF2"/>
    <w:rsid w:val="7DC9160B"/>
    <w:rsid w:val="7DDD75AF"/>
    <w:rsid w:val="7E327570"/>
    <w:rsid w:val="7F6A43C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0"/>
    <w:qFormat/>
    <w:uiPriority w:val="9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1"/>
    <w:qFormat/>
    <w:uiPriority w:val="99"/>
    <w:rPr>
      <w:rFonts w:ascii="仿宋_GB2312" w:hAnsi="仿宋_GB2312" w:eastAsia="仿宋_GB2312" w:cs="仿宋_GB2312"/>
      <w:sz w:val="32"/>
      <w:szCs w:val="32"/>
      <w:lang w:val="zh-CN"/>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jc w:val="left"/>
    </w:pPr>
    <w:rPr>
      <w:kern w:val="0"/>
      <w:sz w:val="24"/>
    </w:rPr>
  </w:style>
  <w:style w:type="table" w:styleId="8">
    <w:name w:val="Table Grid"/>
    <w:basedOn w:val="7"/>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0">
    <w:name w:val="标题 1 Char"/>
    <w:basedOn w:val="9"/>
    <w:link w:val="2"/>
    <w:qFormat/>
    <w:uiPriority w:val="9"/>
    <w:rPr>
      <w:rFonts w:ascii="等线" w:hAnsi="等线" w:eastAsia="等线"/>
      <w:b/>
      <w:bCs/>
      <w:kern w:val="44"/>
      <w:sz w:val="44"/>
      <w:szCs w:val="44"/>
    </w:rPr>
  </w:style>
  <w:style w:type="character" w:customStyle="1" w:styleId="11">
    <w:name w:val="正文文本 Char"/>
    <w:basedOn w:val="9"/>
    <w:link w:val="3"/>
    <w:semiHidden/>
    <w:qFormat/>
    <w:uiPriority w:val="99"/>
    <w:rPr>
      <w:rFonts w:ascii="等线" w:hAnsi="等线" w:eastAsia="等线"/>
    </w:rPr>
  </w:style>
  <w:style w:type="character" w:customStyle="1" w:styleId="12">
    <w:name w:val="页脚 Char"/>
    <w:basedOn w:val="9"/>
    <w:link w:val="4"/>
    <w:qFormat/>
    <w:locked/>
    <w:uiPriority w:val="99"/>
    <w:rPr>
      <w:rFonts w:cs="Times New Roman"/>
      <w:sz w:val="18"/>
      <w:szCs w:val="18"/>
    </w:rPr>
  </w:style>
  <w:style w:type="character" w:customStyle="1" w:styleId="13">
    <w:name w:val="页眉 Char"/>
    <w:basedOn w:val="9"/>
    <w:link w:val="5"/>
    <w:qFormat/>
    <w:locked/>
    <w:uiPriority w:val="99"/>
    <w:rPr>
      <w:rFonts w:ascii="等线" w:hAnsi="等线" w:eastAsia="等线" w:cs="Times New Roman"/>
      <w:sz w:val="18"/>
      <w:szCs w:val="18"/>
    </w:rPr>
  </w:style>
  <w:style w:type="paragraph" w:customStyle="1" w:styleId="14">
    <w:name w:val="列出段落1"/>
    <w:basedOn w:val="1"/>
    <w:qFormat/>
    <w:uiPriority w:val="99"/>
    <w:pPr>
      <w:spacing w:before="2"/>
      <w:ind w:left="119" w:right="434" w:firstLine="643"/>
    </w:pPr>
    <w:rPr>
      <w:rFonts w:ascii="仿宋_GB2312" w:hAnsi="仿宋_GB2312" w:eastAsia="仿宋_GB2312" w:cs="仿宋_GB2312"/>
      <w:lang w:val="zh-CN"/>
    </w:rPr>
  </w:style>
  <w:style w:type="character" w:customStyle="1" w:styleId="15">
    <w:name w:val="NormalCharacter"/>
    <w:qFormat/>
    <w:uiPriority w:val="0"/>
    <w:rPr>
      <w:rFonts w:ascii="等线" w:hAnsi="等线" w:eastAsia="等线"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33"/>
    <customShpInfo spid="_x0000_s1034"/>
    <customShpInfo spid="_x0000_s1035"/>
    <customShpInfo spid="_x0000_s1036"/>
    <customShpInfo spid="_x0000_s1038"/>
    <customShpInfo spid="_x0000_s1039"/>
    <customShpInfo spid="_x0000_s1037"/>
    <customShpInfo spid="_x0000_s1041"/>
    <customShpInfo spid="_x0000_s1042"/>
    <customShpInfo spid="_x0000_s1040"/>
    <customShpInfo spid="_x0000_s1043"/>
    <customShpInfo spid="_x0000_s1053"/>
    <customShpInfo spid="_x0000_s1061"/>
    <customShpInfo spid="_x0000_s1062"/>
    <customShpInfo spid="_x0000_s1107"/>
    <customShpInfo spid="_x0000_s1108"/>
    <customShpInfo spid="_x0000_s1106"/>
    <customShpInfo spid="_x0000_s1088"/>
    <customShpInfo spid="_x0000_s1089"/>
    <customShpInfo spid="_x0000_s1109"/>
    <customShpInfo spid="_x0000_s110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简约文档封面模板</Template>
  <Company>MS</Company>
  <Pages>28</Pages>
  <Words>7797</Words>
  <Characters>4085</Characters>
  <Lines>34</Lines>
  <Paragraphs>23</Paragraphs>
  <TotalTime>0</TotalTime>
  <ScaleCrop>false</ScaleCrop>
  <LinksUpToDate>false</LinksUpToDate>
  <CharactersWithSpaces>11859</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2021-05-28T09:12:00Z</cp:lastPrinted>
  <dcterms:modified xsi:type="dcterms:W3CDTF">2021-06-24T04:01:22Z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102045EC55AA47AF84DEEEFEBC8E19D9</vt:lpwstr>
  </property>
</Properties>
</file>