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pict>
          <v:shape id="图片 7" o:spid="_x0000_s1026" o:spt="75" alt="wc ga" type="#_x0000_t75" style="position:absolute;left:0pt;margin-left:-83.6pt;margin-top:-110.1pt;height:850.15pt;width:612.35pt;z-index:-251657216;mso-width-relative:page;mso-height-relative:page;" filled="f" o:preferrelative="t" stroked="f" coordsize="21600,21600">
            <v:path/>
            <v:fill on="f" focussize="0,0"/>
            <v:stroke on="f"/>
            <v:imagedata r:id="rId6" o:title=""/>
            <o:lock v:ext="edit" aspectratio="t"/>
          </v:shape>
        </w:pict>
      </w:r>
    </w:p>
    <w:p>
      <w:pPr>
        <w:widowControl/>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6028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中共阜平县委老干部局</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2871" w:firstLineChars="650"/>
        <w:rPr>
          <w:rFonts w:hint="eastAsia" w:ascii="楷体" w:hAnsi="楷体" w:eastAsia="楷体" w:cs="楷体"/>
          <w:b/>
          <w:sz w:val="44"/>
          <w:szCs w:val="44"/>
          <w:lang w:eastAsia="zh-CN"/>
        </w:rPr>
      </w:pPr>
    </w:p>
    <w:p>
      <w:pPr>
        <w:widowControl/>
        <w:ind w:firstLine="2871" w:firstLineChars="650"/>
        <w:rPr>
          <w:rFonts w:hint="eastAsia" w:ascii="楷体" w:hAnsi="楷体" w:eastAsia="楷体" w:cs="楷体"/>
          <w:b/>
          <w:sz w:val="44"/>
          <w:szCs w:val="44"/>
          <w:lang w:val="en-US" w:eastAsia="zh-CN"/>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w:t>
      </w:r>
      <w:r>
        <w:rPr>
          <w:rFonts w:hint="eastAsia" w:ascii="楷体" w:hAnsi="楷体" w:eastAsia="楷体" w:cs="楷体"/>
          <w:b/>
          <w:sz w:val="44"/>
          <w:szCs w:val="44"/>
          <w:lang w:val="en-US" w:eastAsia="zh-CN"/>
        </w:rPr>
        <w:t>九月</w:t>
      </w:r>
    </w:p>
    <w:p>
      <w:pPr>
        <w:spacing w:beforeLines="200" w:after="0" w:line="1000" w:lineRule="exact"/>
        <w:jc w:val="center"/>
        <w:rPr>
          <w:rFonts w:ascii="黑体" w:eastAsia="黑体"/>
          <w:sz w:val="48"/>
          <w:szCs w:val="48"/>
        </w:rPr>
      </w:pPr>
      <w:r>
        <w:pict>
          <v:group id="组合 179" o:spid="_x0000_s1028" o:spt="203" style="position:absolute;left:0pt;margin-left:-80.8pt;margin-top:39.95pt;height:46.7pt;width:250.05pt;mso-position-vertical-relative:page;z-index:251673600;mso-width-relative:page;mso-height-relative:page;" coordorigin="4551,52615" coordsize="8546,1398" o:allowoverlap="f">
            <o:lock v:ext="edit"/>
            <v:rect id="矩形 13" o:spid="_x0000_s1029" o:spt="1" style="position:absolute;left:4551;top:52615;height:1175;width:8546;v-text-anchor:middle;" fillcolor="#96DA9D" filled="t" stroked="f" coordsize="21600,21600">
              <v:path/>
              <v:fill on="t" focussize="0,0"/>
              <v:stroke on="f" weight="2pt"/>
              <v:imagedata o:title=""/>
              <o:lock v:ext="edit"/>
            </v:rect>
            <v:rect id="矩形 14" o:spid="_x0000_s103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lang w:val="en-US" w:eastAsia="zh-CN"/>
        </w:rPr>
        <w:t>老干部局</w:t>
      </w:r>
      <w:r>
        <w:rPr>
          <w:rFonts w:hint="eastAsia" w:eastAsia="黑体"/>
          <w:sz w:val="32"/>
          <w:szCs w:val="32"/>
        </w:rPr>
        <w:t>部门</w:t>
      </w:r>
      <w:r>
        <w:rPr>
          <w:rFonts w:eastAsia="黑体"/>
          <w:sz w:val="32"/>
          <w:szCs w:val="32"/>
        </w:rPr>
        <w:t>2018</w:t>
      </w:r>
      <w:r>
        <w:rPr>
          <w:rFonts w:hint="eastAsia" w:eastAsia="黑体"/>
          <w:sz w:val="32"/>
          <w:szCs w:val="32"/>
        </w:rPr>
        <w:t>年部门决算情况说明</w:t>
      </w:r>
      <w:r>
        <w:pict>
          <v:group id="组合 176" o:spid="_x0000_s1031" o:spt="203" style="position:absolute;left:0pt;margin-left:-80.8pt;margin-top:38.95pt;height:46.7pt;width:222.8pt;mso-position-vertical-relative:page;z-index:251672576;mso-width-relative:page;mso-height-relative:page;" coordorigin="4551,52615" coordsize="8546,1398">
            <o:lock v:ext="edit"/>
            <v:rect id="矩形 13" o:spid="_x0000_s1032" o:spt="1" style="position:absolute;left:4551;top:52615;height:1175;width:8546;v-text-anchor:middle;" fillcolor="#96DA9D" filled="t" stroked="f" coordsize="21600,21600">
              <v:path/>
              <v:fill on="t" focussize="0,0"/>
              <v:stroke on="f" weight="2pt"/>
              <v:imagedata o:title=""/>
              <o:lock v:ext="edit"/>
            </v:rect>
            <v:rect id="矩形 14" o:spid="_x0000_s103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pict>
          <v:shape id="图片 12" o:spid="_x0000_s1034" o:spt="75" alt="2" type="#_x0000_t75" style="position:absolute;left:0pt;margin-left:-80.7pt;margin-top:-106.45pt;height:844.65pt;width:597.3pt;z-index:-251655168;mso-width-relative:page;mso-height-relative:page;" filled="f" o:preferrelative="t" stroked="f" coordsize="21600,21600">
            <v:path/>
            <v:fill on="f" focussize="0,0"/>
            <v:stroke on="f" joinstyle="miter"/>
            <v:imagedata r:id="rId7" o:title=""/>
            <o:lock v:ext="edit" aspectratio="t"/>
          </v:shape>
        </w:pict>
      </w:r>
      <w:r>
        <w:pict>
          <v:shape id="文本框 118" o:spid="_x0000_s1035" o:spt="202" type="#_x0000_t202" style="position:absolute;left:0pt;margin-left:-97.3pt;margin-top:259.1pt;height:81.7pt;width:613.65pt;z-index:251670528;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
      <w:pPr>
        <w:widowControl/>
        <w:numPr>
          <w:ilvl w:val="0"/>
          <w:numId w:val="1"/>
        </w:numPr>
        <w:spacing w:line="360" w:lineRule="auto"/>
        <w:ind w:firstLine="420" w:firstLineChars="200"/>
        <w:textAlignment w:val="baseline"/>
        <w:rPr>
          <w:rFonts w:hint="eastAsia" w:ascii="黑体" w:hAnsi="Cambria" w:eastAsia="黑体" w:cs="黑体"/>
          <w:b w:val="0"/>
          <w:bCs w:val="0"/>
          <w:kern w:val="0"/>
          <w:sz w:val="32"/>
          <w:szCs w:val="32"/>
        </w:rPr>
      </w:pPr>
      <w:r>
        <w:pict>
          <v:group id="组合 15" o:spid="_x0000_s1036" o:spt="203" style="position:absolute;left:0pt;margin-left:-80.8pt;margin-top:39.5pt;height:46.7pt;width:245.25pt;mso-position-vertical-relative:page;z-index:251662336;mso-width-relative:page;mso-height-relative:page;" coordorigin="4551,52615" coordsize="8546,1398">
            <o:lock v:ext="edit"/>
            <v:rect id="_x0000_s1037" o:spid="_x0000_s1037" o:spt="1" style="position:absolute;left:4551;top:52615;height:1175;width:8546;v-text-anchor:middle;" fillcolor="#96DA9D" filled="t" stroked="f" coordsize="21600,21600">
              <v:path/>
              <v:fill on="t" focussize="0,0"/>
              <v:stroke on="f" weight="2pt"/>
              <v:imagedata o:title=""/>
              <o:lock v:ext="edit"/>
            </v:rect>
            <v:rect id="_x0000_s1038" o:spid="_x0000_s10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部门职责</w:t>
      </w:r>
    </w:p>
    <w:p>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根据中共阜平县委办公室《关于印发&lt;阜平县委</w:t>
      </w:r>
      <w:r>
        <w:rPr>
          <w:rFonts w:hint="eastAsia" w:eastAsia="仿宋_GB2312" w:cs="Times New Roman"/>
          <w:sz w:val="32"/>
          <w:szCs w:val="32"/>
          <w:lang w:val="en-US" w:eastAsia="zh-CN"/>
        </w:rPr>
        <w:t>老干部局</w:t>
      </w:r>
      <w:r>
        <w:rPr>
          <w:rFonts w:hint="eastAsia" w:ascii="Times New Roman" w:hAnsi="Times New Roman" w:eastAsia="仿宋_GB2312" w:cs="Times New Roman"/>
          <w:sz w:val="32"/>
          <w:szCs w:val="32"/>
          <w:lang w:eastAsia="zh-CN"/>
        </w:rPr>
        <w:t>职能配置、内设机构和人员编制规定&gt;的通知》的要求，中共阜平县委</w:t>
      </w:r>
      <w:r>
        <w:rPr>
          <w:rFonts w:hint="eastAsia" w:eastAsia="仿宋_GB2312" w:cs="Times New Roman"/>
          <w:sz w:val="32"/>
          <w:szCs w:val="32"/>
          <w:lang w:val="en-US" w:eastAsia="zh-CN"/>
        </w:rPr>
        <w:t>老干部局</w:t>
      </w:r>
      <w:r>
        <w:rPr>
          <w:rFonts w:hint="eastAsia" w:ascii="Times New Roman" w:hAnsi="Times New Roman" w:eastAsia="仿宋_GB2312" w:cs="Times New Roman"/>
          <w:sz w:val="32"/>
          <w:szCs w:val="32"/>
          <w:lang w:eastAsia="zh-CN"/>
        </w:rPr>
        <w:t>负责：</w:t>
      </w:r>
    </w:p>
    <w:p>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（一）贯彻落实国家关于离退休干部的的方针政策，组织落实离退休干部的政治、生活待遇。</w:t>
      </w:r>
    </w:p>
    <w:p>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（二）建设、管理、使用好老年活动阵地，并指导全县阵地建设。</w:t>
      </w:r>
    </w:p>
    <w:p>
      <w:pPr>
        <w:keepNext w:val="0"/>
        <w:keepLines w:val="0"/>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（三）老干部管理服务设施维修改造、后勤保障、日常运转。</w:t>
      </w:r>
    </w:p>
    <w:p>
      <w:pPr>
        <w:widowControl/>
        <w:spacing w:line="398" w:lineRule="auto"/>
        <w:ind w:right="2380"/>
        <w:jc w:val="both"/>
        <w:textAlignment w:val="baseline"/>
        <w:rPr>
          <w:rFonts w:hint="eastAsia" w:ascii="黑体" w:hAnsi="Cambria" w:eastAsia="黑体" w:cs="黑体"/>
          <w:b w:val="0"/>
          <w:bCs w:val="0"/>
          <w:kern w:val="0"/>
          <w:sz w:val="32"/>
          <w:szCs w:val="32"/>
        </w:rPr>
      </w:pPr>
      <w:r>
        <w:rPr>
          <w:rStyle w:val="34"/>
          <w:rFonts w:ascii="仿宋" w:hAnsi="仿宋" w:eastAsia="仿宋"/>
          <w:b/>
          <w:sz w:val="32"/>
          <w:lang w:val="en-US" w:eastAsia="zh-CN" w:bidi="ar-SA"/>
        </w:rPr>
        <w:t xml:space="preserve">  </w:t>
      </w:r>
      <w:r>
        <w:rPr>
          <w:rFonts w:hint="eastAsia" w:ascii="黑体" w:hAnsi="Cambria" w:eastAsia="黑体" w:cs="黑体"/>
          <w:b w:val="0"/>
          <w:bCs w:val="0"/>
          <w:kern w:val="0"/>
          <w:sz w:val="32"/>
          <w:szCs w:val="32"/>
        </w:rPr>
        <w:t>二、机构设置</w:t>
      </w:r>
    </w:p>
    <w:p>
      <w:pPr>
        <w:widowControl/>
        <w:numPr>
          <w:ilvl w:val="0"/>
          <w:numId w:val="0"/>
        </w:numPr>
        <w:spacing w:line="240" w:lineRule="atLeast"/>
        <w:ind w:firstLine="640" w:firstLineChars="200"/>
        <w:textAlignment w:val="baseline"/>
        <w:rPr>
          <w:rFonts w:hint="eastAsia" w:ascii="仿宋_GB2312" w:hAnsi="Cambria" w:eastAsia="仿宋_GB2312" w:cs="ArialUnicodeMS"/>
          <w:kern w:val="0"/>
          <w:sz w:val="32"/>
          <w:szCs w:val="32"/>
        </w:rPr>
      </w:pPr>
      <w:r>
        <w:rPr>
          <w:rStyle w:val="34"/>
          <w:rFonts w:ascii="仿宋" w:hAnsi="仿宋" w:eastAsia="仿宋"/>
          <w:sz w:val="32"/>
          <w:szCs w:val="32"/>
          <w:lang w:val="en-US" w:eastAsia="zh-CN" w:bidi="ar-SA"/>
        </w:rPr>
        <w:t>阜平县委老干部局内设2个部门：综合办公室、老干部局门诊部</w:t>
      </w:r>
      <w:r>
        <w:rPr>
          <w:rStyle w:val="34"/>
          <w:rFonts w:hint="eastAsia" w:ascii="仿宋" w:hAnsi="仿宋" w:eastAsia="仿宋"/>
          <w:sz w:val="32"/>
          <w:szCs w:val="32"/>
          <w:lang w:val="en-US" w:eastAsia="zh-CN" w:bidi="ar-SA"/>
        </w:rPr>
        <w:t>，</w:t>
      </w:r>
      <w:r>
        <w:rPr>
          <w:rStyle w:val="34"/>
          <w:rFonts w:ascii="仿宋" w:hAnsi="仿宋" w:eastAsia="仿宋"/>
          <w:sz w:val="32"/>
          <w:szCs w:val="32"/>
          <w:lang w:val="en-US" w:eastAsia="zh-CN" w:bidi="ar-SA"/>
        </w:rPr>
        <w:t>行政编制人数10人。</w:t>
      </w: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ascii="仿宋_GB2312" w:hAnsi="Cambria" w:eastAsia="仿宋_GB2312" w:cs="ArialUnicodeMS"/>
          <w:kern w:val="0"/>
          <w:sz w:val="32"/>
          <w:szCs w:val="32"/>
        </w:rPr>
        <w:t xml:space="preserve"> </w:t>
      </w:r>
      <w:r>
        <w:rPr>
          <w:rFonts w:hint="eastAsia" w:ascii="仿宋_GB2312" w:hAnsi="Cambria" w:eastAsia="仿宋_GB2312" w:cs="ArialUnicodeMS"/>
          <w:kern w:val="0"/>
          <w:sz w:val="32"/>
          <w:szCs w:val="32"/>
          <w:lang w:val="en-US" w:eastAsia="zh-CN"/>
        </w:rPr>
        <w:t>1</w:t>
      </w:r>
      <w:r>
        <w:rPr>
          <w:rFonts w:hint="eastAsia" w:ascii="仿宋_GB2312" w:hAnsi="Cambria" w:eastAsia="仿宋_GB2312" w:cs="ArialUnicodeMS"/>
          <w:kern w:val="0"/>
          <w:sz w:val="32"/>
          <w:szCs w:val="32"/>
        </w:rPr>
        <w:t>个，具体情况如下：</w:t>
      </w:r>
    </w:p>
    <w:tbl>
      <w:tblPr>
        <w:tblStyle w:val="13"/>
        <w:tblpPr w:leftFromText="180" w:rightFromText="180" w:vertAnchor="text" w:horzAnchor="page" w:tblpXSpec="center" w:tblpY="10"/>
        <w:tblOverlap w:val="never"/>
        <w:tblW w:w="8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2250"/>
        <w:gridCol w:w="2253"/>
        <w:gridCol w:w="2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347"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2250"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253"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334"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47"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2250" w:type="dxa"/>
          </w:tcPr>
          <w:p>
            <w:pPr>
              <w:spacing w:after="0" w:line="560" w:lineRule="exact"/>
              <w:rPr>
                <w:rFonts w:hint="eastAsia" w:ascii="仿宋_GB2312" w:hAnsi="Cambria" w:eastAsia="仿宋_GB2312" w:cs="ArialUnicodeMS"/>
                <w:kern w:val="0"/>
                <w:sz w:val="28"/>
                <w:szCs w:val="28"/>
                <w:lang w:eastAsia="zh-CN"/>
              </w:rPr>
            </w:pPr>
            <w:r>
              <w:rPr>
                <w:rFonts w:hint="eastAsia" w:ascii="仿宋_GB2312" w:hAnsi="Cambria" w:eastAsia="仿宋_GB2312" w:cs="ArialUnicodeMS"/>
                <w:kern w:val="0"/>
                <w:sz w:val="28"/>
                <w:szCs w:val="28"/>
                <w:lang w:eastAsia="zh-CN"/>
              </w:rPr>
              <w:t>阜平县老干部局</w:t>
            </w:r>
          </w:p>
        </w:tc>
        <w:tc>
          <w:tcPr>
            <w:tcW w:w="2253" w:type="dxa"/>
          </w:tcPr>
          <w:p>
            <w:pPr>
              <w:spacing w:after="0" w:line="560" w:lineRule="exact"/>
              <w:jc w:val="center"/>
              <w:rPr>
                <w:rFonts w:hint="eastAsia" w:ascii="仿宋_GB2312" w:hAnsi="Cambria" w:eastAsia="仿宋_GB2312" w:cs="ArialUnicodeMS"/>
                <w:kern w:val="0"/>
                <w:sz w:val="28"/>
                <w:szCs w:val="28"/>
                <w:lang w:eastAsia="zh-CN"/>
              </w:rPr>
            </w:pPr>
            <w:r>
              <w:rPr>
                <w:rFonts w:hint="eastAsia" w:ascii="仿宋_GB2312" w:hAnsi="Cambria" w:eastAsia="仿宋_GB2312" w:cs="ArialUnicodeMS"/>
                <w:kern w:val="0"/>
                <w:sz w:val="28"/>
                <w:szCs w:val="28"/>
                <w:lang w:eastAsia="zh-CN"/>
              </w:rPr>
              <w:t>行政单位</w:t>
            </w:r>
          </w:p>
        </w:tc>
        <w:tc>
          <w:tcPr>
            <w:tcW w:w="2334" w:type="dxa"/>
          </w:tcPr>
          <w:p>
            <w:pPr>
              <w:spacing w:after="0" w:line="560" w:lineRule="exact"/>
              <w:jc w:val="center"/>
              <w:rPr>
                <w:rFonts w:hint="eastAsia" w:ascii="仿宋_GB2312" w:hAnsi="Cambria" w:eastAsia="仿宋_GB2312" w:cs="ArialUnicodeMS"/>
                <w:kern w:val="0"/>
                <w:sz w:val="28"/>
                <w:szCs w:val="28"/>
                <w:lang w:eastAsia="zh-CN"/>
              </w:rPr>
            </w:pPr>
            <w:r>
              <w:rPr>
                <w:rFonts w:hint="eastAsia" w:ascii="仿宋_GB2312" w:hAnsi="Cambria" w:eastAsia="仿宋_GB2312" w:cs="ArialUnicodeMS"/>
                <w:kern w:val="0"/>
                <w:sz w:val="28"/>
                <w:szCs w:val="28"/>
                <w:lang w:eastAsia="zh-CN"/>
              </w:rPr>
              <w:t>财政拨款</w:t>
            </w:r>
          </w:p>
        </w:tc>
      </w:tr>
    </w:tbl>
    <w:p>
      <w:pPr>
        <w:pStyle w:val="2"/>
        <w:spacing w:before="0" w:after="0" w:line="600" w:lineRule="exact"/>
        <w:jc w:val="left"/>
        <w:rPr>
          <w:rFonts w:ascii="黑体" w:hAnsi="Cambria" w:eastAsia="黑体" w:cs="黑体"/>
          <w:b w:val="0"/>
          <w:bCs w:val="0"/>
          <w:kern w:val="0"/>
          <w:sz w:val="32"/>
          <w:szCs w:val="32"/>
        </w:rPr>
      </w:pPr>
    </w:p>
    <w:p>
      <w:pPr>
        <w:widowControl/>
        <w:spacing w:line="560" w:lineRule="exact"/>
        <w:jc w:val="both"/>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pict>
          <v:shape id="图片 16" o:spid="_x0000_s1039" o:spt="75" alt="2" type="#_x0000_t75" style="position:absolute;left:0pt;margin-left:-80.6pt;margin-top:-104.5pt;height:840.95pt;width:596.15pt;z-index:-251652096;mso-width-relative:page;mso-height-relative:page;" filled="f" o:preferrelative="t" stroked="f" coordsize="21600,21600">
            <v:path/>
            <v:fill on="f" focussize="0,0"/>
            <v:stroke on="f" joinstyle="miter"/>
            <v:imagedata r:id="rId7" o:title=""/>
            <o:lock v:ext="edit" aspectratio="t"/>
          </v:shape>
        </w:pict>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63360;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tbl>
      <w:tblPr>
        <w:tblStyle w:val="13"/>
        <w:tblW w:w="9300" w:type="dxa"/>
        <w:jc w:val="center"/>
        <w:tblLayout w:type="fixed"/>
        <w:tblCellMar>
          <w:top w:w="0" w:type="dxa"/>
          <w:left w:w="0" w:type="dxa"/>
          <w:bottom w:w="0" w:type="dxa"/>
          <w:right w:w="0" w:type="dxa"/>
        </w:tblCellMar>
      </w:tblPr>
      <w:tblGrid>
        <w:gridCol w:w="2700"/>
        <w:gridCol w:w="567"/>
        <w:gridCol w:w="1336"/>
        <w:gridCol w:w="2700"/>
        <w:gridCol w:w="567"/>
        <w:gridCol w:w="1430"/>
      </w:tblGrid>
      <w:tr>
        <w:tblPrEx>
          <w:tblCellMar>
            <w:top w:w="0" w:type="dxa"/>
            <w:left w:w="0" w:type="dxa"/>
            <w:bottom w:w="0" w:type="dxa"/>
            <w:right w:w="0" w:type="dxa"/>
          </w:tblCellMar>
        </w:tblPrEx>
        <w:trPr>
          <w:trHeight w:val="567" w:hRule="atLeast"/>
          <w:jc w:val="center"/>
        </w:trPr>
        <w:tc>
          <w:tcPr>
            <w:tcW w:w="9300" w:type="dxa"/>
            <w:gridSpan w:val="6"/>
            <w:tcBorders>
              <w:top w:val="nil"/>
              <w:left w:val="nil"/>
              <w:bottom w:val="nil"/>
              <w:right w:val="nil"/>
            </w:tcBorders>
            <w:tcMar>
              <w:top w:w="15" w:type="dxa"/>
              <w:left w:w="15" w:type="dxa"/>
              <w:right w:w="15" w:type="dxa"/>
            </w:tcMar>
            <w:vAlign w:val="center"/>
          </w:tcPr>
          <w:p>
            <w:pPr>
              <w:widowControl/>
              <w:spacing w:after="0" w:line="440" w:lineRule="exact"/>
              <w:jc w:val="center"/>
              <w:textAlignment w:val="center"/>
              <w:rPr>
                <w:rFonts w:ascii="黑体" w:hAnsi="宋体" w:eastAsia="黑体" w:cs="黑体"/>
                <w:color w:val="000000"/>
                <w:sz w:val="40"/>
                <w:szCs w:val="40"/>
              </w:rPr>
            </w:pPr>
            <w:r>
              <w:pict>
                <v:group id="组合 10" o:spid="_x0000_s1041" o:spt="203" style="position:absolute;left:0pt;margin-left:-70.25pt;margin-top:-81.85pt;height:41.2pt;width:243.2pt;mso-position-vertical-relative:page;z-index:251674624;mso-width-relative:page;mso-height-relative:page;" coordorigin="4551,52615" coordsize="8546,1398">
                  <o:lock v:ext="edit"/>
                  <v:rect id="矩形 13" o:spid="_x0000_s1042" o:spt="1" style="position:absolute;left:4551;top:52615;height:1175;width:8546;v-text-anchor:middle;" fillcolor="#96DA9D" filled="t" stroked="f" coordsize="21600,21600">
                    <v:path/>
                    <v:fill on="t" focussize="0,0"/>
                    <v:stroke on="f" weight="2pt"/>
                    <v:imagedata o:title=""/>
                    <o:lock v:ext="edit"/>
                  </v:rect>
                  <v:rect id="矩形 14" o:spid="_x0000_s104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收入支出决算总表</w:t>
            </w:r>
          </w:p>
        </w:tc>
      </w:tr>
      <w:tr>
        <w:tblPrEx>
          <w:tblCellMar>
            <w:top w:w="0" w:type="dxa"/>
            <w:left w:w="0" w:type="dxa"/>
            <w:bottom w:w="0" w:type="dxa"/>
            <w:right w:w="0" w:type="dxa"/>
          </w:tblCellMar>
        </w:tblPrEx>
        <w:trPr>
          <w:trHeight w:val="321" w:hRule="atLeast"/>
          <w:jc w:val="center"/>
        </w:trPr>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336"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567" w:type="dxa"/>
            <w:tcBorders>
              <w:top w:val="nil"/>
              <w:left w:val="nil"/>
              <w:bottom w:val="nil"/>
              <w:right w:val="nil"/>
            </w:tcBorders>
            <w:noWrap/>
            <w:tcMar>
              <w:top w:w="15" w:type="dxa"/>
              <w:left w:w="15" w:type="dxa"/>
              <w:right w:w="15" w:type="dxa"/>
            </w:tcMar>
            <w:vAlign w:val="center"/>
          </w:tcPr>
          <w:p>
            <w:pPr>
              <w:widowControl/>
              <w:spacing w:after="0" w:line="240" w:lineRule="exact"/>
              <w:rPr>
                <w:rFonts w:ascii="Arial" w:hAnsi="Arial" w:cs="Arial"/>
                <w:color w:val="000000"/>
                <w:sz w:val="20"/>
                <w:szCs w:val="20"/>
              </w:rPr>
            </w:pPr>
          </w:p>
        </w:tc>
        <w:tc>
          <w:tcPr>
            <w:tcW w:w="1430" w:type="dxa"/>
            <w:tcBorders>
              <w:top w:val="nil"/>
              <w:left w:val="nil"/>
              <w:bottom w:val="nil"/>
              <w:right w:val="nil"/>
            </w:tcBorders>
            <w:noWrap/>
            <w:tcMar>
              <w:top w:w="15" w:type="dxa"/>
              <w:left w:w="15" w:type="dxa"/>
              <w:right w:w="15" w:type="dxa"/>
            </w:tcMar>
            <w:vAlign w:val="center"/>
          </w:tcPr>
          <w:p>
            <w:pPr>
              <w:widowControl/>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01</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418" w:hRule="atLeast"/>
          <w:jc w:val="center"/>
        </w:trPr>
        <w:tc>
          <w:tcPr>
            <w:tcW w:w="2700" w:type="dxa"/>
            <w:tcBorders>
              <w:top w:val="nil"/>
              <w:left w:val="nil"/>
              <w:bottom w:val="nil"/>
              <w:right w:val="nil"/>
            </w:tcBorders>
            <w:tcMar>
              <w:top w:w="15" w:type="dxa"/>
              <w:left w:w="15" w:type="dxa"/>
              <w:right w:w="15" w:type="dxa"/>
            </w:tcMar>
            <w:vAlign w:val="center"/>
          </w:tcPr>
          <w:p>
            <w:pPr>
              <w:widowControl/>
              <w:spacing w:after="0" w:line="240" w:lineRule="exact"/>
              <w:jc w:val="left"/>
              <w:textAlignment w:val="center"/>
              <w:rPr>
                <w:rFonts w:hint="default" w:ascii="宋体" w:eastAsia="宋体" w:cs="宋体"/>
                <w:color w:val="000000"/>
                <w:sz w:val="20"/>
                <w:szCs w:val="20"/>
                <w:lang w:val="en-US" w:eastAsia="zh-CN"/>
              </w:rPr>
            </w:pPr>
            <w:r>
              <w:rPr>
                <w:rFonts w:hint="eastAsia" w:ascii="宋体" w:hAnsi="宋体" w:cs="宋体"/>
                <w:color w:val="000000"/>
                <w:kern w:val="0"/>
                <w:sz w:val="20"/>
                <w:szCs w:val="20"/>
              </w:rPr>
              <w:t>部门：</w:t>
            </w:r>
            <w:r>
              <w:rPr>
                <w:rFonts w:hint="eastAsia" w:ascii="宋体" w:hAnsi="宋体" w:cs="宋体"/>
                <w:color w:val="000000"/>
                <w:kern w:val="0"/>
                <w:sz w:val="20"/>
                <w:szCs w:val="20"/>
                <w:lang w:val="en-US" w:eastAsia="zh-CN"/>
              </w:rPr>
              <w:t>中共阜平县委老干部局</w:t>
            </w:r>
          </w:p>
        </w:tc>
        <w:tc>
          <w:tcPr>
            <w:tcW w:w="567"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1336"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2700"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567" w:type="dxa"/>
            <w:tcBorders>
              <w:top w:val="nil"/>
              <w:left w:val="nil"/>
              <w:bottom w:val="nil"/>
              <w:right w:val="nil"/>
            </w:tcBorders>
            <w:tcMar>
              <w:top w:w="15" w:type="dxa"/>
              <w:left w:w="15" w:type="dxa"/>
              <w:right w:w="15" w:type="dxa"/>
            </w:tcMar>
            <w:vAlign w:val="center"/>
          </w:tcPr>
          <w:p>
            <w:pPr>
              <w:widowControl/>
              <w:spacing w:after="0" w:line="240" w:lineRule="exact"/>
              <w:rPr>
                <w:rFonts w:ascii="宋体" w:cs="宋体"/>
                <w:color w:val="000000"/>
                <w:sz w:val="20"/>
                <w:szCs w:val="20"/>
              </w:rPr>
            </w:pPr>
          </w:p>
        </w:tc>
        <w:tc>
          <w:tcPr>
            <w:tcW w:w="1430" w:type="dxa"/>
            <w:tcBorders>
              <w:top w:val="nil"/>
              <w:left w:val="nil"/>
              <w:bottom w:val="nil"/>
              <w:right w:val="nil"/>
            </w:tcBorders>
            <w:noWrap/>
            <w:tcMar>
              <w:top w:w="15" w:type="dxa"/>
              <w:left w:w="15" w:type="dxa"/>
              <w:right w:w="15" w:type="dxa"/>
            </w:tcMar>
            <w:vAlign w:val="center"/>
          </w:tcPr>
          <w:p>
            <w:pPr>
              <w:widowControl/>
              <w:spacing w:after="0" w:line="240" w:lineRule="exac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295" w:hRule="atLeast"/>
          <w:jc w:val="center"/>
        </w:trPr>
        <w:tc>
          <w:tcPr>
            <w:tcW w:w="46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收入</w:t>
            </w:r>
          </w:p>
        </w:tc>
        <w:tc>
          <w:tcPr>
            <w:tcW w:w="4697"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支出</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项目</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行次</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2"/>
                <w:szCs w:val="22"/>
              </w:rPr>
            </w:pPr>
            <w:r>
              <w:rPr>
                <w:rFonts w:hint="eastAsia" w:ascii="宋体" w:hAnsi="宋体" w:cs="宋体"/>
                <w:color w:val="000000"/>
                <w:kern w:val="0"/>
                <w:sz w:val="22"/>
                <w:szCs w:val="22"/>
              </w:rPr>
              <w:t>金额</w:t>
            </w:r>
          </w:p>
        </w:tc>
      </w:tr>
      <w:tr>
        <w:tblPrEx>
          <w:tblCellMar>
            <w:top w:w="0" w:type="dxa"/>
            <w:left w:w="0" w:type="dxa"/>
            <w:bottom w:w="0" w:type="dxa"/>
            <w:right w:w="0" w:type="dxa"/>
          </w:tblCellMar>
        </w:tblPrEx>
        <w:trPr>
          <w:trHeight w:val="29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rPr>
                <w:rFonts w:ascii="宋体" w:cs="宋体"/>
                <w:color w:val="000000"/>
                <w:sz w:val="20"/>
                <w:szCs w:val="20"/>
              </w:rPr>
            </w:pP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hint="eastAsia" w:ascii="宋体" w:hAnsi="宋体" w:cs="宋体"/>
                <w:color w:val="000000"/>
                <w:kern w:val="0"/>
                <w:sz w:val="20"/>
                <w:szCs w:val="20"/>
              </w:rPr>
              <w:t>栏次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rPr>
                <w:rFonts w:ascii="宋体" w:cs="宋体"/>
                <w:color w:val="000000"/>
                <w:sz w:val="20"/>
                <w:szCs w:val="20"/>
              </w:rPr>
            </w:pP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exact"/>
              <w:jc w:val="center"/>
              <w:textAlignment w:val="center"/>
              <w:rPr>
                <w:rFonts w:ascii="宋体" w:cs="宋体"/>
                <w:color w:val="000000"/>
                <w:sz w:val="20"/>
                <w:szCs w:val="20"/>
              </w:rPr>
            </w:pPr>
            <w:r>
              <w:rPr>
                <w:rFonts w:ascii="宋体" w:hAnsi="宋体" w:cs="宋体"/>
                <w:color w:val="000000"/>
                <w:kern w:val="0"/>
                <w:sz w:val="20"/>
                <w:szCs w:val="20"/>
              </w:rPr>
              <w:t>2</w:t>
            </w:r>
          </w:p>
        </w:tc>
      </w:tr>
      <w:tr>
        <w:tblPrEx>
          <w:tblCellMar>
            <w:top w:w="0" w:type="dxa"/>
            <w:left w:w="0" w:type="dxa"/>
            <w:bottom w:w="0" w:type="dxa"/>
            <w:right w:w="0" w:type="dxa"/>
          </w:tblCellMar>
        </w:tblPrEx>
        <w:trPr>
          <w:trHeight w:val="36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一、财政拨款收入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lang w:val="en-US" w:eastAsia="zh-CN"/>
              </w:rPr>
              <w:t>732.75</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一、一般公共服务支出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lang w:val="en-US" w:eastAsia="zh-CN"/>
              </w:rPr>
              <w:t>5.00</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二、上级补助收入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二、外交支出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三、事业收入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三、国防支出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四、经营收入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四、公共安全支出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五、附属单位上缴收入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五、教育支出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六、其他收入</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六、科学技术支出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七、文化体育与传媒支出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8</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八、社会保障和就业支出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35</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lang w:val="en-US" w:eastAsia="zh-CN"/>
              </w:rPr>
              <w:t>540.78</w:t>
            </w: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9</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九、医疗卫生与计划生育支出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36</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lang w:val="en-US" w:eastAsia="zh-CN"/>
              </w:rPr>
              <w:t>177.52</w:t>
            </w:r>
          </w:p>
        </w:tc>
      </w:tr>
      <w:tr>
        <w:tblPrEx>
          <w:tblCellMar>
            <w:top w:w="0" w:type="dxa"/>
            <w:left w:w="0" w:type="dxa"/>
            <w:bottom w:w="0" w:type="dxa"/>
            <w:right w:w="0" w:type="dxa"/>
          </w:tblCellMar>
        </w:tblPrEx>
        <w:trPr>
          <w:trHeight w:val="352"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10</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十、节能环保支出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37</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十一、城乡社区支出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十二、农林水支出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39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十三、交通运输支出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十四、资源勘探信息等支出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十五、商业服务业等支出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十六、金融支出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十七、援助其他地区支出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18</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十八、国土海洋气象等支出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45</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19</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十九、住房保障支出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46</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20</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二十、粮油物资储备支出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47</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both"/>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21</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二十一、其他支出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48</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22</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二十二、债务还本支出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49</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rPr>
                <w:rFonts w:ascii="宋体" w:cs="宋体"/>
                <w:color w:val="000000"/>
                <w:sz w:val="20"/>
                <w:szCs w:val="20"/>
              </w:rPr>
            </w:pP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23</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二十三、债务付息支出</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50</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24</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r>
              <w:rPr>
                <w:rFonts w:hint="eastAsia" w:ascii="宋体" w:cs="宋体"/>
                <w:color w:val="000000"/>
                <w:sz w:val="18"/>
                <w:szCs w:val="18"/>
                <w:lang w:val="en-US" w:eastAsia="zh-CN"/>
              </w:rPr>
              <w:t>732.75</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hint="eastAsia" w:ascii="宋体" w:hAnsi="宋体" w:cs="宋体"/>
                <w:color w:val="000000"/>
                <w:kern w:val="0"/>
                <w:sz w:val="20"/>
                <w:szCs w:val="20"/>
              </w:rPr>
              <w:t>本年支出合计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51</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lang w:val="en-US" w:eastAsia="zh-CN"/>
              </w:rPr>
              <w:t>732.75</w:t>
            </w:r>
          </w:p>
        </w:tc>
      </w:tr>
      <w:tr>
        <w:tblPrEx>
          <w:tblCellMar>
            <w:top w:w="0" w:type="dxa"/>
            <w:left w:w="0" w:type="dxa"/>
            <w:bottom w:w="0" w:type="dxa"/>
            <w:right w:w="0" w:type="dxa"/>
          </w:tblCellMar>
        </w:tblPrEx>
        <w:trPr>
          <w:trHeight w:val="385"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用事业基金弥补收支差额</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25</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结余分配</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52</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年初结转和结余</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26</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left"/>
              <w:textAlignment w:val="center"/>
              <w:rPr>
                <w:rFonts w:ascii="宋体" w:cs="宋体"/>
                <w:color w:val="000000"/>
                <w:sz w:val="20"/>
                <w:szCs w:val="20"/>
              </w:rPr>
            </w:pPr>
            <w:r>
              <w:rPr>
                <w:rFonts w:hint="eastAsia" w:ascii="宋体" w:hAnsi="宋体" w:cs="宋体"/>
                <w:color w:val="000000"/>
                <w:kern w:val="0"/>
                <w:sz w:val="20"/>
                <w:szCs w:val="20"/>
              </w:rPr>
              <w:t>年末结转和结余</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53</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20"/>
                <w:szCs w:val="20"/>
              </w:rPr>
            </w:pPr>
          </w:p>
        </w:tc>
      </w:tr>
      <w:tr>
        <w:tblPrEx>
          <w:tblCellMar>
            <w:top w:w="0" w:type="dxa"/>
            <w:left w:w="0" w:type="dxa"/>
            <w:bottom w:w="0" w:type="dxa"/>
            <w:right w:w="0" w:type="dxa"/>
          </w:tblCellMar>
        </w:tblPrEx>
        <w:trPr>
          <w:trHeight w:val="337" w:hRule="atLeast"/>
          <w:jc w:val="center"/>
        </w:trPr>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27</w:t>
            </w:r>
          </w:p>
        </w:tc>
        <w:tc>
          <w:tcPr>
            <w:tcW w:w="133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18"/>
                <w:szCs w:val="18"/>
              </w:rPr>
            </w:pPr>
            <w:r>
              <w:rPr>
                <w:rFonts w:hint="eastAsia" w:ascii="宋体" w:cs="宋体"/>
                <w:color w:val="000000"/>
                <w:sz w:val="18"/>
                <w:szCs w:val="18"/>
                <w:lang w:val="en-US" w:eastAsia="zh-CN"/>
              </w:rPr>
              <w:t>732.75</w:t>
            </w:r>
          </w:p>
        </w:tc>
        <w:tc>
          <w:tcPr>
            <w:tcW w:w="270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00" w:lineRule="exact"/>
              <w:jc w:val="center"/>
              <w:textAlignment w:val="center"/>
              <w:rPr>
                <w:rFonts w:ascii="宋体" w:cs="宋体"/>
                <w:b/>
                <w:color w:val="000000"/>
                <w:sz w:val="20"/>
                <w:szCs w:val="20"/>
              </w:rPr>
            </w:pPr>
            <w:r>
              <w:rPr>
                <w:rFonts w:hint="eastAsia" w:ascii="宋体" w:hAnsi="宋体" w:cs="宋体"/>
                <w:b/>
                <w:color w:val="000000"/>
                <w:kern w:val="0"/>
                <w:sz w:val="20"/>
                <w:szCs w:val="20"/>
              </w:rPr>
              <w:t>总计</w:t>
            </w:r>
          </w:p>
        </w:tc>
        <w:tc>
          <w:tcPr>
            <w:tcW w:w="56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center"/>
              <w:textAlignment w:val="center"/>
              <w:rPr>
                <w:rFonts w:ascii="宋体" w:cs="宋体"/>
                <w:color w:val="000000"/>
                <w:sz w:val="20"/>
                <w:szCs w:val="20"/>
              </w:rPr>
            </w:pPr>
            <w:r>
              <w:rPr>
                <w:rFonts w:ascii="宋体" w:hAnsi="宋体" w:cs="宋体"/>
                <w:color w:val="000000"/>
                <w:kern w:val="0"/>
                <w:sz w:val="20"/>
                <w:szCs w:val="20"/>
              </w:rPr>
              <w:t>54</w:t>
            </w:r>
          </w:p>
        </w:tc>
        <w:tc>
          <w:tcPr>
            <w:tcW w:w="143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00" w:lineRule="exact"/>
              <w:jc w:val="right"/>
              <w:rPr>
                <w:rFonts w:ascii="宋体" w:cs="宋体"/>
                <w:color w:val="000000"/>
                <w:sz w:val="20"/>
                <w:szCs w:val="20"/>
              </w:rPr>
            </w:pPr>
            <w:r>
              <w:rPr>
                <w:rFonts w:hint="eastAsia" w:ascii="宋体" w:cs="宋体"/>
                <w:color w:val="000000"/>
                <w:sz w:val="20"/>
                <w:szCs w:val="20"/>
                <w:lang w:val="en-US" w:eastAsia="zh-CN"/>
              </w:rPr>
              <w:t>732.75</w:t>
            </w:r>
          </w:p>
        </w:tc>
      </w:tr>
      <w:tr>
        <w:tblPrEx>
          <w:tblCellMar>
            <w:top w:w="0" w:type="dxa"/>
            <w:left w:w="0" w:type="dxa"/>
            <w:bottom w:w="0" w:type="dxa"/>
            <w:right w:w="0" w:type="dxa"/>
          </w:tblCellMar>
        </w:tblPrEx>
        <w:trPr>
          <w:trHeight w:val="417" w:hRule="atLeast"/>
          <w:jc w:val="center"/>
        </w:trPr>
        <w:tc>
          <w:tcPr>
            <w:tcW w:w="9300" w:type="dxa"/>
            <w:gridSpan w:val="6"/>
            <w:tcBorders>
              <w:top w:val="nil"/>
              <w:left w:val="nil"/>
              <w:bottom w:val="nil"/>
              <w:right w:val="nil"/>
            </w:tcBorders>
            <w:tcMar>
              <w:top w:w="15" w:type="dxa"/>
              <w:left w:w="15" w:type="dxa"/>
              <w:right w:w="15" w:type="dxa"/>
            </w:tcMar>
            <w:vAlign w:val="center"/>
          </w:tcPr>
          <w:p>
            <w:pPr>
              <w:widowControl/>
              <w:spacing w:after="0" w:line="200" w:lineRule="exact"/>
              <w:jc w:val="left"/>
              <w:textAlignment w:val="center"/>
              <w:rPr>
                <w:rFonts w:ascii="宋体" w:cs="宋体"/>
                <w:color w:val="000000"/>
                <w:szCs w:val="21"/>
              </w:rPr>
            </w:pPr>
            <w:r>
              <w:rPr>
                <w:rFonts w:hint="eastAsia" w:ascii="宋体" w:hAnsi="宋体" w:cs="宋体"/>
                <w:color w:val="000000"/>
                <w:kern w:val="0"/>
                <w:szCs w:val="21"/>
              </w:rPr>
              <w:t>注：本表反映部门本年度的总收支和年末结转结余情况。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162" w:type="dxa"/>
        <w:jc w:val="center"/>
        <w:tblLayout w:type="fixed"/>
        <w:tblCellMar>
          <w:top w:w="0" w:type="dxa"/>
          <w:left w:w="0" w:type="dxa"/>
          <w:bottom w:w="0" w:type="dxa"/>
          <w:right w:w="0" w:type="dxa"/>
        </w:tblCellMar>
      </w:tblPr>
      <w:tblGrid>
        <w:gridCol w:w="670"/>
        <w:gridCol w:w="240"/>
        <w:gridCol w:w="240"/>
        <w:gridCol w:w="2135"/>
        <w:gridCol w:w="91"/>
        <w:gridCol w:w="463"/>
        <w:gridCol w:w="90"/>
        <w:gridCol w:w="640"/>
        <w:gridCol w:w="416"/>
        <w:gridCol w:w="405"/>
        <w:gridCol w:w="219"/>
        <w:gridCol w:w="395"/>
        <w:gridCol w:w="265"/>
        <w:gridCol w:w="60"/>
        <w:gridCol w:w="442"/>
        <w:gridCol w:w="112"/>
        <w:gridCol w:w="186"/>
        <w:gridCol w:w="420"/>
        <w:gridCol w:w="72"/>
        <w:gridCol w:w="168"/>
        <w:gridCol w:w="670"/>
        <w:gridCol w:w="763"/>
      </w:tblGrid>
      <w:tr>
        <w:tblPrEx>
          <w:tblCellMar>
            <w:top w:w="0" w:type="dxa"/>
            <w:left w:w="0" w:type="dxa"/>
            <w:bottom w:w="0" w:type="dxa"/>
            <w:right w:w="0" w:type="dxa"/>
          </w:tblCellMar>
        </w:tblPrEx>
        <w:trPr>
          <w:trHeight w:val="817" w:hRule="atLeast"/>
          <w:jc w:val="center"/>
        </w:trPr>
        <w:tc>
          <w:tcPr>
            <w:tcW w:w="9162" w:type="dxa"/>
            <w:gridSpan w:val="22"/>
            <w:tcBorders>
              <w:top w:val="nil"/>
              <w:left w:val="nil"/>
              <w:bottom w:val="nil"/>
              <w:right w:val="nil"/>
            </w:tcBorders>
            <w:noWrap/>
            <w:tcMar>
              <w:top w:w="15" w:type="dxa"/>
              <w:left w:w="15" w:type="dxa"/>
              <w:right w:w="15" w:type="dxa"/>
            </w:tcMar>
            <w:vAlign w:val="bottom"/>
          </w:tcPr>
          <w:p>
            <w:pPr>
              <w:widowControl/>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收入决</w:t>
            </w:r>
            <w:r>
              <w:pict>
                <v:group id="组合 34" o:spid="_x0000_s1044" o:spt="203" style="position:absolute;left:0pt;margin-left:-82.75pt;margin-top:-81.1pt;height:41.2pt;width:243.2pt;mso-position-vertical-relative:page;z-index:251675648;mso-width-relative:page;mso-height-relative:page;" coordorigin="4551,52615" coordsize="8546,1398">
                  <o:lock v:ext="edit"/>
                  <v:rect id="矩形 13" o:spid="_x0000_s1045" o:spt="1" style="position:absolute;left:4551;top:52615;height:1175;width:8546;v-text-anchor:middle;" fillcolor="#96DA9D" filled="t" stroked="f" coordsize="21600,21600">
                    <v:path/>
                    <v:fill on="t" focussize="0,0"/>
                    <v:stroke on="f" weight="2pt"/>
                    <v:imagedata o:title=""/>
                    <o:lock v:ext="edit"/>
                  </v:rect>
                  <v:rect id="矩形 14" o:spid="_x0000_s104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算表</w:t>
            </w:r>
          </w:p>
        </w:tc>
      </w:tr>
      <w:tr>
        <w:tblPrEx>
          <w:tblCellMar>
            <w:top w:w="0" w:type="dxa"/>
            <w:left w:w="0" w:type="dxa"/>
            <w:bottom w:w="0" w:type="dxa"/>
            <w:right w:w="0" w:type="dxa"/>
          </w:tblCellMar>
        </w:tblPrEx>
        <w:trPr>
          <w:trHeight w:val="400" w:hRule="atLeast"/>
          <w:jc w:val="center"/>
        </w:trPr>
        <w:tc>
          <w:tcPr>
            <w:tcW w:w="67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4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13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91"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463"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551" w:type="dxa"/>
            <w:gridSpan w:val="4"/>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614"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767"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790" w:type="dxa"/>
            <w:gridSpan w:val="4"/>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601" w:type="dxa"/>
            <w:gridSpan w:val="3"/>
            <w:tcBorders>
              <w:top w:val="nil"/>
              <w:left w:val="nil"/>
              <w:bottom w:val="nil"/>
              <w:right w:val="nil"/>
            </w:tcBorders>
            <w:noWrap/>
            <w:tcMar>
              <w:top w:w="15" w:type="dxa"/>
              <w:left w:w="15" w:type="dxa"/>
              <w:right w:w="15" w:type="dxa"/>
            </w:tcMar>
            <w:vAlign w:val="center"/>
          </w:tcPr>
          <w:p>
            <w:pPr>
              <w:widowControl/>
              <w:spacing w:after="0" w:line="240" w:lineRule="atLeast"/>
              <w:jc w:val="both"/>
              <w:textAlignment w:val="center"/>
              <w:rPr>
                <w:rFonts w:ascii="宋体" w:cs="宋体"/>
                <w:color w:val="000000"/>
                <w:szCs w:val="21"/>
              </w:rPr>
            </w:pP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公开</w:t>
            </w:r>
            <w:r>
              <w:rPr>
                <w:rFonts w:ascii="宋体" w:hAnsi="宋体" w:cs="宋体"/>
                <w:color w:val="000000"/>
                <w:kern w:val="0"/>
                <w:szCs w:val="21"/>
              </w:rPr>
              <w:t>02</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400" w:hRule="atLeast"/>
          <w:jc w:val="center"/>
        </w:trPr>
        <w:tc>
          <w:tcPr>
            <w:tcW w:w="3839" w:type="dxa"/>
            <w:gridSpan w:val="6"/>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hint="default" w:ascii="宋体" w:eastAsia="宋体" w:cs="宋体"/>
                <w:color w:val="000000"/>
                <w:szCs w:val="21"/>
                <w:lang w:val="en-US" w:eastAsia="zh-CN"/>
              </w:rPr>
            </w:pPr>
            <w:r>
              <w:rPr>
                <w:rFonts w:hint="eastAsia" w:ascii="宋体" w:hAnsi="宋体" w:cs="宋体"/>
                <w:color w:val="000000"/>
                <w:kern w:val="0"/>
                <w:szCs w:val="21"/>
              </w:rPr>
              <w:t>部门</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中共阜平县委老干部局</w:t>
            </w:r>
          </w:p>
        </w:tc>
        <w:tc>
          <w:tcPr>
            <w:tcW w:w="9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056"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284" w:type="dxa"/>
            <w:gridSpan w:val="4"/>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614"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606"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673" w:type="dxa"/>
            <w:gridSpan w:val="4"/>
            <w:tcBorders>
              <w:top w:val="nil"/>
              <w:left w:val="nil"/>
              <w:bottom w:val="nil"/>
              <w:right w:val="nil"/>
            </w:tcBorders>
            <w:noWrap/>
            <w:tcMar>
              <w:top w:w="15" w:type="dxa"/>
              <w:left w:w="15" w:type="dxa"/>
              <w:right w:w="15" w:type="dxa"/>
            </w:tcMar>
            <w:vAlign w:val="center"/>
          </w:tcPr>
          <w:p>
            <w:pPr>
              <w:widowControl/>
              <w:spacing w:after="0" w:line="240" w:lineRule="atLeast"/>
              <w:ind w:firstLine="210" w:firstLineChars="100"/>
              <w:jc w:val="both"/>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93" w:hRule="atLeast"/>
          <w:jc w:val="center"/>
        </w:trPr>
        <w:tc>
          <w:tcPr>
            <w:tcW w:w="3839" w:type="dxa"/>
            <w:gridSpan w:val="6"/>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项目</w:t>
            </w:r>
          </w:p>
        </w:tc>
        <w:tc>
          <w:tcPr>
            <w:tcW w:w="730" w:type="dxa"/>
            <w:gridSpan w:val="2"/>
            <w:vMerge w:val="restart"/>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本年收入合计</w:t>
            </w:r>
          </w:p>
        </w:tc>
        <w:tc>
          <w:tcPr>
            <w:tcW w:w="1040" w:type="dxa"/>
            <w:gridSpan w:val="3"/>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财政拨款收入</w:t>
            </w:r>
          </w:p>
        </w:tc>
        <w:tc>
          <w:tcPr>
            <w:tcW w:w="720" w:type="dxa"/>
            <w:gridSpan w:val="3"/>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上级补助收入</w:t>
            </w:r>
          </w:p>
        </w:tc>
        <w:tc>
          <w:tcPr>
            <w:tcW w:w="740" w:type="dxa"/>
            <w:gridSpan w:val="3"/>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事业收入</w:t>
            </w:r>
          </w:p>
        </w:tc>
        <w:tc>
          <w:tcPr>
            <w:tcW w:w="660" w:type="dxa"/>
            <w:gridSpan w:val="3"/>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经营收入</w:t>
            </w:r>
          </w:p>
        </w:tc>
        <w:tc>
          <w:tcPr>
            <w:tcW w:w="670" w:type="dxa"/>
            <w:vMerge w:val="restart"/>
            <w:tcBorders>
              <w:top w:val="single" w:color="auto" w:sz="4" w:space="0"/>
              <w:left w:val="nil"/>
              <w:bottom w:val="single" w:color="auto"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附属单位上缴收入</w:t>
            </w:r>
          </w:p>
        </w:tc>
        <w:tc>
          <w:tcPr>
            <w:tcW w:w="763" w:type="dxa"/>
            <w:vMerge w:val="restart"/>
            <w:tcBorders>
              <w:top w:val="single" w:color="auto" w:sz="4" w:space="0"/>
              <w:left w:val="nil"/>
              <w:bottom w:val="single" w:color="auto" w:sz="4" w:space="0"/>
              <w:right w:val="single" w:color="auto"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r>
              <w:rPr>
                <w:rFonts w:hint="eastAsia" w:ascii="宋体" w:hAnsi="宋体" w:cs="宋体"/>
                <w:color w:val="000000"/>
                <w:kern w:val="0"/>
                <w:sz w:val="20"/>
                <w:szCs w:val="20"/>
              </w:rPr>
              <w:t>其他收入</w:t>
            </w:r>
          </w:p>
        </w:tc>
      </w:tr>
      <w:tr>
        <w:tblPrEx>
          <w:tblCellMar>
            <w:top w:w="0" w:type="dxa"/>
            <w:left w:w="0" w:type="dxa"/>
            <w:bottom w:w="0" w:type="dxa"/>
            <w:right w:w="0" w:type="dxa"/>
          </w:tblCellMar>
        </w:tblPrEx>
        <w:trPr>
          <w:trHeight w:val="695" w:hRule="atLeast"/>
          <w:jc w:val="center"/>
        </w:trPr>
        <w:tc>
          <w:tcPr>
            <w:tcW w:w="910"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功能分类科目编码</w:t>
            </w:r>
          </w:p>
        </w:tc>
        <w:tc>
          <w:tcPr>
            <w:tcW w:w="2929" w:type="dxa"/>
            <w:gridSpan w:val="4"/>
            <w:tcBorders>
              <w:top w:val="nil"/>
              <w:left w:val="nil"/>
              <w:bottom w:val="single" w:color="000000" w:sz="4" w:space="0"/>
              <w:right w:val="single" w:color="auto"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科目名称</w:t>
            </w:r>
          </w:p>
        </w:tc>
        <w:tc>
          <w:tcPr>
            <w:tcW w:w="730" w:type="dxa"/>
            <w:gridSpan w:val="2"/>
            <w:vMerge w:val="continue"/>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 w:val="20"/>
                <w:szCs w:val="20"/>
              </w:rPr>
            </w:pPr>
          </w:p>
        </w:tc>
        <w:tc>
          <w:tcPr>
            <w:tcW w:w="1040" w:type="dxa"/>
            <w:gridSpan w:val="3"/>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720" w:type="dxa"/>
            <w:gridSpan w:val="3"/>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740" w:type="dxa"/>
            <w:gridSpan w:val="3"/>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660" w:type="dxa"/>
            <w:gridSpan w:val="3"/>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670" w:type="dxa"/>
            <w:vMerge w:val="continue"/>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c>
          <w:tcPr>
            <w:tcW w:w="763" w:type="dxa"/>
            <w:vMerge w:val="continue"/>
            <w:tcBorders>
              <w:top w:val="single" w:color="auto" w:sz="4" w:space="0"/>
              <w:left w:val="nil"/>
              <w:bottom w:val="single" w:color="000000" w:sz="4" w:space="0"/>
              <w:right w:val="single" w:color="auto"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kern w:val="0"/>
                <w:sz w:val="20"/>
                <w:szCs w:val="20"/>
              </w:rPr>
            </w:pPr>
          </w:p>
        </w:tc>
      </w:tr>
      <w:tr>
        <w:tblPrEx>
          <w:tblCellMar>
            <w:top w:w="0" w:type="dxa"/>
            <w:left w:w="0" w:type="dxa"/>
            <w:bottom w:w="0" w:type="dxa"/>
            <w:right w:w="0" w:type="dxa"/>
          </w:tblCellMar>
        </w:tblPrEx>
        <w:trPr>
          <w:trHeight w:val="523" w:hRule="atLeast"/>
          <w:jc w:val="center"/>
        </w:trPr>
        <w:tc>
          <w:tcPr>
            <w:tcW w:w="3839"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73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104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72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74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6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6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r>
      <w:tr>
        <w:tblPrEx>
          <w:tblCellMar>
            <w:top w:w="0" w:type="dxa"/>
            <w:left w:w="0" w:type="dxa"/>
            <w:bottom w:w="0" w:type="dxa"/>
            <w:right w:w="0" w:type="dxa"/>
          </w:tblCellMar>
        </w:tblPrEx>
        <w:trPr>
          <w:trHeight w:val="381" w:hRule="atLeast"/>
          <w:jc w:val="center"/>
        </w:trPr>
        <w:tc>
          <w:tcPr>
            <w:tcW w:w="3839"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730"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r>
              <w:rPr>
                <w:rFonts w:hint="eastAsia" w:ascii="宋体" w:cs="宋体"/>
                <w:b/>
                <w:color w:val="000000"/>
                <w:sz w:val="18"/>
                <w:szCs w:val="18"/>
                <w:lang w:val="en-US" w:eastAsia="zh-CN"/>
              </w:rPr>
              <w:t>732.75</w:t>
            </w:r>
          </w:p>
        </w:tc>
        <w:tc>
          <w:tcPr>
            <w:tcW w:w="1040"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r>
              <w:rPr>
                <w:rFonts w:hint="eastAsia" w:ascii="宋体" w:cs="宋体"/>
                <w:b/>
                <w:color w:val="000000"/>
                <w:sz w:val="18"/>
                <w:szCs w:val="18"/>
                <w:lang w:val="en-US" w:eastAsia="zh-CN"/>
              </w:rPr>
              <w:t>732.75</w:t>
            </w:r>
          </w:p>
        </w:tc>
        <w:tc>
          <w:tcPr>
            <w:tcW w:w="720"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740"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660"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67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c>
          <w:tcPr>
            <w:tcW w:w="76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 w:val="18"/>
                <w:szCs w:val="18"/>
              </w:rPr>
            </w:pPr>
          </w:p>
        </w:tc>
      </w:tr>
      <w:tr>
        <w:tblPrEx>
          <w:tblCellMar>
            <w:top w:w="0" w:type="dxa"/>
            <w:left w:w="0" w:type="dxa"/>
            <w:bottom w:w="0" w:type="dxa"/>
            <w:right w:w="0" w:type="dxa"/>
          </w:tblCellMar>
        </w:tblPrEx>
        <w:trPr>
          <w:trHeight w:val="424"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一般公共服务支出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 xml:space="preserve"> 5.00</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20101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人大事务</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2010102</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一般行政管理事务</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社会保障和就业支出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540.78</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540.78</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行政事业单位离退休</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540.78</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540.78</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归口管理的行政单位离退休</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221.29</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221.29</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2080502</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事业单位离退休</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71.94</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71.94</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2080503</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离退休人员管理机构</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226.43</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226.43</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2080504</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未归口管理的行政单位离退休</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5.50</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5.50</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2080505</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机关事业单位基本医疗保险缴费支出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15.62</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15.62</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医疗卫生与计划生育支出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177.52</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177.52</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21011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行政事业单位医疗</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170.12</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 xml:space="preserve"> 170.12</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2101101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行政单位医疗</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116.46</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116.46</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2101102</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事业单位医疗</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53.66</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53.66</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21099</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其他医疗卫生与计划生育支出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7.40</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7.40</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2109901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其他医疗卫生与计划生育支出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7.40</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7.40</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221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住房保障支出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9.46</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9.46</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09"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22102</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住房改革支出</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9.46</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9.46</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474" w:hRule="atLeast"/>
          <w:jc w:val="center"/>
        </w:trPr>
        <w:tc>
          <w:tcPr>
            <w:tcW w:w="910"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2210201</w:t>
            </w:r>
          </w:p>
        </w:tc>
        <w:tc>
          <w:tcPr>
            <w:tcW w:w="2929" w:type="dxa"/>
            <w:gridSpan w:val="4"/>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住房公积金</w:t>
            </w:r>
          </w:p>
        </w:tc>
        <w:tc>
          <w:tcPr>
            <w:tcW w:w="73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9.46</w:t>
            </w:r>
          </w:p>
        </w:tc>
        <w:tc>
          <w:tcPr>
            <w:tcW w:w="10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9.46</w:t>
            </w:r>
          </w:p>
        </w:tc>
        <w:tc>
          <w:tcPr>
            <w:tcW w:w="72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4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7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7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517" w:hRule="atLeast"/>
          <w:jc w:val="center"/>
        </w:trPr>
        <w:tc>
          <w:tcPr>
            <w:tcW w:w="9162" w:type="dxa"/>
            <w:gridSpan w:val="22"/>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注：本表反映部门本年度取得的各项收入情况。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74" w:type="dxa"/>
        <w:tblInd w:w="0" w:type="dxa"/>
        <w:tblLayout w:type="fixed"/>
        <w:tblCellMar>
          <w:top w:w="0" w:type="dxa"/>
          <w:left w:w="0" w:type="dxa"/>
          <w:bottom w:w="0" w:type="dxa"/>
          <w:right w:w="0" w:type="dxa"/>
        </w:tblCellMar>
      </w:tblPr>
      <w:tblGrid>
        <w:gridCol w:w="281"/>
        <w:gridCol w:w="280"/>
        <w:gridCol w:w="489"/>
        <w:gridCol w:w="1989"/>
        <w:gridCol w:w="1110"/>
        <w:gridCol w:w="223"/>
        <w:gridCol w:w="666"/>
        <w:gridCol w:w="413"/>
        <w:gridCol w:w="610"/>
        <w:gridCol w:w="472"/>
        <w:gridCol w:w="417"/>
        <w:gridCol w:w="663"/>
        <w:gridCol w:w="651"/>
        <w:gridCol w:w="610"/>
      </w:tblGrid>
      <w:tr>
        <w:tblPrEx>
          <w:tblCellMar>
            <w:top w:w="0" w:type="dxa"/>
            <w:left w:w="0" w:type="dxa"/>
            <w:bottom w:w="0" w:type="dxa"/>
            <w:right w:w="0" w:type="dxa"/>
          </w:tblCellMar>
        </w:tblPrEx>
        <w:trPr>
          <w:trHeight w:val="708" w:hRule="atLeast"/>
        </w:trPr>
        <w:tc>
          <w:tcPr>
            <w:tcW w:w="8874" w:type="dxa"/>
            <w:gridSpan w:val="14"/>
            <w:tcBorders>
              <w:top w:val="nil"/>
              <w:left w:val="nil"/>
              <w:bottom w:val="nil"/>
              <w:right w:val="nil"/>
            </w:tcBorders>
            <w:noWrap/>
            <w:tcMar>
              <w:top w:w="15" w:type="dxa"/>
              <w:left w:w="15" w:type="dxa"/>
              <w:right w:w="15" w:type="dxa"/>
            </w:tcMar>
            <w:vAlign w:val="center"/>
          </w:tcPr>
          <w:p>
            <w:pPr>
              <w:widowControl/>
              <w:spacing w:after="0" w:line="240" w:lineRule="atLeast"/>
              <w:jc w:val="center"/>
              <w:rPr>
                <w:rFonts w:ascii="黑体" w:hAnsi="宋体" w:eastAsia="黑体" w:cs="黑体"/>
                <w:color w:val="000000"/>
                <w:sz w:val="40"/>
                <w:szCs w:val="40"/>
              </w:rPr>
            </w:pPr>
            <w:r>
              <w:rPr>
                <w:rFonts w:hint="eastAsia" w:ascii="黑体" w:hAnsi="宋体" w:eastAsia="黑体" w:cs="黑体"/>
                <w:color w:val="000000"/>
                <w:kern w:val="0"/>
                <w:sz w:val="40"/>
                <w:szCs w:val="40"/>
              </w:rPr>
              <w:t>支出决算</w:t>
            </w:r>
            <w:r>
              <w:pict>
                <v:group id="组合 38" o:spid="_x0000_s1047" o:spt="203" style="position:absolute;left:0pt;margin-left:-80.9pt;margin-top:-81.1pt;height:41.2pt;width:243.2pt;mso-position-vertical-relative:page;z-index:251676672;mso-width-relative:page;mso-height-relative:page;" coordorigin="4551,52615" coordsize="8546,1398">
                  <o:lock v:ext="edit"/>
                  <v:rect id="矩形 13" o:spid="_x0000_s1048" o:spt="1" style="position:absolute;left:4551;top:52615;height:1175;width:8546;v-text-anchor:middle;" fillcolor="#96DA9D" filled="t" stroked="f" coordsize="21600,21600">
                    <v:path/>
                    <v:fill on="t" focussize="0,0"/>
                    <v:stroke on="f" weight="2pt"/>
                    <v:imagedata o:title=""/>
                    <o:lock v:ext="edit"/>
                  </v:rect>
                  <v:rect id="矩形 14" o:spid="_x0000_s104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表</w:t>
            </w:r>
          </w:p>
        </w:tc>
      </w:tr>
      <w:tr>
        <w:tblPrEx>
          <w:tblCellMar>
            <w:top w:w="0" w:type="dxa"/>
            <w:left w:w="0" w:type="dxa"/>
            <w:bottom w:w="0" w:type="dxa"/>
            <w:right w:w="0" w:type="dxa"/>
          </w:tblCellMar>
        </w:tblPrEx>
        <w:trPr>
          <w:trHeight w:val="259" w:hRule="atLeast"/>
        </w:trPr>
        <w:tc>
          <w:tcPr>
            <w:tcW w:w="281"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8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489"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099"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23"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079"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082"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080"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26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ind w:firstLine="210" w:firstLineChars="100"/>
              <w:jc w:val="both"/>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03</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295" w:hRule="atLeast"/>
        </w:trPr>
        <w:tc>
          <w:tcPr>
            <w:tcW w:w="3039" w:type="dxa"/>
            <w:gridSpan w:val="4"/>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hint="default" w:ascii="宋体" w:eastAsia="宋体" w:cs="宋体"/>
                <w:color w:val="000000"/>
                <w:szCs w:val="21"/>
                <w:lang w:val="en-US" w:eastAsia="zh-CN"/>
              </w:rPr>
            </w:pPr>
            <w:r>
              <w:rPr>
                <w:rFonts w:hint="eastAsia" w:ascii="宋体" w:hAnsi="宋体" w:cs="宋体"/>
                <w:color w:val="000000"/>
                <w:kern w:val="0"/>
                <w:szCs w:val="21"/>
              </w:rPr>
              <w:t>部门：</w:t>
            </w:r>
            <w:r>
              <w:rPr>
                <w:rFonts w:hint="eastAsia" w:ascii="宋体" w:hAnsi="宋体" w:cs="宋体"/>
                <w:color w:val="000000"/>
                <w:kern w:val="0"/>
                <w:szCs w:val="21"/>
                <w:lang w:val="en-US" w:eastAsia="zh-CN"/>
              </w:rPr>
              <w:t>中共阜平县委老干部局</w:t>
            </w:r>
          </w:p>
        </w:tc>
        <w:tc>
          <w:tcPr>
            <w:tcW w:w="111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889"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023"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2813" w:type="dxa"/>
            <w:gridSpan w:val="5"/>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677" w:hRule="atLeast"/>
        </w:trPr>
        <w:tc>
          <w:tcPr>
            <w:tcW w:w="414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w:t>
            </w:r>
          </w:p>
        </w:tc>
        <w:tc>
          <w:tcPr>
            <w:tcW w:w="889" w:type="dxa"/>
            <w:gridSpan w:val="2"/>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本年支出合计</w:t>
            </w:r>
          </w:p>
        </w:tc>
        <w:tc>
          <w:tcPr>
            <w:tcW w:w="1023" w:type="dxa"/>
            <w:gridSpan w:val="2"/>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基本支出</w:t>
            </w:r>
          </w:p>
        </w:tc>
        <w:tc>
          <w:tcPr>
            <w:tcW w:w="889" w:type="dxa"/>
            <w:gridSpan w:val="2"/>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项目支出</w:t>
            </w:r>
          </w:p>
        </w:tc>
        <w:tc>
          <w:tcPr>
            <w:tcW w:w="663" w:type="dxa"/>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上缴上级支出</w:t>
            </w:r>
          </w:p>
        </w:tc>
        <w:tc>
          <w:tcPr>
            <w:tcW w:w="651" w:type="dxa"/>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经营支出</w:t>
            </w:r>
          </w:p>
        </w:tc>
        <w:tc>
          <w:tcPr>
            <w:tcW w:w="610" w:type="dxa"/>
            <w:vMerge w:val="restart"/>
            <w:tcBorders>
              <w:top w:val="single" w:color="000000" w:sz="4" w:space="0"/>
              <w:left w:val="nil"/>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对附属单位补助支出</w:t>
            </w:r>
          </w:p>
        </w:tc>
      </w:tr>
      <w:tr>
        <w:tblPrEx>
          <w:tblCellMar>
            <w:top w:w="0" w:type="dxa"/>
            <w:left w:w="0" w:type="dxa"/>
            <w:bottom w:w="0" w:type="dxa"/>
            <w:right w:w="0" w:type="dxa"/>
          </w:tblCellMar>
        </w:tblPrEx>
        <w:trPr>
          <w:trHeight w:val="693" w:hRule="atLeast"/>
        </w:trPr>
        <w:tc>
          <w:tcPr>
            <w:tcW w:w="1050"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科目名称</w:t>
            </w:r>
          </w:p>
        </w:tc>
        <w:tc>
          <w:tcPr>
            <w:tcW w:w="889"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023"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889" w:type="dxa"/>
            <w:gridSpan w:val="2"/>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663" w:type="dxa"/>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651" w:type="dxa"/>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610" w:type="dxa"/>
            <w:vMerge w:val="continue"/>
            <w:tcBorders>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trHeight w:val="395" w:hRule="atLeast"/>
        </w:trPr>
        <w:tc>
          <w:tcPr>
            <w:tcW w:w="4149"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栏次</w:t>
            </w:r>
          </w:p>
        </w:tc>
        <w:tc>
          <w:tcPr>
            <w:tcW w:w="889"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1</w:t>
            </w:r>
          </w:p>
        </w:tc>
        <w:tc>
          <w:tcPr>
            <w:tcW w:w="1023"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2</w:t>
            </w:r>
          </w:p>
        </w:tc>
        <w:tc>
          <w:tcPr>
            <w:tcW w:w="889"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3</w:t>
            </w:r>
          </w:p>
        </w:tc>
        <w:tc>
          <w:tcPr>
            <w:tcW w:w="663"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4</w:t>
            </w:r>
          </w:p>
        </w:tc>
        <w:tc>
          <w:tcPr>
            <w:tcW w:w="65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5</w:t>
            </w:r>
          </w:p>
        </w:tc>
        <w:tc>
          <w:tcPr>
            <w:tcW w:w="61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440" w:hRule="atLeast"/>
        </w:trPr>
        <w:tc>
          <w:tcPr>
            <w:tcW w:w="4149"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合计</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b/>
                <w:color w:val="000000"/>
                <w:szCs w:val="21"/>
              </w:rPr>
            </w:pPr>
            <w:r>
              <w:rPr>
                <w:rFonts w:hint="eastAsia" w:ascii="宋体" w:hAnsi="宋体" w:cs="宋体"/>
                <w:color w:val="000000"/>
                <w:kern w:val="0"/>
                <w:sz w:val="18"/>
                <w:szCs w:val="18"/>
                <w:lang w:val="en-US" w:eastAsia="zh-CN"/>
              </w:rPr>
              <w:t>732.75</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b/>
                <w:color w:val="000000"/>
                <w:szCs w:val="21"/>
              </w:rPr>
            </w:pPr>
            <w:r>
              <w:rPr>
                <w:rFonts w:hint="eastAsia" w:ascii="宋体" w:hAnsi="宋体" w:cs="宋体"/>
                <w:color w:val="000000"/>
                <w:kern w:val="0"/>
                <w:sz w:val="18"/>
                <w:szCs w:val="18"/>
                <w:lang w:val="en-US" w:eastAsia="zh-CN"/>
              </w:rPr>
              <w:t>513.93</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hint="default" w:ascii="宋体" w:cs="宋体"/>
                <w:b/>
                <w:color w:val="000000"/>
                <w:szCs w:val="21"/>
                <w:lang w:val="en-US"/>
              </w:rPr>
            </w:pPr>
            <w:r>
              <w:rPr>
                <w:rFonts w:hint="eastAsia" w:ascii="宋体" w:hAnsi="宋体" w:cs="宋体"/>
                <w:color w:val="000000"/>
                <w:kern w:val="0"/>
                <w:sz w:val="18"/>
                <w:szCs w:val="18"/>
                <w:lang w:val="en-US" w:eastAsia="zh-CN"/>
              </w:rPr>
              <w:t>218.82</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b/>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一般公共服务支出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cs="宋体"/>
                <w:color w:val="000000"/>
                <w:szCs w:val="21"/>
              </w:rPr>
            </w:pPr>
            <w:r>
              <w:rPr>
                <w:rFonts w:hint="eastAsia" w:ascii="宋体" w:hAnsi="宋体" w:cs="宋体"/>
                <w:color w:val="000000"/>
                <w:kern w:val="0"/>
                <w:sz w:val="18"/>
                <w:szCs w:val="18"/>
                <w:lang w:val="en-US" w:eastAsia="zh-CN"/>
              </w:rPr>
              <w:t>5.00</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20101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人大事务</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2010102</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一般行政管理事务</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5.00</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社会保障和就业支出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540.78</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499.34</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41.43</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行政事业单位离退休</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540.78</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499.34</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41.43</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归口管理的行政单位离退休</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221.29</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221.29</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2080502</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事业单位离退休</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71.94</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71.94</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2080503</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离退休人员管理机构</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226.43</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185.00</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41.43</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2080504</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未归口管理的行政单位离退休</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5.50</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5.50</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2080505</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机关事业单位基本医疗保险缴费支出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15.62</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15.62</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医疗卫生与计划生育支出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177.52</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5.13</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172.39</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21011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行政事业单位医疗</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170.12</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r>
              <w:rPr>
                <w:rFonts w:hint="eastAsia" w:ascii="宋体" w:cs="宋体"/>
                <w:color w:val="000000"/>
                <w:sz w:val="18"/>
                <w:szCs w:val="18"/>
                <w:lang w:val="en-US" w:eastAsia="zh-CN"/>
              </w:rPr>
              <w:t xml:space="preserve">       5.13</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164.99</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2101101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行政单位医疗</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116.46</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5.13</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111.33</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2101102</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事业单位医疗</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53.66</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hAnsi="宋体" w:cs="宋体"/>
                <w:color w:val="000000"/>
                <w:kern w:val="0"/>
                <w:sz w:val="18"/>
                <w:szCs w:val="18"/>
                <w:lang w:val="en-US" w:eastAsia="zh-CN"/>
              </w:rPr>
              <w:t>53.66</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21099</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其他医疗卫生与计划生育支出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7.40</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hAnsi="宋体" w:cs="宋体"/>
                <w:color w:val="000000"/>
                <w:kern w:val="0"/>
                <w:sz w:val="18"/>
                <w:szCs w:val="18"/>
                <w:lang w:val="en-US" w:eastAsia="zh-CN"/>
              </w:rPr>
              <w:t>7.40</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2109901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其他医疗卫生与计划生育支出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 w:val="18"/>
                <w:szCs w:val="18"/>
                <w:lang w:val="en-US" w:eastAsia="zh-CN"/>
              </w:rPr>
              <w:t>7.40</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hAnsi="宋体" w:cs="宋体"/>
                <w:color w:val="000000"/>
                <w:kern w:val="0"/>
                <w:sz w:val="18"/>
                <w:szCs w:val="18"/>
                <w:lang w:val="en-US" w:eastAsia="zh-CN"/>
              </w:rPr>
              <w:t>7.40</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221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住房保障支出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rPr>
            </w:pPr>
            <w:r>
              <w:rPr>
                <w:rFonts w:hint="eastAsia" w:ascii="宋体" w:cs="宋体"/>
                <w:color w:val="000000"/>
                <w:sz w:val="18"/>
                <w:szCs w:val="18"/>
                <w:lang w:val="en-US" w:eastAsia="zh-CN"/>
              </w:rPr>
              <w:t>9.46</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rPr>
            </w:pPr>
            <w:r>
              <w:rPr>
                <w:rFonts w:hint="eastAsia" w:ascii="宋体" w:cs="宋体"/>
                <w:color w:val="000000"/>
                <w:sz w:val="18"/>
                <w:szCs w:val="18"/>
                <w:lang w:val="en-US" w:eastAsia="zh-CN"/>
              </w:rPr>
              <w:t>9.46</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22102</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住房改革支出</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rPr>
            </w:pPr>
            <w:r>
              <w:rPr>
                <w:rFonts w:hint="eastAsia" w:ascii="宋体" w:cs="宋体"/>
                <w:color w:val="000000"/>
                <w:sz w:val="18"/>
                <w:szCs w:val="18"/>
                <w:lang w:val="en-US" w:eastAsia="zh-CN"/>
              </w:rPr>
              <w:t>9.46</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rPr>
            </w:pPr>
            <w:r>
              <w:rPr>
                <w:rFonts w:hint="eastAsia" w:ascii="宋体" w:cs="宋体"/>
                <w:color w:val="000000"/>
                <w:sz w:val="18"/>
                <w:szCs w:val="18"/>
                <w:lang w:val="en-US" w:eastAsia="zh-CN"/>
              </w:rPr>
              <w:t>9.46</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397" w:hRule="atLeast"/>
        </w:trPr>
        <w:tc>
          <w:tcPr>
            <w:tcW w:w="1050"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val="en-US" w:eastAsia="zh-CN"/>
              </w:rPr>
              <w:t>2210201</w:t>
            </w:r>
          </w:p>
        </w:tc>
        <w:tc>
          <w:tcPr>
            <w:tcW w:w="309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住房公积金</w:t>
            </w: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rPr>
            </w:pPr>
            <w:r>
              <w:rPr>
                <w:rFonts w:hint="eastAsia" w:ascii="宋体" w:cs="宋体"/>
                <w:color w:val="000000"/>
                <w:sz w:val="18"/>
                <w:szCs w:val="18"/>
                <w:lang w:val="en-US" w:eastAsia="zh-CN"/>
              </w:rPr>
              <w:t>9.46</w:t>
            </w:r>
          </w:p>
        </w:tc>
        <w:tc>
          <w:tcPr>
            <w:tcW w:w="1023"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889"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rPr>
            </w:pPr>
            <w:r>
              <w:rPr>
                <w:rFonts w:hint="eastAsia" w:ascii="宋体" w:cs="宋体"/>
                <w:color w:val="000000"/>
                <w:sz w:val="18"/>
                <w:szCs w:val="18"/>
                <w:lang w:val="en-US" w:eastAsia="zh-CN"/>
              </w:rPr>
              <w:t>9.46</w:t>
            </w:r>
          </w:p>
        </w:tc>
        <w:tc>
          <w:tcPr>
            <w:tcW w:w="663"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51"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61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trHeight w:val="748" w:hRule="atLeast"/>
        </w:trPr>
        <w:tc>
          <w:tcPr>
            <w:tcW w:w="8874" w:type="dxa"/>
            <w:gridSpan w:val="14"/>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注：本表反映部门本年度各项支出情况。</w:t>
            </w:r>
          </w:p>
        </w:tc>
      </w:tr>
    </w:tbl>
    <w:p>
      <w:pPr>
        <w:widowControl/>
        <w:spacing w:after="0" w:line="560" w:lineRule="exact"/>
        <w:ind w:firstLine="562" w:firstLineChars="200"/>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717"/>
        <w:gridCol w:w="745"/>
        <w:gridCol w:w="325"/>
        <w:gridCol w:w="850"/>
        <w:gridCol w:w="2124"/>
        <w:gridCol w:w="191"/>
        <w:gridCol w:w="360"/>
        <w:gridCol w:w="650"/>
        <w:gridCol w:w="226"/>
        <w:gridCol w:w="599"/>
        <w:gridCol w:w="277"/>
        <w:gridCol w:w="876"/>
      </w:tblGrid>
      <w:tr>
        <w:tblPrEx>
          <w:tblCellMar>
            <w:top w:w="0" w:type="dxa"/>
            <w:left w:w="0" w:type="dxa"/>
            <w:bottom w:w="0" w:type="dxa"/>
            <w:right w:w="0" w:type="dxa"/>
          </w:tblCellMar>
        </w:tblPrEx>
        <w:trPr>
          <w:trHeight w:val="152" w:hRule="atLeast"/>
        </w:trPr>
        <w:tc>
          <w:tcPr>
            <w:tcW w:w="8940" w:type="dxa"/>
            <w:gridSpan w:val="12"/>
            <w:tcBorders>
              <w:top w:val="nil"/>
              <w:left w:val="nil"/>
              <w:bottom w:val="nil"/>
              <w:right w:val="nil"/>
            </w:tcBorders>
            <w:noWrap/>
            <w:tcMar>
              <w:top w:w="15" w:type="dxa"/>
              <w:left w:w="15" w:type="dxa"/>
              <w:right w:w="15" w:type="dxa"/>
            </w:tcMar>
            <w:vAlign w:val="center"/>
          </w:tcPr>
          <w:p>
            <w:pPr>
              <w:widowControl/>
              <w:spacing w:after="0" w:line="240" w:lineRule="atLeast"/>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财政拨款收入支出决</w:t>
            </w:r>
            <w:r>
              <w:pict>
                <v:group id="组合 43" o:spid="_x0000_s1050" o:spt="203" style="position:absolute;left:0pt;margin-left:-80.9pt;margin-top:-81.1pt;height:41.2pt;width:243.2pt;mso-position-vertical-relative:page;z-index:251677696;mso-width-relative:page;mso-height-relative:page;" coordorigin="4551,52615" coordsize="8546,1398">
                  <o:lock v:ext="edit"/>
                  <v:rect id="矩形 13" o:spid="_x0000_s1051" o:spt="1" style="position:absolute;left:4551;top:52615;height:1175;width:8546;v-text-anchor:middle;" fillcolor="#96DA9D" filled="t" stroked="f" coordsize="21600,21600">
                    <v:path/>
                    <v:fill on="t" focussize="0,0"/>
                    <v:stroke on="f" weight="2pt"/>
                    <v:imagedata o:title=""/>
                    <o:lock v:ext="edit"/>
                  </v:rect>
                  <v:rect id="矩形 14" o:spid="_x0000_s105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算总表</w:t>
            </w:r>
          </w:p>
        </w:tc>
      </w:tr>
      <w:tr>
        <w:tblPrEx>
          <w:tblCellMar>
            <w:top w:w="0" w:type="dxa"/>
            <w:left w:w="0" w:type="dxa"/>
            <w:bottom w:w="0" w:type="dxa"/>
            <w:right w:w="0" w:type="dxa"/>
          </w:tblCellMar>
        </w:tblPrEx>
        <w:trPr>
          <w:trHeight w:val="90" w:hRule="atLeast"/>
        </w:trPr>
        <w:tc>
          <w:tcPr>
            <w:tcW w:w="171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74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325"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2974"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551"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65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825" w:type="dxa"/>
            <w:gridSpan w:val="2"/>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153" w:type="dxa"/>
            <w:gridSpan w:val="2"/>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04</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152" w:hRule="atLeast"/>
        </w:trPr>
        <w:tc>
          <w:tcPr>
            <w:tcW w:w="6312" w:type="dxa"/>
            <w:gridSpan w:val="7"/>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hint="default" w:ascii="宋体" w:eastAsia="宋体" w:cs="宋体"/>
                <w:color w:val="000000"/>
                <w:sz w:val="20"/>
                <w:szCs w:val="20"/>
                <w:lang w:val="en-US" w:eastAsia="zh-CN"/>
              </w:rPr>
            </w:pPr>
            <w:r>
              <w:rPr>
                <w:rFonts w:hint="eastAsia" w:ascii="宋体" w:hAnsi="宋体" w:cs="宋体"/>
                <w:color w:val="000000"/>
                <w:kern w:val="0"/>
                <w:sz w:val="20"/>
                <w:szCs w:val="20"/>
              </w:rPr>
              <w:t>部门：</w:t>
            </w:r>
            <w:r>
              <w:rPr>
                <w:rFonts w:hint="eastAsia" w:ascii="宋体" w:hAnsi="宋体" w:cs="宋体"/>
                <w:color w:val="000000"/>
                <w:kern w:val="0"/>
                <w:sz w:val="20"/>
                <w:szCs w:val="20"/>
                <w:lang w:val="en-US" w:eastAsia="zh-CN"/>
              </w:rPr>
              <w:t>中共阜平县委老干部局</w:t>
            </w:r>
          </w:p>
        </w:tc>
        <w:tc>
          <w:tcPr>
            <w:tcW w:w="65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 w:val="20"/>
                <w:szCs w:val="20"/>
              </w:rPr>
            </w:pPr>
          </w:p>
        </w:tc>
        <w:tc>
          <w:tcPr>
            <w:tcW w:w="1978" w:type="dxa"/>
            <w:gridSpan w:val="4"/>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90" w:hRule="atLeast"/>
        </w:trPr>
        <w:tc>
          <w:tcPr>
            <w:tcW w:w="2787"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收</w:t>
            </w:r>
            <w:r>
              <w:rPr>
                <w:rFonts w:ascii="宋体" w:hAnsi="宋体" w:cs="宋体"/>
                <w:color w:val="000000"/>
                <w:kern w:val="0"/>
                <w:sz w:val="20"/>
                <w:szCs w:val="20"/>
              </w:rPr>
              <w:t xml:space="preserve">     </w:t>
            </w:r>
            <w:r>
              <w:rPr>
                <w:rFonts w:hint="eastAsia" w:ascii="宋体" w:hAnsi="宋体" w:cs="宋体"/>
                <w:color w:val="000000"/>
                <w:kern w:val="0"/>
                <w:sz w:val="20"/>
                <w:szCs w:val="20"/>
              </w:rPr>
              <w:t>入</w:t>
            </w:r>
          </w:p>
        </w:tc>
        <w:tc>
          <w:tcPr>
            <w:tcW w:w="6153" w:type="dxa"/>
            <w:gridSpan w:val="9"/>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20"/>
                <w:szCs w:val="20"/>
              </w:rPr>
            </w:pPr>
            <w:r>
              <w:rPr>
                <w:rFonts w:hint="eastAsia" w:ascii="宋体" w:hAnsi="宋体" w:cs="宋体"/>
                <w:color w:val="000000"/>
                <w:kern w:val="0"/>
                <w:sz w:val="20"/>
                <w:szCs w:val="20"/>
              </w:rPr>
              <w:t>支</w:t>
            </w:r>
            <w:r>
              <w:rPr>
                <w:rFonts w:ascii="宋体" w:hAnsi="宋体" w:cs="宋体"/>
                <w:color w:val="000000"/>
                <w:kern w:val="0"/>
                <w:sz w:val="20"/>
                <w:szCs w:val="20"/>
              </w:rPr>
              <w:t xml:space="preserve">     </w:t>
            </w:r>
            <w:r>
              <w:rPr>
                <w:rFonts w:hint="eastAsia" w:ascii="宋体" w:hAnsi="宋体" w:cs="宋体"/>
                <w:color w:val="000000"/>
                <w:kern w:val="0"/>
                <w:sz w:val="20"/>
                <w:szCs w:val="20"/>
              </w:rPr>
              <w:t>出</w:t>
            </w:r>
          </w:p>
        </w:tc>
      </w:tr>
      <w:tr>
        <w:tblPrEx>
          <w:tblCellMar>
            <w:top w:w="0" w:type="dxa"/>
            <w:left w:w="0" w:type="dxa"/>
            <w:bottom w:w="0" w:type="dxa"/>
            <w:right w:w="0" w:type="dxa"/>
          </w:tblCellMar>
        </w:tblPrEx>
        <w:trPr>
          <w:trHeight w:val="17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25"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5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金额</w:t>
            </w:r>
          </w:p>
        </w:tc>
        <w:tc>
          <w:tcPr>
            <w:tcW w:w="2315"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项目</w:t>
            </w:r>
          </w:p>
        </w:tc>
        <w:tc>
          <w:tcPr>
            <w:tcW w:w="360"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行次</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合计</w:t>
            </w:r>
          </w:p>
        </w:tc>
        <w:tc>
          <w:tcPr>
            <w:tcW w:w="876"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一般公共预算财政拨款</w:t>
            </w:r>
          </w:p>
        </w:tc>
        <w:tc>
          <w:tcPr>
            <w:tcW w:w="876" w:type="dxa"/>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政府性基金预算财政拨款</w:t>
            </w: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hint="eastAsia" w:ascii="宋体" w:hAnsi="宋体" w:cs="宋体"/>
                <w:color w:val="000000"/>
                <w:kern w:val="0"/>
                <w:sz w:val="18"/>
                <w:szCs w:val="18"/>
              </w:rPr>
              <w:t>栏次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732.75</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一、一般公共服务支出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5.00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5.00</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二、政府性基金预算财政拨款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二、外交支出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三、国防支出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四、公共安全支出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五、教育支出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六、科学技术支出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七、文化体育与传媒支出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八、社会保障和就业支出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540.78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540.78</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9</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6"/>
                <w:szCs w:val="16"/>
              </w:rPr>
              <w:t>九、医疗卫生与计划生育支出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177.52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177.52</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10</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十、节能环保支出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十一、城乡社区支出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39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十二、农林水支出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十三、交通运输支出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十四、资源勘探信息等支出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十五、商业服务业等支出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十六、金融支出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十七、援助其他地区支出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十八、国土海洋气象等支出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19</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十九、住房保障支出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47</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 w:val="18"/>
                <w:szCs w:val="18"/>
                <w:lang w:val="en-US"/>
              </w:rPr>
            </w:pPr>
            <w:r>
              <w:rPr>
                <w:rFonts w:hint="eastAsia" w:ascii="宋体" w:cs="宋体"/>
                <w:color w:val="000000"/>
                <w:sz w:val="18"/>
                <w:szCs w:val="18"/>
                <w:lang w:val="en-US" w:eastAsia="zh-CN"/>
              </w:rPr>
              <w:t>9.46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 w:val="18"/>
                <w:szCs w:val="18"/>
                <w:lang w:val="en-US"/>
              </w:rPr>
            </w:pPr>
            <w:r>
              <w:rPr>
                <w:rFonts w:hint="eastAsia" w:ascii="宋体" w:cs="宋体"/>
                <w:color w:val="000000"/>
                <w:sz w:val="18"/>
                <w:szCs w:val="18"/>
                <w:lang w:val="en-US" w:eastAsia="zh-CN"/>
              </w:rPr>
              <w:t>9.46</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20</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二十、粮油物资储备支出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48</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21</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二十一、其他支出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49</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22</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二十二、债务还本支出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50</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23</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二十三、债务付息支出</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51</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本年收入合计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24</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732.75</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本年支出合计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52</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lang w:val="en-US" w:eastAsia="zh-CN"/>
              </w:rPr>
              <w:t xml:space="preserve">   732.75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732.75</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年初财政拨款结转和结余</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25</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年末财政拨款结转和结余</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53</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ascii="宋体" w:hAnsi="宋体" w:cs="宋体"/>
                <w:color w:val="000000"/>
                <w:kern w:val="0"/>
                <w:sz w:val="18"/>
                <w:szCs w:val="18"/>
              </w:rPr>
              <w:t xml:space="preserve">  </w:t>
            </w:r>
            <w:r>
              <w:rPr>
                <w:rFonts w:hint="eastAsia" w:ascii="宋体" w:hAnsi="宋体" w:cs="宋体"/>
                <w:color w:val="000000"/>
                <w:kern w:val="0"/>
                <w:sz w:val="18"/>
                <w:szCs w:val="18"/>
              </w:rPr>
              <w:t>一般公共预算财政拨款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26</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54</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2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ascii="宋体" w:hAnsi="宋体" w:cs="宋体"/>
                <w:color w:val="000000"/>
                <w:kern w:val="0"/>
                <w:sz w:val="18"/>
                <w:szCs w:val="18"/>
              </w:rPr>
              <w:t xml:space="preserve">  </w:t>
            </w:r>
            <w:r>
              <w:rPr>
                <w:rFonts w:hint="eastAsia" w:ascii="宋体" w:hAnsi="宋体" w:cs="宋体"/>
                <w:color w:val="000000"/>
                <w:kern w:val="0"/>
                <w:sz w:val="18"/>
                <w:szCs w:val="18"/>
              </w:rPr>
              <w:t>政府性基金预算财政拨款</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27</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 w:val="18"/>
                <w:szCs w:val="18"/>
              </w:rPr>
            </w:pP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90" w:hRule="atLeast"/>
        </w:trPr>
        <w:tc>
          <w:tcPr>
            <w:tcW w:w="2462"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28</w:t>
            </w:r>
          </w:p>
        </w:tc>
        <w:tc>
          <w:tcPr>
            <w:tcW w:w="85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 w:val="18"/>
                <w:szCs w:val="18"/>
              </w:rPr>
            </w:pPr>
            <w:r>
              <w:rPr>
                <w:rFonts w:hint="eastAsia" w:ascii="宋体" w:cs="宋体"/>
                <w:color w:val="000000"/>
                <w:sz w:val="18"/>
                <w:szCs w:val="18"/>
                <w:lang w:val="en-US" w:eastAsia="zh-CN"/>
              </w:rPr>
              <w:t xml:space="preserve">   732.75</w:t>
            </w:r>
          </w:p>
        </w:tc>
        <w:tc>
          <w:tcPr>
            <w:tcW w:w="231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b/>
                <w:color w:val="000000"/>
                <w:sz w:val="18"/>
                <w:szCs w:val="18"/>
              </w:rPr>
            </w:pPr>
            <w:r>
              <w:rPr>
                <w:rFonts w:hint="eastAsia" w:ascii="宋体" w:hAnsi="宋体" w:cs="宋体"/>
                <w:b/>
                <w:color w:val="000000"/>
                <w:kern w:val="0"/>
                <w:sz w:val="18"/>
                <w:szCs w:val="18"/>
              </w:rPr>
              <w:t>总计</w:t>
            </w:r>
          </w:p>
        </w:tc>
        <w:tc>
          <w:tcPr>
            <w:tcW w:w="36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 w:val="18"/>
                <w:szCs w:val="18"/>
              </w:rPr>
            </w:pPr>
            <w:r>
              <w:rPr>
                <w:rFonts w:ascii="宋体" w:hAnsi="宋体" w:cs="宋体"/>
                <w:color w:val="000000"/>
                <w:kern w:val="0"/>
                <w:sz w:val="18"/>
                <w:szCs w:val="18"/>
              </w:rPr>
              <w:t>56</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732.75</w:t>
            </w:r>
          </w:p>
        </w:tc>
        <w:tc>
          <w:tcPr>
            <w:tcW w:w="876"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r>
              <w:rPr>
                <w:rFonts w:hint="eastAsia" w:ascii="宋体" w:cs="宋体"/>
                <w:color w:val="000000"/>
                <w:sz w:val="18"/>
                <w:szCs w:val="18"/>
                <w:lang w:val="en-US" w:eastAsia="zh-CN"/>
              </w:rPr>
              <w:t>732.75</w:t>
            </w:r>
          </w:p>
        </w:tc>
        <w:tc>
          <w:tcPr>
            <w:tcW w:w="876"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 w:val="18"/>
                <w:szCs w:val="18"/>
              </w:rPr>
            </w:pPr>
          </w:p>
        </w:tc>
      </w:tr>
      <w:tr>
        <w:tblPrEx>
          <w:tblCellMar>
            <w:top w:w="0" w:type="dxa"/>
            <w:left w:w="0" w:type="dxa"/>
            <w:bottom w:w="0" w:type="dxa"/>
            <w:right w:w="0" w:type="dxa"/>
          </w:tblCellMar>
        </w:tblPrEx>
        <w:trPr>
          <w:trHeight w:val="155" w:hRule="atLeast"/>
        </w:trPr>
        <w:tc>
          <w:tcPr>
            <w:tcW w:w="8940" w:type="dxa"/>
            <w:gridSpan w:val="12"/>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 w:val="18"/>
                <w:szCs w:val="18"/>
              </w:rPr>
            </w:pPr>
            <w:r>
              <w:rPr>
                <w:rFonts w:hint="eastAsia" w:ascii="宋体" w:hAnsi="宋体" w:cs="宋体"/>
                <w:color w:val="000000"/>
                <w:kern w:val="0"/>
                <w:sz w:val="18"/>
                <w:szCs w:val="18"/>
              </w:rPr>
              <w:t>注：本表反映部门本年度一般公共预算财政拨款和政府性基金预算财政拨款的总收支和年末结转结余情况。</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058" w:type="dxa"/>
        <w:tblInd w:w="0" w:type="dxa"/>
        <w:tblLayout w:type="fixed"/>
        <w:tblCellMar>
          <w:top w:w="0" w:type="dxa"/>
          <w:left w:w="0" w:type="dxa"/>
          <w:bottom w:w="0" w:type="dxa"/>
          <w:right w:w="0" w:type="dxa"/>
        </w:tblCellMar>
      </w:tblPr>
      <w:tblGrid>
        <w:gridCol w:w="317"/>
        <w:gridCol w:w="319"/>
        <w:gridCol w:w="357"/>
        <w:gridCol w:w="3052"/>
        <w:gridCol w:w="90"/>
        <w:gridCol w:w="1550"/>
        <w:gridCol w:w="54"/>
        <w:gridCol w:w="288"/>
        <w:gridCol w:w="1218"/>
        <w:gridCol w:w="1615"/>
        <w:gridCol w:w="198"/>
      </w:tblGrid>
      <w:tr>
        <w:tblPrEx>
          <w:tblCellMar>
            <w:top w:w="0" w:type="dxa"/>
            <w:left w:w="0" w:type="dxa"/>
            <w:bottom w:w="0" w:type="dxa"/>
            <w:right w:w="0" w:type="dxa"/>
          </w:tblCellMar>
        </w:tblPrEx>
        <w:trPr>
          <w:gridAfter w:val="1"/>
          <w:wAfter w:w="198" w:type="dxa"/>
          <w:trHeight w:val="600" w:hRule="atLeast"/>
        </w:trPr>
        <w:tc>
          <w:tcPr>
            <w:tcW w:w="8860" w:type="dxa"/>
            <w:gridSpan w:val="10"/>
            <w:tcBorders>
              <w:top w:val="nil"/>
              <w:left w:val="nil"/>
              <w:bottom w:val="nil"/>
              <w:right w:val="nil"/>
            </w:tcBorders>
            <w:noWrap/>
            <w:tcMar>
              <w:top w:w="15" w:type="dxa"/>
              <w:left w:w="15" w:type="dxa"/>
              <w:right w:w="15" w:type="dxa"/>
            </w:tcMar>
            <w:vAlign w:val="bottom"/>
          </w:tcPr>
          <w:p>
            <w:pPr>
              <w:widowControl/>
              <w:spacing w:after="0" w:line="240" w:lineRule="auto"/>
              <w:jc w:val="center"/>
              <w:textAlignment w:val="bottom"/>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w:t>
            </w:r>
            <w:r>
              <w:pict>
                <v:group id="组合 46" o:spid="_x0000_s1053" o:spt="203" style="position:absolute;left:0pt;margin-left:-80.9pt;margin-top:-81.1pt;height:41.2pt;width:243.2pt;mso-position-vertical-relative:page;z-index:251678720;mso-width-relative:page;mso-height-relative:page;" coordorigin="4551,52615" coordsize="8546,1398">
                  <o:lock v:ext="edit"/>
                  <v:rect id="矩形 13" o:spid="_x0000_s1054" o:spt="1" style="position:absolute;left:4551;top:52615;height:1175;width:8546;v-text-anchor:middle;" fillcolor="#96DA9D" filled="t" stroked="f" coordsize="21600,21600">
                    <v:path/>
                    <v:fill on="t" focussize="0,0"/>
                    <v:stroke on="f" weight="2pt"/>
                    <v:imagedata o:title=""/>
                    <o:lock v:ext="edit"/>
                  </v:rect>
                  <v:rect id="矩形 14" o:spid="_x0000_s105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4" w:hRule="atLeast"/>
        </w:trPr>
        <w:tc>
          <w:tcPr>
            <w:tcW w:w="31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9"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57"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052"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90" w:type="dxa"/>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1892"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031" w:type="dxa"/>
            <w:gridSpan w:val="3"/>
            <w:tcBorders>
              <w:top w:val="nil"/>
              <w:left w:val="nil"/>
              <w:bottom w:val="nil"/>
              <w:right w:val="nil"/>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公开</w:t>
            </w:r>
            <w:r>
              <w:rPr>
                <w:rFonts w:ascii="宋体" w:hAnsi="宋体" w:cs="宋体"/>
                <w:color w:val="000000"/>
                <w:kern w:val="0"/>
                <w:szCs w:val="21"/>
              </w:rPr>
              <w:t>05</w:t>
            </w:r>
            <w:r>
              <w:rPr>
                <w:rFonts w:hint="eastAsia" w:ascii="宋体" w:hAnsi="宋体" w:cs="宋体"/>
                <w:color w:val="000000"/>
                <w:kern w:val="0"/>
                <w:szCs w:val="21"/>
              </w:rPr>
              <w:t>表</w:t>
            </w:r>
          </w:p>
        </w:tc>
      </w:tr>
      <w:tr>
        <w:tblPrEx>
          <w:tblCellMar>
            <w:top w:w="0" w:type="dxa"/>
            <w:left w:w="0" w:type="dxa"/>
            <w:bottom w:w="0" w:type="dxa"/>
            <w:right w:w="0" w:type="dxa"/>
          </w:tblCellMar>
        </w:tblPrEx>
        <w:trPr>
          <w:gridAfter w:val="1"/>
          <w:wAfter w:w="198" w:type="dxa"/>
          <w:trHeight w:val="334" w:hRule="atLeast"/>
        </w:trPr>
        <w:tc>
          <w:tcPr>
            <w:tcW w:w="4045" w:type="dxa"/>
            <w:gridSpan w:val="4"/>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部门：</w:t>
            </w:r>
            <w:r>
              <w:rPr>
                <w:rFonts w:hint="eastAsia" w:ascii="宋体" w:hAnsi="宋体" w:cs="宋体"/>
                <w:color w:val="000000"/>
                <w:kern w:val="0"/>
                <w:sz w:val="20"/>
                <w:szCs w:val="20"/>
                <w:lang w:val="en-US" w:eastAsia="zh-CN"/>
              </w:rPr>
              <w:t>中共阜平县委老干部局</w:t>
            </w:r>
          </w:p>
        </w:tc>
        <w:tc>
          <w:tcPr>
            <w:tcW w:w="1694" w:type="dxa"/>
            <w:gridSpan w:val="3"/>
            <w:tcBorders>
              <w:top w:val="nil"/>
              <w:left w:val="nil"/>
              <w:bottom w:val="nil"/>
              <w:right w:val="nil"/>
            </w:tcBorders>
            <w:noWrap/>
            <w:tcMar>
              <w:top w:w="15" w:type="dxa"/>
              <w:left w:w="15" w:type="dxa"/>
              <w:right w:w="15" w:type="dxa"/>
            </w:tcMar>
            <w:vAlign w:val="center"/>
          </w:tcPr>
          <w:p>
            <w:pPr>
              <w:widowControl/>
              <w:spacing w:after="0" w:line="240" w:lineRule="atLeast"/>
              <w:rPr>
                <w:rFonts w:ascii="Arial" w:hAnsi="Arial" w:cs="Arial"/>
                <w:color w:val="000000"/>
                <w:szCs w:val="21"/>
              </w:rPr>
            </w:pPr>
          </w:p>
        </w:tc>
        <w:tc>
          <w:tcPr>
            <w:tcW w:w="3121" w:type="dxa"/>
            <w:gridSpan w:val="3"/>
            <w:tcBorders>
              <w:top w:val="nil"/>
              <w:left w:val="nil"/>
              <w:bottom w:val="nil"/>
              <w:right w:val="nil"/>
            </w:tcBorders>
            <w:noWrap/>
            <w:tcMar>
              <w:top w:w="15" w:type="dxa"/>
              <w:left w:w="15" w:type="dxa"/>
              <w:right w:w="15" w:type="dxa"/>
            </w:tcMar>
            <w:vAlign w:val="center"/>
          </w:tcPr>
          <w:p>
            <w:pPr>
              <w:widowControl/>
              <w:spacing w:after="0" w:line="240" w:lineRule="atLeast"/>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gridAfter w:val="1"/>
          <w:wAfter w:w="198" w:type="dxa"/>
          <w:trHeight w:val="351" w:hRule="atLeast"/>
        </w:trPr>
        <w:tc>
          <w:tcPr>
            <w:tcW w:w="4045"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w:t>
            </w:r>
          </w:p>
        </w:tc>
        <w:tc>
          <w:tcPr>
            <w:tcW w:w="4815" w:type="dxa"/>
            <w:gridSpan w:val="6"/>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本年支出</w:t>
            </w:r>
          </w:p>
        </w:tc>
      </w:tr>
      <w:tr>
        <w:tblPrEx>
          <w:tblCellMar>
            <w:top w:w="0" w:type="dxa"/>
            <w:left w:w="0" w:type="dxa"/>
            <w:bottom w:w="0" w:type="dxa"/>
            <w:right w:w="0" w:type="dxa"/>
          </w:tblCellMar>
        </w:tblPrEx>
        <w:trPr>
          <w:gridAfter w:val="1"/>
          <w:wAfter w:w="198" w:type="dxa"/>
          <w:trHeight w:val="334" w:hRule="atLeast"/>
        </w:trPr>
        <w:tc>
          <w:tcPr>
            <w:tcW w:w="993"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3052"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科目名称</w:t>
            </w:r>
          </w:p>
        </w:tc>
        <w:tc>
          <w:tcPr>
            <w:tcW w:w="1640" w:type="dxa"/>
            <w:gridSpan w:val="2"/>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小计</w:t>
            </w:r>
          </w:p>
        </w:tc>
        <w:tc>
          <w:tcPr>
            <w:tcW w:w="1560" w:type="dxa"/>
            <w:gridSpan w:val="3"/>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基本支出</w:t>
            </w:r>
          </w:p>
        </w:tc>
        <w:tc>
          <w:tcPr>
            <w:tcW w:w="161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项目支出</w:t>
            </w:r>
          </w:p>
        </w:tc>
      </w:tr>
      <w:tr>
        <w:tblPrEx>
          <w:tblCellMar>
            <w:top w:w="0" w:type="dxa"/>
            <w:left w:w="0" w:type="dxa"/>
            <w:bottom w:w="0" w:type="dxa"/>
            <w:right w:w="0" w:type="dxa"/>
          </w:tblCellMar>
        </w:tblPrEx>
        <w:trPr>
          <w:gridAfter w:val="1"/>
          <w:wAfter w:w="198" w:type="dxa"/>
          <w:trHeight w:val="334" w:hRule="atLeast"/>
        </w:trPr>
        <w:tc>
          <w:tcPr>
            <w:tcW w:w="993"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3052"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640"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560" w:type="dxa"/>
            <w:gridSpan w:val="3"/>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615"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gridAfter w:val="1"/>
          <w:wAfter w:w="198" w:type="dxa"/>
          <w:trHeight w:val="312" w:hRule="atLeast"/>
        </w:trPr>
        <w:tc>
          <w:tcPr>
            <w:tcW w:w="993"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3052"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640" w:type="dxa"/>
            <w:gridSpan w:val="2"/>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560" w:type="dxa"/>
            <w:gridSpan w:val="3"/>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c>
          <w:tcPr>
            <w:tcW w:w="1615"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4045"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栏次</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1</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2</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ascii="宋体" w:hAnsi="宋体" w:cs="宋体"/>
                <w:color w:val="000000"/>
                <w:kern w:val="0"/>
                <w:szCs w:val="21"/>
              </w:rPr>
              <w:t>3</w:t>
            </w:r>
          </w:p>
        </w:tc>
      </w:tr>
      <w:tr>
        <w:tblPrEx>
          <w:tblCellMar>
            <w:top w:w="0" w:type="dxa"/>
            <w:left w:w="0" w:type="dxa"/>
            <w:bottom w:w="0" w:type="dxa"/>
            <w:right w:w="0" w:type="dxa"/>
          </w:tblCellMar>
        </w:tblPrEx>
        <w:trPr>
          <w:gridAfter w:val="1"/>
          <w:wAfter w:w="198" w:type="dxa"/>
          <w:trHeight w:val="368" w:hRule="atLeast"/>
        </w:trPr>
        <w:tc>
          <w:tcPr>
            <w:tcW w:w="4045"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textAlignment w:val="center"/>
              <w:rPr>
                <w:rFonts w:ascii="宋体" w:cs="宋体"/>
                <w:color w:val="000000"/>
                <w:szCs w:val="21"/>
              </w:rPr>
            </w:pPr>
            <w:r>
              <w:rPr>
                <w:rFonts w:hint="eastAsia" w:ascii="宋体" w:hAnsi="宋体" w:cs="宋体"/>
                <w:color w:val="000000"/>
                <w:kern w:val="0"/>
                <w:szCs w:val="21"/>
              </w:rPr>
              <w:t>合计</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eastAsia="宋体" w:cs="宋体"/>
                <w:b/>
                <w:color w:val="000000"/>
                <w:szCs w:val="21"/>
                <w:lang w:val="en-US" w:eastAsia="zh-CN"/>
              </w:rPr>
            </w:pPr>
            <w:r>
              <w:rPr>
                <w:rFonts w:hint="eastAsia" w:ascii="宋体" w:cs="宋体"/>
                <w:b/>
                <w:color w:val="000000"/>
                <w:szCs w:val="21"/>
                <w:lang w:val="en-US" w:eastAsia="zh-CN"/>
              </w:rPr>
              <w:t>732.75</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eastAsia="宋体" w:cs="宋体"/>
                <w:b/>
                <w:color w:val="000000"/>
                <w:szCs w:val="21"/>
                <w:lang w:val="en-US" w:eastAsia="zh-CN"/>
              </w:rPr>
            </w:pPr>
            <w:r>
              <w:rPr>
                <w:rFonts w:hint="eastAsia" w:ascii="宋体" w:cs="宋体"/>
                <w:b/>
                <w:color w:val="000000"/>
                <w:szCs w:val="21"/>
                <w:lang w:val="en-US" w:eastAsia="zh-CN"/>
              </w:rPr>
              <w:t>513.93</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eastAsia="宋体" w:cs="宋体"/>
                <w:b/>
                <w:color w:val="000000"/>
                <w:szCs w:val="21"/>
                <w:lang w:val="en-US" w:eastAsia="zh-CN"/>
              </w:rPr>
            </w:pPr>
            <w:r>
              <w:rPr>
                <w:rFonts w:hint="eastAsia" w:ascii="宋体" w:cs="宋体"/>
                <w:b/>
                <w:color w:val="000000"/>
                <w:szCs w:val="21"/>
                <w:lang w:val="en-US" w:eastAsia="zh-CN"/>
              </w:rPr>
              <w:t>218.82</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一般公共服务支出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5.00</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5.00</w:t>
            </w:r>
          </w:p>
        </w:tc>
      </w:tr>
      <w:tr>
        <w:tblPrEx>
          <w:tblCellMar>
            <w:top w:w="0" w:type="dxa"/>
            <w:left w:w="0" w:type="dxa"/>
            <w:bottom w:w="0" w:type="dxa"/>
            <w:right w:w="0" w:type="dxa"/>
          </w:tblCellMar>
        </w:tblPrEx>
        <w:trPr>
          <w:gridAfter w:val="1"/>
          <w:wAfter w:w="198" w:type="dxa"/>
          <w:trHeight w:val="374"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20101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人大事务</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 xml:space="preserve">      5.00</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5.00</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2010102</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一般行政管理事务</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5.00</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5.00</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208</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社会保障和就业支出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540.78</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499.34</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41.43</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20805</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行政事业单位离退休</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540.78</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499.34</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41.43</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2080501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归口管理的行政单位离退休</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221.29</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221.29</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center"/>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2080502</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事业单位离退休</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71.94</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71.94</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2080503</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离退休人员管理机构</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226.43</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185.00</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41.43</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Cs w:val="21"/>
                <w:lang w:val="en-US" w:eastAsia="zh-CN"/>
              </w:rPr>
              <w:t>2080504</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ascii="宋体" w:cs="宋体"/>
                <w:color w:val="000000"/>
                <w:szCs w:val="21"/>
              </w:rPr>
            </w:pPr>
            <w:r>
              <w:rPr>
                <w:rFonts w:hint="eastAsia" w:ascii="宋体" w:cs="宋体"/>
                <w:color w:val="000000"/>
                <w:sz w:val="18"/>
                <w:szCs w:val="18"/>
                <w:lang w:eastAsia="zh-CN"/>
              </w:rPr>
              <w:t>未归口管理的行政单位离退休</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5.50</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5.50</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2080505</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机关事业单位基本医疗保险缴费支出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15.62</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15.62</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210</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医疗卫生与计划生育支出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177.52</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5.13</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172.39</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21011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行政事业单位医疗</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170.12</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5.13</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164.99</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2101101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行政单位医疗</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116.46</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5.13</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111.33</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2101102</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事业单位医疗</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53.66</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53.66</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21099</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其他医疗卫生与计划生育支出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7.40</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7.40</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2109901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其他医疗卫生与计划生育支出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7.40</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r>
              <w:rPr>
                <w:rFonts w:hint="eastAsia" w:ascii="宋体" w:cs="宋体"/>
                <w:color w:val="000000"/>
                <w:szCs w:val="21"/>
                <w:lang w:val="en-US" w:eastAsia="zh-CN"/>
              </w:rPr>
              <w:t>7.40</w:t>
            </w: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221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住房保障支出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9.46</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eastAsia="zh-CN"/>
              </w:rPr>
            </w:pPr>
            <w:r>
              <w:rPr>
                <w:rFonts w:hint="eastAsia" w:ascii="宋体" w:cs="宋体"/>
                <w:color w:val="000000"/>
                <w:szCs w:val="21"/>
                <w:lang w:val="en-US" w:eastAsia="zh-CN"/>
              </w:rPr>
              <w:t>9.46</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22102</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住房改革支出</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eastAsia" w:ascii="宋体" w:cs="宋体"/>
                <w:color w:val="000000"/>
                <w:szCs w:val="21"/>
                <w:lang w:val="en-US" w:eastAsia="zh-CN"/>
              </w:rPr>
            </w:pPr>
            <w:r>
              <w:rPr>
                <w:rFonts w:hint="eastAsia" w:ascii="宋体" w:cs="宋体"/>
                <w:color w:val="000000"/>
                <w:szCs w:val="21"/>
                <w:lang w:val="en-US" w:eastAsia="zh-CN"/>
              </w:rPr>
              <w:t>9.46</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eastAsia="zh-CN"/>
              </w:rPr>
            </w:pPr>
            <w:r>
              <w:rPr>
                <w:rFonts w:hint="eastAsia" w:ascii="宋体" w:cs="宋体"/>
                <w:color w:val="000000"/>
                <w:szCs w:val="21"/>
                <w:lang w:val="en-US" w:eastAsia="zh-CN"/>
              </w:rPr>
              <w:t>9.46</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993"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Cs w:val="21"/>
                <w:lang w:val="en-US" w:eastAsia="zh-CN"/>
              </w:rPr>
            </w:pPr>
            <w:r>
              <w:rPr>
                <w:rFonts w:hint="eastAsia" w:ascii="宋体" w:cs="宋体"/>
                <w:color w:val="000000"/>
                <w:szCs w:val="21"/>
                <w:lang w:val="en-US" w:eastAsia="zh-CN"/>
              </w:rPr>
              <w:t>2210201</w:t>
            </w:r>
          </w:p>
        </w:tc>
        <w:tc>
          <w:tcPr>
            <w:tcW w:w="3052"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left"/>
              <w:rPr>
                <w:rFonts w:hint="eastAsia" w:ascii="宋体" w:cs="宋体"/>
                <w:color w:val="000000"/>
                <w:sz w:val="18"/>
                <w:szCs w:val="18"/>
                <w:lang w:eastAsia="zh-CN"/>
              </w:rPr>
            </w:pPr>
            <w:r>
              <w:rPr>
                <w:rFonts w:hint="eastAsia" w:ascii="宋体" w:cs="宋体"/>
                <w:color w:val="000000"/>
                <w:sz w:val="18"/>
                <w:szCs w:val="18"/>
                <w:lang w:eastAsia="zh-CN"/>
              </w:rPr>
              <w:t>住房公积金</w:t>
            </w:r>
          </w:p>
        </w:tc>
        <w:tc>
          <w:tcPr>
            <w:tcW w:w="1640"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eastAsia="zh-CN"/>
              </w:rPr>
            </w:pPr>
            <w:r>
              <w:rPr>
                <w:rFonts w:hint="eastAsia" w:ascii="宋体" w:cs="宋体"/>
                <w:color w:val="000000"/>
                <w:szCs w:val="21"/>
                <w:lang w:val="en-US" w:eastAsia="zh-CN"/>
              </w:rPr>
              <w:t>9.46</w:t>
            </w:r>
          </w:p>
        </w:tc>
        <w:tc>
          <w:tcPr>
            <w:tcW w:w="1560" w:type="dxa"/>
            <w:gridSpan w:val="3"/>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hint="default" w:ascii="宋体" w:cs="宋体"/>
                <w:color w:val="000000"/>
                <w:szCs w:val="21"/>
                <w:lang w:val="en-US" w:eastAsia="zh-CN"/>
              </w:rPr>
            </w:pPr>
            <w:r>
              <w:rPr>
                <w:rFonts w:hint="eastAsia" w:ascii="宋体" w:cs="宋体"/>
                <w:color w:val="000000"/>
                <w:szCs w:val="21"/>
                <w:lang w:val="en-US" w:eastAsia="zh-CN"/>
              </w:rPr>
              <w:t>9.46</w:t>
            </w:r>
          </w:p>
        </w:tc>
        <w:tc>
          <w:tcPr>
            <w:tcW w:w="161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tLeast"/>
              <w:jc w:val="right"/>
              <w:rPr>
                <w:rFonts w:ascii="宋体" w:cs="宋体"/>
                <w:color w:val="000000"/>
                <w:szCs w:val="21"/>
              </w:rPr>
            </w:pPr>
          </w:p>
        </w:tc>
      </w:tr>
      <w:tr>
        <w:tblPrEx>
          <w:tblCellMar>
            <w:top w:w="0" w:type="dxa"/>
            <w:left w:w="0" w:type="dxa"/>
            <w:bottom w:w="0" w:type="dxa"/>
            <w:right w:w="0" w:type="dxa"/>
          </w:tblCellMar>
        </w:tblPrEx>
        <w:trPr>
          <w:gridAfter w:val="1"/>
          <w:wAfter w:w="198" w:type="dxa"/>
          <w:trHeight w:val="368" w:hRule="atLeast"/>
        </w:trPr>
        <w:tc>
          <w:tcPr>
            <w:tcW w:w="8860" w:type="dxa"/>
            <w:gridSpan w:val="10"/>
            <w:tcBorders>
              <w:top w:val="nil"/>
              <w:left w:val="nil"/>
              <w:bottom w:val="nil"/>
              <w:right w:val="nil"/>
            </w:tcBorders>
            <w:noWrap/>
            <w:tcMar>
              <w:top w:w="15" w:type="dxa"/>
              <w:left w:w="15" w:type="dxa"/>
              <w:right w:w="15" w:type="dxa"/>
            </w:tcMar>
            <w:vAlign w:val="center"/>
          </w:tcPr>
          <w:p>
            <w:pPr>
              <w:widowControl/>
              <w:spacing w:after="0" w:line="240" w:lineRule="atLeast"/>
              <w:jc w:val="left"/>
              <w:textAlignment w:val="center"/>
              <w:rPr>
                <w:rFonts w:ascii="宋体" w:cs="宋体"/>
                <w:color w:val="000000"/>
                <w:szCs w:val="21"/>
              </w:rPr>
            </w:pPr>
            <w:r>
              <w:rPr>
                <w:rFonts w:hint="eastAsia" w:ascii="宋体" w:hAnsi="宋体" w:cs="宋体"/>
                <w:color w:val="000000"/>
                <w:kern w:val="0"/>
                <w:szCs w:val="21"/>
              </w:rPr>
              <w:t>注：本表反映部门本年度一般公共预算财政拨款收入及支出情况。</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9180" w:type="dxa"/>
        <w:jc w:val="center"/>
        <w:tblLayout w:type="fixed"/>
        <w:tblCellMar>
          <w:top w:w="0" w:type="dxa"/>
          <w:left w:w="0" w:type="dxa"/>
          <w:bottom w:w="0" w:type="dxa"/>
          <w:right w:w="0" w:type="dxa"/>
        </w:tblCellMar>
      </w:tblPr>
      <w:tblGrid>
        <w:gridCol w:w="558"/>
        <w:gridCol w:w="1597"/>
        <w:gridCol w:w="840"/>
        <w:gridCol w:w="477"/>
        <w:gridCol w:w="1763"/>
        <w:gridCol w:w="740"/>
        <w:gridCol w:w="560"/>
        <w:gridCol w:w="1788"/>
        <w:gridCol w:w="857"/>
      </w:tblGrid>
      <w:tr>
        <w:tblPrEx>
          <w:tblCellMar>
            <w:top w:w="0" w:type="dxa"/>
            <w:left w:w="0" w:type="dxa"/>
            <w:bottom w:w="0" w:type="dxa"/>
            <w:right w:w="0" w:type="dxa"/>
          </w:tblCellMar>
        </w:tblPrEx>
        <w:trPr>
          <w:trHeight w:val="526" w:hRule="atLeast"/>
          <w:jc w:val="center"/>
        </w:trPr>
        <w:tc>
          <w:tcPr>
            <w:tcW w:w="9180" w:type="dxa"/>
            <w:gridSpan w:val="9"/>
            <w:tcBorders>
              <w:top w:val="nil"/>
              <w:left w:val="nil"/>
              <w:bottom w:val="nil"/>
              <w:right w:val="nil"/>
            </w:tcBorders>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一般公共预算财政拨款基本支出决算表</w:t>
            </w:r>
          </w:p>
        </w:tc>
      </w:tr>
      <w:tr>
        <w:tblPrEx>
          <w:tblCellMar>
            <w:top w:w="0" w:type="dxa"/>
            <w:left w:w="0" w:type="dxa"/>
            <w:bottom w:w="0" w:type="dxa"/>
            <w:right w:w="0" w:type="dxa"/>
          </w:tblCellMar>
        </w:tblPrEx>
        <w:trPr>
          <w:trHeight w:val="269" w:hRule="atLeast"/>
          <w:jc w:val="center"/>
        </w:trPr>
        <w:tc>
          <w:tcPr>
            <w:tcW w:w="559"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598"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84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477"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762" w:type="dxa"/>
            <w:tcBorders>
              <w:top w:val="nil"/>
              <w:left w:val="nil"/>
              <w:bottom w:val="nil"/>
              <w:right w:val="nil"/>
            </w:tcBorders>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74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4" w:type="dxa"/>
            <w:gridSpan w:val="2"/>
            <w:tcBorders>
              <w:top w:val="nil"/>
              <w:left w:val="nil"/>
              <w:bottom w:val="nil"/>
              <w:right w:val="nil"/>
            </w:tcBorders>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06</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269" w:hRule="atLeast"/>
          <w:jc w:val="center"/>
        </w:trPr>
        <w:tc>
          <w:tcPr>
            <w:tcW w:w="5236" w:type="dxa"/>
            <w:gridSpan w:val="5"/>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hint="default" w:ascii="宋体" w:cs="宋体"/>
                <w:color w:val="000000"/>
                <w:sz w:val="22"/>
                <w:szCs w:val="22"/>
                <w:lang w:val="en-US"/>
              </w:rPr>
            </w:pPr>
            <w:r>
              <w:rPr>
                <w:rFonts w:hint="eastAsia" w:ascii="宋体" w:hAnsi="宋体" w:cs="宋体"/>
                <w:color w:val="000000"/>
                <w:kern w:val="0"/>
                <w:sz w:val="22"/>
                <w:szCs w:val="22"/>
              </w:rPr>
              <w:t>部门：</w:t>
            </w:r>
            <w:r>
              <w:pict>
                <v:group id="组合 49" o:spid="_x0000_s1056" o:spt="203" style="position:absolute;left:0pt;margin-left:-73.25pt;margin-top:-129.4pt;height:41.2pt;width:243.2pt;mso-position-vertical-relative:page;z-index:251679744;mso-width-relative:page;mso-height-relative:page;" coordorigin="4551,52615" coordsize="8546,1398">
                  <o:lock v:ext="edit"/>
                  <v:rect id="矩形 13" o:spid="_x0000_s1057" o:spt="1" style="position:absolute;left:4551;top:52615;height:1175;width:8546;v-text-anchor:middle;" fillcolor="#96DA9D" filled="t" stroked="f" coordsize="21600,21600">
                    <v:path/>
                    <v:fill on="t" focussize="0,0"/>
                    <v:stroke on="f" weight="2pt"/>
                    <v:imagedata o:title=""/>
                    <o:lock v:ext="edit"/>
                  </v:rect>
                  <v:rect id="矩形 14" o:spid="_x0000_s105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宋体" w:hAnsi="宋体" w:cs="宋体"/>
                <w:color w:val="000000"/>
                <w:kern w:val="0"/>
                <w:sz w:val="22"/>
                <w:szCs w:val="22"/>
                <w:lang w:val="en-US" w:eastAsia="zh-CN"/>
              </w:rPr>
              <w:t>中共阜平县委老干部局</w:t>
            </w:r>
          </w:p>
        </w:tc>
        <w:tc>
          <w:tcPr>
            <w:tcW w:w="74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60"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644" w:type="dxa"/>
            <w:gridSpan w:val="2"/>
            <w:tcBorders>
              <w:top w:val="nil"/>
              <w:left w:val="nil"/>
              <w:bottom w:val="nil"/>
              <w:right w:val="nil"/>
            </w:tcBorders>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277" w:hRule="atLeast"/>
          <w:jc w:val="center"/>
        </w:trPr>
        <w:tc>
          <w:tcPr>
            <w:tcW w:w="2997"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人员经费</w:t>
            </w:r>
          </w:p>
        </w:tc>
        <w:tc>
          <w:tcPr>
            <w:tcW w:w="6183" w:type="dxa"/>
            <w:gridSpan w:val="6"/>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公用经费</w:t>
            </w:r>
          </w:p>
        </w:tc>
      </w:tr>
      <w:tr>
        <w:tblPrEx>
          <w:tblCellMar>
            <w:top w:w="0" w:type="dxa"/>
            <w:left w:w="0" w:type="dxa"/>
            <w:bottom w:w="0" w:type="dxa"/>
            <w:right w:w="0" w:type="dxa"/>
          </w:tblCellMar>
        </w:tblPrEx>
        <w:trPr>
          <w:trHeight w:val="312" w:hRule="atLeast"/>
          <w:jc w:val="center"/>
        </w:trPr>
        <w:tc>
          <w:tcPr>
            <w:tcW w:w="559"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598"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84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c>
          <w:tcPr>
            <w:tcW w:w="47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763"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739"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c>
          <w:tcPr>
            <w:tcW w:w="559"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科目编码</w:t>
            </w:r>
          </w:p>
        </w:tc>
        <w:tc>
          <w:tcPr>
            <w:tcW w:w="1788"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857"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312" w:hRule="atLeast"/>
          <w:jc w:val="center"/>
        </w:trPr>
        <w:tc>
          <w:tcPr>
            <w:tcW w:w="559"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1598"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840"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47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1763"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739"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559"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1788"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c>
          <w:tcPr>
            <w:tcW w:w="857"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spacing w:after="0" w:line="240" w:lineRule="auto"/>
              <w:jc w:val="center"/>
              <w:rPr>
                <w:rFonts w:ascii="宋体" w:cs="宋体"/>
                <w:color w:val="000000"/>
                <w:sz w:val="22"/>
                <w:szCs w:val="22"/>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工资福利支出</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120.15</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商品和服务支出</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18.4</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债务利息及费用支出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30101</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基本工资</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56.84</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办公费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0.55</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30701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国内债务付息</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30102</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津贴补贴</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25.12</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印刷费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0.60</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30702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国外债务付息</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30103</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奖金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3.51</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30203</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咨询费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资本性支出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30106</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伙食补助费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手续费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房屋建筑物购建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30107</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绩效工资</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水费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0.23</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办公设备购置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30108</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机关事业单位基本养老保险缴费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19.73</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电费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31003</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专用设备购置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30109</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职业年金缴费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邮电费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5.46</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31005</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基础设施建设</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30110</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职工基本医疗保险缴费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5.13</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取暖费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center"/>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31006</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大型修缮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30111</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公务员医疗补助缴费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30209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物业管理费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信息网络及软件购置更新</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30112</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其他社会保障缴费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0.36</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差旅费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1.10</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31008</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物资储备</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30113</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住房公积金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9.46</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30212</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因公出国（境）费用</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31009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土地补偿</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30114</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医疗费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30213</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维修（护）费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0.30</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31010</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安置补助</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30199</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其他工资福利支出</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租赁费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地上附着物和青苗补偿</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对个人和家庭的补助</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375.38</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会议费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0.25</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拆迁补偿</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30301</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离休费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293.23</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培训费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31013</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公务用车购置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30302</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退休费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5.50</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公务接待费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0.05</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31019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其他交通工具购置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30303</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退职（役）费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30218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专用材料费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31021</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文物和陈列品购置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30304</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抚恤金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37.19</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30224</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被装购置费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31022</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无形资产购置</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30305</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生活补助</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39.47</w:t>
            </w: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30225</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专用燃料费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31099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其他资本性支出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30306</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救济费</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30226</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劳务费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30307</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医疗费补助</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30227</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委托业务费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39906</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赠与</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30308</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助学金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30228</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工会经费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39907</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国家赔偿费用支出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0"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30309</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奖励金</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30229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福利费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39908</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对民间非营利组织和群众性自治组织补贴</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30310</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个人农业生产补贴</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30231</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公务用车运行维护费</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39999</w:t>
            </w: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其他支出</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30399</w:t>
            </w: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其他对个人和家庭的补助支出</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30239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其他交通费用</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9.66</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238"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30240</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税金及附加费用</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425" w:hRule="atLeast"/>
          <w:jc w:val="center"/>
        </w:trPr>
        <w:tc>
          <w:tcPr>
            <w:tcW w:w="559"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59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p>
        </w:tc>
        <w:tc>
          <w:tcPr>
            <w:tcW w:w="47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30299</w:t>
            </w:r>
          </w:p>
        </w:tc>
        <w:tc>
          <w:tcPr>
            <w:tcW w:w="1763"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textAlignment w:val="center"/>
              <w:rPr>
                <w:rFonts w:ascii="宋体" w:cs="宋体"/>
                <w:color w:val="000000"/>
                <w:sz w:val="16"/>
                <w:szCs w:val="16"/>
              </w:rPr>
            </w:pPr>
            <w:r>
              <w:rPr>
                <w:rFonts w:ascii="宋体" w:hAnsi="宋体" w:cs="宋体"/>
                <w:color w:val="000000"/>
                <w:kern w:val="0"/>
                <w:sz w:val="16"/>
                <w:szCs w:val="16"/>
              </w:rPr>
              <w:t xml:space="preserve">  </w:t>
            </w:r>
            <w:r>
              <w:rPr>
                <w:rFonts w:hint="eastAsia" w:ascii="宋体" w:hAnsi="宋体" w:cs="宋体"/>
                <w:color w:val="000000"/>
                <w:kern w:val="0"/>
                <w:sz w:val="16"/>
                <w:szCs w:val="16"/>
              </w:rPr>
              <w:t>其他商品和服务支出</w:t>
            </w:r>
          </w:p>
        </w:tc>
        <w:tc>
          <w:tcPr>
            <w:tcW w:w="73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0.20</w:t>
            </w:r>
          </w:p>
        </w:tc>
        <w:tc>
          <w:tcPr>
            <w:tcW w:w="55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1788" w:type="dxa"/>
            <w:tcBorders>
              <w:top w:val="nil"/>
              <w:left w:val="nil"/>
              <w:bottom w:val="single" w:color="000000" w:sz="4" w:space="0"/>
              <w:right w:val="single" w:color="000000" w:sz="4" w:space="0"/>
            </w:tcBorders>
            <w:tcMar>
              <w:top w:w="15" w:type="dxa"/>
              <w:left w:w="15" w:type="dxa"/>
              <w:right w:w="15" w:type="dxa"/>
            </w:tcMar>
            <w:vAlign w:val="center"/>
          </w:tcPr>
          <w:p>
            <w:pPr>
              <w:widowControl/>
              <w:snapToGrid w:val="0"/>
              <w:spacing w:after="0" w:line="240" w:lineRule="auto"/>
              <w:jc w:val="left"/>
              <w:rPr>
                <w:rFonts w:ascii="宋体" w:cs="宋体"/>
                <w:color w:val="000000"/>
                <w:sz w:val="16"/>
                <w:szCs w:val="16"/>
              </w:rPr>
            </w:pP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20"/>
                <w:szCs w:val="20"/>
              </w:rPr>
            </w:pPr>
          </w:p>
        </w:tc>
      </w:tr>
      <w:tr>
        <w:tblPrEx>
          <w:tblCellMar>
            <w:top w:w="0" w:type="dxa"/>
            <w:left w:w="0" w:type="dxa"/>
            <w:bottom w:w="0" w:type="dxa"/>
            <w:right w:w="0" w:type="dxa"/>
          </w:tblCellMar>
        </w:tblPrEx>
        <w:trPr>
          <w:trHeight w:val="317" w:hRule="atLeast"/>
          <w:jc w:val="center"/>
        </w:trPr>
        <w:tc>
          <w:tcPr>
            <w:tcW w:w="2157"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center"/>
              <w:textAlignment w:val="center"/>
              <w:rPr>
                <w:rFonts w:ascii="宋体" w:cs="宋体"/>
                <w:color w:val="000000"/>
                <w:sz w:val="16"/>
                <w:szCs w:val="16"/>
              </w:rPr>
            </w:pPr>
            <w:r>
              <w:rPr>
                <w:rFonts w:hint="eastAsia" w:ascii="宋体" w:hAnsi="宋体" w:cs="宋体"/>
                <w:color w:val="000000"/>
                <w:kern w:val="0"/>
                <w:sz w:val="16"/>
                <w:szCs w:val="16"/>
              </w:rPr>
              <w:t>人员经费合计</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ascii="宋体" w:cs="宋体"/>
                <w:color w:val="000000"/>
                <w:sz w:val="16"/>
                <w:szCs w:val="16"/>
              </w:rPr>
            </w:pPr>
            <w:r>
              <w:rPr>
                <w:rFonts w:hint="eastAsia" w:ascii="宋体" w:cs="宋体"/>
                <w:color w:val="000000"/>
                <w:sz w:val="16"/>
                <w:szCs w:val="16"/>
                <w:lang w:val="en-US" w:eastAsia="zh-CN"/>
              </w:rPr>
              <w:t>495.53</w:t>
            </w:r>
          </w:p>
        </w:tc>
        <w:tc>
          <w:tcPr>
            <w:tcW w:w="5326" w:type="dxa"/>
            <w:gridSpan w:val="5"/>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center"/>
              <w:textAlignment w:val="center"/>
              <w:rPr>
                <w:rFonts w:ascii="宋体" w:cs="宋体"/>
                <w:color w:val="000000"/>
                <w:sz w:val="16"/>
                <w:szCs w:val="16"/>
              </w:rPr>
            </w:pPr>
            <w:r>
              <w:rPr>
                <w:rFonts w:hint="eastAsia" w:ascii="宋体" w:hAnsi="宋体" w:cs="宋体"/>
                <w:color w:val="000000"/>
                <w:kern w:val="0"/>
                <w:sz w:val="16"/>
                <w:szCs w:val="16"/>
              </w:rPr>
              <w:t>公用经费合计</w:t>
            </w:r>
          </w:p>
        </w:tc>
        <w:tc>
          <w:tcPr>
            <w:tcW w:w="857" w:type="dxa"/>
            <w:tcBorders>
              <w:top w:val="nil"/>
              <w:left w:val="nil"/>
              <w:bottom w:val="single" w:color="000000" w:sz="4" w:space="0"/>
              <w:right w:val="single" w:color="000000" w:sz="4" w:space="0"/>
            </w:tcBorders>
            <w:noWrap/>
            <w:tcMar>
              <w:top w:w="15" w:type="dxa"/>
              <w:left w:w="15" w:type="dxa"/>
              <w:right w:w="15" w:type="dxa"/>
            </w:tcMar>
            <w:vAlign w:val="center"/>
          </w:tcPr>
          <w:p>
            <w:pPr>
              <w:widowControl/>
              <w:snapToGrid w:val="0"/>
              <w:spacing w:after="0" w:line="240" w:lineRule="auto"/>
              <w:jc w:val="right"/>
              <w:rPr>
                <w:rFonts w:hint="default" w:ascii="宋体" w:cs="宋体"/>
                <w:color w:val="000000"/>
                <w:sz w:val="16"/>
                <w:szCs w:val="16"/>
                <w:lang w:val="en-US"/>
              </w:rPr>
            </w:pPr>
            <w:r>
              <w:rPr>
                <w:rFonts w:hint="eastAsia" w:ascii="宋体" w:cs="宋体"/>
                <w:color w:val="000000"/>
                <w:sz w:val="16"/>
                <w:szCs w:val="16"/>
                <w:lang w:val="en-US" w:eastAsia="zh-CN"/>
              </w:rPr>
              <w:t>18.40</w:t>
            </w:r>
          </w:p>
        </w:tc>
      </w:tr>
      <w:tr>
        <w:tblPrEx>
          <w:tblCellMar>
            <w:top w:w="0" w:type="dxa"/>
            <w:left w:w="0" w:type="dxa"/>
            <w:bottom w:w="0" w:type="dxa"/>
            <w:right w:w="0" w:type="dxa"/>
          </w:tblCellMar>
        </w:tblPrEx>
        <w:trPr>
          <w:trHeight w:val="277" w:hRule="atLeast"/>
          <w:jc w:val="center"/>
        </w:trPr>
        <w:tc>
          <w:tcPr>
            <w:tcW w:w="9180" w:type="dxa"/>
            <w:gridSpan w:val="9"/>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ascii="宋体" w:cs="宋体"/>
                <w:color w:val="000000"/>
                <w:sz w:val="20"/>
                <w:szCs w:val="20"/>
              </w:rPr>
            </w:pPr>
            <w:r>
              <w:rPr>
                <w:rFonts w:hint="eastAsia" w:ascii="宋体" w:hAnsi="宋体" w:cs="宋体"/>
                <w:color w:val="000000"/>
                <w:kern w:val="0"/>
                <w:sz w:val="20"/>
                <w:szCs w:val="20"/>
              </w:rPr>
              <w:t>注：本表反映部门本年度一般公共预算财政拨款基本支出明细情况。</w:t>
            </w:r>
            <w:r>
              <w:rPr>
                <w:rFonts w:ascii="宋体" w:hAnsi="宋体" w:cs="宋体"/>
                <w:color w:val="000000"/>
                <w:kern w:val="0"/>
                <w:sz w:val="20"/>
                <w:szCs w:val="20"/>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jc w:val="center"/>
        <w:tblLayout w:type="fixed"/>
        <w:tblCellMar>
          <w:top w:w="0" w:type="dxa"/>
          <w:left w:w="0" w:type="dxa"/>
          <w:bottom w:w="0" w:type="dxa"/>
          <w:right w:w="0" w:type="dxa"/>
        </w:tblCellMar>
      </w:tblPr>
      <w:tblGrid>
        <w:gridCol w:w="1158"/>
        <w:gridCol w:w="1527"/>
        <w:gridCol w:w="1528"/>
        <w:gridCol w:w="1530"/>
        <w:gridCol w:w="1530"/>
        <w:gridCol w:w="1527"/>
      </w:tblGrid>
      <w:tr>
        <w:tblPrEx>
          <w:tblCellMar>
            <w:top w:w="0" w:type="dxa"/>
            <w:left w:w="0" w:type="dxa"/>
            <w:bottom w:w="0" w:type="dxa"/>
            <w:right w:w="0" w:type="dxa"/>
          </w:tblCellMar>
        </w:tblPrEx>
        <w:trPr>
          <w:trHeight w:val="584" w:hRule="atLeast"/>
          <w:jc w:val="center"/>
        </w:trPr>
        <w:tc>
          <w:tcPr>
            <w:tcW w:w="8800" w:type="dxa"/>
            <w:gridSpan w:val="6"/>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一般公共预算财政拨款“</w:t>
            </w:r>
            <w:r>
              <w:pict>
                <v:group id="组合 52" o:spid="_x0000_s1059" o:spt="203" style="position:absolute;left:0pt;margin-left:-82.75pt;margin-top:-81.1pt;height:41.2pt;width:243.2pt;mso-position-vertical-relative:page;z-index:251680768;mso-width-relative:page;mso-height-relative:page;" coordorigin="4551,52615" coordsize="8546,1398">
                  <o:lock v:ext="edit"/>
                  <v:rect id="矩形 13" o:spid="_x0000_s1060" o:spt="1" style="position:absolute;left:4551;top:52615;height:1175;width:8546;v-text-anchor:middle;" fillcolor="#96DA9D" filled="t" stroked="f" coordsize="21600,21600">
                    <v:path/>
                    <v:fill on="t" focussize="0,0"/>
                    <v:stroke on="f" weight="2pt"/>
                    <v:imagedata o:title=""/>
                    <o:lock v:ext="edit"/>
                  </v:rect>
                  <v:rect id="矩形 14" o:spid="_x0000_s106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三公”经费支出决算表</w:t>
            </w:r>
          </w:p>
        </w:tc>
      </w:tr>
      <w:tr>
        <w:tblPrEx>
          <w:tblCellMar>
            <w:top w:w="0" w:type="dxa"/>
            <w:left w:w="0" w:type="dxa"/>
            <w:bottom w:w="0" w:type="dxa"/>
            <w:right w:w="0" w:type="dxa"/>
          </w:tblCellMar>
        </w:tblPrEx>
        <w:trPr>
          <w:trHeight w:val="347" w:hRule="atLeast"/>
          <w:jc w:val="center"/>
        </w:trPr>
        <w:tc>
          <w:tcPr>
            <w:tcW w:w="1158"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8"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3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 w:val="20"/>
                <w:szCs w:val="20"/>
              </w:rPr>
            </w:pP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公开</w:t>
            </w:r>
            <w:r>
              <w:rPr>
                <w:rFonts w:ascii="宋体" w:hAnsi="宋体" w:cs="宋体"/>
                <w:color w:val="000000"/>
                <w:kern w:val="0"/>
                <w:sz w:val="20"/>
                <w:szCs w:val="20"/>
              </w:rPr>
              <w:t>07</w:t>
            </w:r>
            <w:r>
              <w:rPr>
                <w:rFonts w:hint="eastAsia" w:ascii="宋体" w:hAnsi="宋体" w:cs="宋体"/>
                <w:color w:val="000000"/>
                <w:kern w:val="0"/>
                <w:sz w:val="20"/>
                <w:szCs w:val="20"/>
              </w:rPr>
              <w:t>表</w:t>
            </w:r>
          </w:p>
        </w:tc>
      </w:tr>
      <w:tr>
        <w:tblPrEx>
          <w:tblCellMar>
            <w:top w:w="0" w:type="dxa"/>
            <w:left w:w="0" w:type="dxa"/>
            <w:bottom w:w="0" w:type="dxa"/>
            <w:right w:w="0" w:type="dxa"/>
          </w:tblCellMar>
        </w:tblPrEx>
        <w:trPr>
          <w:trHeight w:val="347" w:hRule="atLeast"/>
          <w:jc w:val="center"/>
        </w:trPr>
        <w:tc>
          <w:tcPr>
            <w:tcW w:w="7273" w:type="dxa"/>
            <w:gridSpan w:val="5"/>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hint="default" w:ascii="宋体" w:eastAsia="宋体" w:cs="宋体"/>
                <w:color w:val="000000"/>
                <w:sz w:val="20"/>
                <w:szCs w:val="20"/>
                <w:lang w:val="en-US" w:eastAsia="zh-CN"/>
              </w:rPr>
            </w:pPr>
            <w:r>
              <w:rPr>
                <w:rFonts w:hint="eastAsia" w:ascii="宋体" w:hAnsi="宋体" w:cs="宋体"/>
                <w:color w:val="000000"/>
                <w:kern w:val="0"/>
                <w:sz w:val="20"/>
                <w:szCs w:val="20"/>
              </w:rPr>
              <w:t>部门：</w:t>
            </w:r>
            <w:r>
              <w:rPr>
                <w:rFonts w:hint="eastAsia" w:ascii="宋体" w:hAnsi="宋体" w:cs="宋体"/>
                <w:color w:val="000000"/>
                <w:kern w:val="0"/>
                <w:sz w:val="20"/>
                <w:szCs w:val="20"/>
                <w:lang w:val="en-US" w:eastAsia="zh-CN"/>
              </w:rPr>
              <w:t>中共阜平县委老干部局</w:t>
            </w:r>
          </w:p>
        </w:tc>
        <w:tc>
          <w:tcPr>
            <w:tcW w:w="1527"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 w:val="20"/>
                <w:szCs w:val="20"/>
              </w:rPr>
            </w:pPr>
            <w:r>
              <w:rPr>
                <w:rFonts w:hint="eastAsia" w:ascii="宋体" w:hAnsi="宋体" w:cs="宋体"/>
                <w:color w:val="000000"/>
                <w:kern w:val="0"/>
                <w:sz w:val="20"/>
                <w:szCs w:val="20"/>
              </w:rPr>
              <w:t>金额单位：万元</w:t>
            </w:r>
          </w:p>
        </w:tc>
      </w:tr>
      <w:tr>
        <w:tblPrEx>
          <w:tblCellMar>
            <w:top w:w="0" w:type="dxa"/>
            <w:left w:w="0" w:type="dxa"/>
            <w:bottom w:w="0" w:type="dxa"/>
            <w:right w:w="0" w:type="dxa"/>
          </w:tblCellMar>
        </w:tblPrEx>
        <w:trPr>
          <w:trHeight w:val="482"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预算数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86"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lang w:val="en-US" w:eastAsia="zh-CN"/>
              </w:rPr>
              <w:t>0.05</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lang w:val="en-US" w:eastAsia="zh-CN"/>
              </w:rPr>
              <w:t>0.05</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lang w:val="en-US" w:eastAsia="zh-CN"/>
              </w:rPr>
              <w:t>0.05</w:t>
            </w:r>
          </w:p>
        </w:tc>
      </w:tr>
      <w:tr>
        <w:tblPrEx>
          <w:tblCellMar>
            <w:top w:w="0" w:type="dxa"/>
            <w:left w:w="0" w:type="dxa"/>
            <w:bottom w:w="0" w:type="dxa"/>
            <w:right w:w="0" w:type="dxa"/>
          </w:tblCellMar>
        </w:tblPrEx>
        <w:trPr>
          <w:trHeight w:val="498" w:hRule="atLeast"/>
          <w:jc w:val="center"/>
        </w:trPr>
        <w:tc>
          <w:tcPr>
            <w:tcW w:w="880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决算数</w:t>
            </w:r>
          </w:p>
        </w:tc>
      </w:tr>
      <w:tr>
        <w:tblPrEx>
          <w:tblCellMar>
            <w:top w:w="0" w:type="dxa"/>
            <w:left w:w="0" w:type="dxa"/>
            <w:bottom w:w="0" w:type="dxa"/>
            <w:right w:w="0" w:type="dxa"/>
          </w:tblCellMar>
        </w:tblPrEx>
        <w:trPr>
          <w:trHeight w:val="435" w:hRule="atLeast"/>
          <w:jc w:val="center"/>
        </w:trPr>
        <w:tc>
          <w:tcPr>
            <w:tcW w:w="11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因公出国（境）费</w:t>
            </w:r>
          </w:p>
        </w:tc>
        <w:tc>
          <w:tcPr>
            <w:tcW w:w="458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公务用车购置及运行费</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公务接待费</w:t>
            </w:r>
          </w:p>
        </w:tc>
      </w:tr>
      <w:tr>
        <w:tblPrEx>
          <w:tblCellMar>
            <w:top w:w="0" w:type="dxa"/>
            <w:left w:w="0" w:type="dxa"/>
            <w:bottom w:w="0" w:type="dxa"/>
            <w:right w:w="0" w:type="dxa"/>
          </w:tblCellMar>
        </w:tblPrEx>
        <w:trPr>
          <w:trHeight w:val="672" w:hRule="atLeast"/>
          <w:jc w:val="center"/>
        </w:trPr>
        <w:tc>
          <w:tcPr>
            <w:tcW w:w="11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公务用车购置费</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公务用车运行费</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7</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8</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9</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10</w:t>
            </w:r>
          </w:p>
        </w:tc>
        <w:tc>
          <w:tcPr>
            <w:tcW w:w="1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11</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12</w:t>
            </w:r>
          </w:p>
        </w:tc>
      </w:tr>
      <w:tr>
        <w:tblPrEx>
          <w:tblCellMar>
            <w:top w:w="0" w:type="dxa"/>
            <w:left w:w="0" w:type="dxa"/>
            <w:bottom w:w="0" w:type="dxa"/>
            <w:right w:w="0" w:type="dxa"/>
          </w:tblCellMar>
        </w:tblPrEx>
        <w:trPr>
          <w:trHeight w:val="435" w:hRule="atLeast"/>
          <w:jc w:val="center"/>
        </w:trPr>
        <w:tc>
          <w:tcPr>
            <w:tcW w:w="11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lang w:val="en-US" w:eastAsia="zh-CN"/>
              </w:rPr>
              <w:t>0.05</w:t>
            </w: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lang w:val="en-US" w:eastAsia="zh-CN"/>
              </w:rPr>
              <w:t>0..05</w:t>
            </w: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52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r>
              <w:rPr>
                <w:rFonts w:hint="eastAsia" w:ascii="宋体" w:cs="宋体"/>
                <w:color w:val="000000"/>
                <w:szCs w:val="21"/>
                <w:lang w:val="en-US" w:eastAsia="zh-CN"/>
              </w:rPr>
              <w:t>0.05</w:t>
            </w:r>
          </w:p>
        </w:tc>
      </w:tr>
      <w:tr>
        <w:tblPrEx>
          <w:tblCellMar>
            <w:top w:w="0" w:type="dxa"/>
            <w:left w:w="0" w:type="dxa"/>
            <w:bottom w:w="0" w:type="dxa"/>
            <w:right w:w="0" w:type="dxa"/>
          </w:tblCellMar>
        </w:tblPrEx>
        <w:trPr>
          <w:trHeight w:val="782" w:hRule="atLeast"/>
          <w:jc w:val="center"/>
        </w:trPr>
        <w:tc>
          <w:tcPr>
            <w:tcW w:w="8800" w:type="dxa"/>
            <w:gridSpan w:val="6"/>
            <w:tcBorders>
              <w:top w:val="nil"/>
              <w:left w:val="nil"/>
              <w:bottom w:val="nil"/>
              <w:right w:val="nil"/>
            </w:tcBorders>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注：本表反映部门本年度“三公”经费支出预决算情况。其中：预算数为“三公”经费年初预算数，决算数是包括当年一般公共预算财政拨款和以前年度结转资金安排的实际支出。</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60" w:type="dxa"/>
        <w:tblInd w:w="0" w:type="dxa"/>
        <w:tblLayout w:type="fixed"/>
        <w:tblCellMar>
          <w:top w:w="0" w:type="dxa"/>
          <w:left w:w="0" w:type="dxa"/>
          <w:bottom w:w="0" w:type="dxa"/>
          <w:right w:w="0" w:type="dxa"/>
        </w:tblCellMar>
      </w:tblPr>
      <w:tblGrid>
        <w:gridCol w:w="296"/>
        <w:gridCol w:w="191"/>
        <w:gridCol w:w="479"/>
        <w:gridCol w:w="669"/>
        <w:gridCol w:w="376"/>
        <w:gridCol w:w="1166"/>
        <w:gridCol w:w="840"/>
        <w:gridCol w:w="1191"/>
        <w:gridCol w:w="1192"/>
        <w:gridCol w:w="1192"/>
        <w:gridCol w:w="1268"/>
      </w:tblGrid>
      <w:tr>
        <w:tblPrEx>
          <w:tblCellMar>
            <w:top w:w="0" w:type="dxa"/>
            <w:left w:w="0" w:type="dxa"/>
            <w:bottom w:w="0" w:type="dxa"/>
            <w:right w:w="0" w:type="dxa"/>
          </w:tblCellMar>
        </w:tblPrEx>
        <w:trPr>
          <w:trHeight w:val="707" w:hRule="atLeast"/>
        </w:trPr>
        <w:tc>
          <w:tcPr>
            <w:tcW w:w="8860" w:type="dxa"/>
            <w:gridSpan w:val="11"/>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center"/>
              <w:textAlignment w:val="center"/>
              <w:rPr>
                <w:rFonts w:ascii="黑体" w:hAnsi="宋体" w:eastAsia="黑体" w:cs="黑体"/>
                <w:color w:val="000000"/>
                <w:sz w:val="36"/>
                <w:szCs w:val="36"/>
              </w:rPr>
            </w:pPr>
            <w:r>
              <w:rPr>
                <w:rFonts w:hint="eastAsia" w:ascii="黑体" w:hAnsi="宋体" w:eastAsia="黑体" w:cs="黑体"/>
                <w:color w:val="000000"/>
                <w:kern w:val="0"/>
                <w:sz w:val="36"/>
                <w:szCs w:val="36"/>
              </w:rPr>
              <w:t>政府性基金预算财政拨款</w:t>
            </w:r>
            <w:r>
              <w:pict>
                <v:group id="组合 55" o:spid="_x0000_s1062" o:spt="203" style="position:absolute;left:0pt;margin-left:-80.9pt;margin-top:-81.1pt;height:41.2pt;width:243.2pt;mso-position-vertical-relative:page;z-index:251681792;mso-width-relative:page;mso-height-relative:page;" coordorigin="4551,52615" coordsize="8546,1398">
                  <o:lock v:ext="edit"/>
                  <v:rect id="矩形 13" o:spid="_x0000_s1063" o:spt="1" style="position:absolute;left:4551;top:52615;height:1175;width:8546;v-text-anchor:middle;" fillcolor="#96DA9D" filled="t" stroked="f" coordsize="21600,21600">
                    <v:path/>
                    <v:fill on="t" focussize="0,0"/>
                    <v:stroke on="f" weight="2pt"/>
                    <v:imagedata o:title=""/>
                    <o:lock v:ext="edit"/>
                  </v:rect>
                  <v:rect id="矩形 14" o:spid="_x0000_s106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p>
        </w:tc>
      </w:tr>
      <w:tr>
        <w:tblPrEx>
          <w:tblCellMar>
            <w:top w:w="0" w:type="dxa"/>
            <w:left w:w="0" w:type="dxa"/>
            <w:bottom w:w="0" w:type="dxa"/>
            <w:right w:w="0" w:type="dxa"/>
          </w:tblCellMar>
        </w:tblPrEx>
        <w:trPr>
          <w:trHeight w:val="315" w:hRule="atLeast"/>
        </w:trPr>
        <w:tc>
          <w:tcPr>
            <w:tcW w:w="296"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479"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669"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542" w:type="dxa"/>
            <w:gridSpan w:val="2"/>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840"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268"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08</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411" w:hRule="atLeast"/>
        </w:trPr>
        <w:tc>
          <w:tcPr>
            <w:tcW w:w="3177" w:type="dxa"/>
            <w:gridSpan w:val="6"/>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部门：</w:t>
            </w:r>
            <w:r>
              <w:rPr>
                <w:rFonts w:hint="eastAsia" w:ascii="宋体" w:hAnsi="宋体" w:cs="宋体"/>
                <w:color w:val="000000"/>
                <w:kern w:val="0"/>
                <w:sz w:val="20"/>
                <w:szCs w:val="20"/>
                <w:lang w:val="en-US" w:eastAsia="zh-CN"/>
              </w:rPr>
              <w:t>中共阜平县委老干部局</w:t>
            </w:r>
          </w:p>
        </w:tc>
        <w:tc>
          <w:tcPr>
            <w:tcW w:w="840"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1"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1192" w:type="dxa"/>
            <w:tcBorders>
              <w:top w:val="nil"/>
              <w:left w:val="nil"/>
              <w:bottom w:val="nil"/>
              <w:right w:val="nil"/>
            </w:tcBorders>
            <w:noWrap/>
            <w:tcMar>
              <w:top w:w="15" w:type="dxa"/>
              <w:left w:w="15" w:type="dxa"/>
              <w:right w:w="15" w:type="dxa"/>
            </w:tcMar>
            <w:vAlign w:val="center"/>
          </w:tcPr>
          <w:p>
            <w:pPr>
              <w:widowControl/>
              <w:adjustRightInd w:val="0"/>
              <w:spacing w:after="0" w:line="240" w:lineRule="auto"/>
              <w:rPr>
                <w:rFonts w:ascii="Arial" w:hAnsi="Arial" w:cs="Arial"/>
                <w:color w:val="000000"/>
                <w:szCs w:val="21"/>
              </w:rPr>
            </w:pPr>
          </w:p>
        </w:tc>
        <w:tc>
          <w:tcPr>
            <w:tcW w:w="2460" w:type="dxa"/>
            <w:gridSpan w:val="2"/>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24" w:hRule="atLeast"/>
        </w:trPr>
        <w:tc>
          <w:tcPr>
            <w:tcW w:w="2011"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1166"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年初结转和结余</w:t>
            </w:r>
          </w:p>
        </w:tc>
        <w:tc>
          <w:tcPr>
            <w:tcW w:w="84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本年收入</w:t>
            </w:r>
          </w:p>
        </w:tc>
        <w:tc>
          <w:tcPr>
            <w:tcW w:w="3575"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本年支出</w:t>
            </w:r>
          </w:p>
        </w:tc>
        <w:tc>
          <w:tcPr>
            <w:tcW w:w="1268"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年末结转和结余</w:t>
            </w:r>
          </w:p>
        </w:tc>
      </w:tr>
      <w:tr>
        <w:tblPrEx>
          <w:tblCellMar>
            <w:top w:w="0" w:type="dxa"/>
            <w:left w:w="0" w:type="dxa"/>
            <w:bottom w:w="0" w:type="dxa"/>
            <w:right w:w="0" w:type="dxa"/>
          </w:tblCellMar>
        </w:tblPrEx>
        <w:trPr>
          <w:trHeight w:val="324" w:hRule="atLeast"/>
        </w:trPr>
        <w:tc>
          <w:tcPr>
            <w:tcW w:w="966"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功能分类科目编码</w:t>
            </w:r>
          </w:p>
        </w:tc>
        <w:tc>
          <w:tcPr>
            <w:tcW w:w="1045" w:type="dxa"/>
            <w:gridSpan w:val="2"/>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科目名称</w:t>
            </w: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1"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小计</w:t>
            </w:r>
          </w:p>
        </w:tc>
        <w:tc>
          <w:tcPr>
            <w:tcW w:w="119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基本支出</w:t>
            </w:r>
          </w:p>
        </w:tc>
        <w:tc>
          <w:tcPr>
            <w:tcW w:w="119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项目支出</w:t>
            </w: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045" w:type="dxa"/>
            <w:gridSpan w:val="2"/>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1"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12" w:hRule="atLeast"/>
        </w:trPr>
        <w:tc>
          <w:tcPr>
            <w:tcW w:w="966"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045" w:type="dxa"/>
            <w:gridSpan w:val="2"/>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84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1"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192" w:type="dxa"/>
            <w:vMerge w:val="continue"/>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c>
          <w:tcPr>
            <w:tcW w:w="126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adjustRightIn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24" w:hRule="atLeast"/>
        </w:trPr>
        <w:tc>
          <w:tcPr>
            <w:tcW w:w="2011" w:type="dxa"/>
            <w:gridSpan w:val="5"/>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b/>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966"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045"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left"/>
              <w:rPr>
                <w:rFonts w:ascii="宋体" w:cs="宋体"/>
                <w:color w:val="000000"/>
                <w:szCs w:val="21"/>
              </w:rPr>
            </w:pPr>
          </w:p>
        </w:tc>
        <w:tc>
          <w:tcPr>
            <w:tcW w:w="116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8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1"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192"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c>
          <w:tcPr>
            <w:tcW w:w="1268"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24" w:hRule="atLeast"/>
        </w:trPr>
        <w:tc>
          <w:tcPr>
            <w:tcW w:w="8860" w:type="dxa"/>
            <w:gridSpan w:val="11"/>
            <w:tcBorders>
              <w:top w:val="nil"/>
              <w:left w:val="nil"/>
              <w:bottom w:val="nil"/>
              <w:right w:val="nil"/>
            </w:tcBorders>
            <w:noWrap/>
            <w:tcMar>
              <w:top w:w="15" w:type="dxa"/>
              <w:left w:w="15" w:type="dxa"/>
              <w:right w:w="15" w:type="dxa"/>
            </w:tcMar>
            <w:vAlign w:val="center"/>
          </w:tcPr>
          <w:p>
            <w:pPr>
              <w:widowControl/>
              <w:adjustRightInd w:val="0"/>
              <w:spacing w:after="0" w:line="240" w:lineRule="auto"/>
              <w:jc w:val="left"/>
              <w:textAlignment w:val="center"/>
              <w:rPr>
                <w:rFonts w:ascii="宋体" w:cs="宋体"/>
                <w:color w:val="000000"/>
                <w:szCs w:val="21"/>
              </w:rPr>
            </w:pPr>
            <w:r>
              <w:rPr>
                <w:rFonts w:hint="eastAsia" w:ascii="宋体" w:hAnsi="宋体" w:cs="宋体"/>
                <w:color w:val="000000"/>
                <w:kern w:val="0"/>
                <w:szCs w:val="21"/>
                <w:lang w:eastAsia="zh-CN"/>
              </w:rPr>
              <w:t>本部门本年度无政府基金预算财政拨款收入支出情况，按要求空表列示。</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800" w:type="dxa"/>
        <w:tblInd w:w="0" w:type="dxa"/>
        <w:tblLayout w:type="fixed"/>
        <w:tblCellMar>
          <w:top w:w="0" w:type="dxa"/>
          <w:left w:w="0" w:type="dxa"/>
          <w:bottom w:w="0" w:type="dxa"/>
          <w:right w:w="0" w:type="dxa"/>
        </w:tblCellMar>
      </w:tblPr>
      <w:tblGrid>
        <w:gridCol w:w="442"/>
        <w:gridCol w:w="208"/>
        <w:gridCol w:w="504"/>
        <w:gridCol w:w="274"/>
        <w:gridCol w:w="894"/>
        <w:gridCol w:w="783"/>
        <w:gridCol w:w="252"/>
        <w:gridCol w:w="1646"/>
        <w:gridCol w:w="359"/>
        <w:gridCol w:w="1539"/>
        <w:gridCol w:w="1899"/>
      </w:tblGrid>
      <w:tr>
        <w:tblPrEx>
          <w:tblCellMar>
            <w:top w:w="0" w:type="dxa"/>
            <w:left w:w="0" w:type="dxa"/>
            <w:bottom w:w="0" w:type="dxa"/>
            <w:right w:w="0" w:type="dxa"/>
          </w:tblCellMar>
        </w:tblPrEx>
        <w:trPr>
          <w:trHeight w:val="656" w:hRule="atLeast"/>
        </w:trPr>
        <w:tc>
          <w:tcPr>
            <w:tcW w:w="8800" w:type="dxa"/>
            <w:gridSpan w:val="11"/>
            <w:tcBorders>
              <w:top w:val="nil"/>
              <w:left w:val="nil"/>
              <w:bottom w:val="nil"/>
              <w:right w:val="nil"/>
            </w:tcBorders>
            <w:noWrap/>
            <w:tcMar>
              <w:top w:w="15" w:type="dxa"/>
              <w:left w:w="15" w:type="dxa"/>
              <w:right w:w="15" w:type="dxa"/>
            </w:tcMar>
            <w:vAlign w:val="center"/>
          </w:tcPr>
          <w:p>
            <w:pPr>
              <w:widowControl/>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国有资本经营预算财政拨</w:t>
            </w:r>
            <w:r>
              <w:pict>
                <v:group id="组合 58" o:spid="_x0000_s1065" o:spt="203" style="position:absolute;left:0pt;margin-left:-80.9pt;margin-top:-81.1pt;height:41.2pt;width:243.2pt;mso-position-vertical-relative:page;z-index:251682816;mso-width-relative:page;mso-height-relative:page;" coordorigin="4551,52615" coordsize="8546,1398">
                  <o:lock v:ext="edit"/>
                  <v:rect id="矩形 13" o:spid="_x0000_s1066" o:spt="1" style="position:absolute;left:4551;top:52615;height:1175;width:8546;v-text-anchor:middle;" fillcolor="#96DA9D" filled="t" stroked="f" coordsize="21600,21600">
                    <v:path/>
                    <v:fill on="t" focussize="0,0"/>
                    <v:stroke on="f" weight="2pt"/>
                    <v:imagedata o:title=""/>
                    <o:lock v:ext="edit"/>
                  </v:rect>
                  <v:rect id="矩形 14" o:spid="_x0000_s106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tc>
      </w:tr>
      <w:tr>
        <w:tblPrEx>
          <w:tblCellMar>
            <w:top w:w="0" w:type="dxa"/>
            <w:left w:w="0" w:type="dxa"/>
            <w:bottom w:w="0" w:type="dxa"/>
            <w:right w:w="0" w:type="dxa"/>
          </w:tblCellMar>
        </w:tblPrEx>
        <w:trPr>
          <w:trHeight w:val="335" w:hRule="atLeast"/>
        </w:trPr>
        <w:tc>
          <w:tcPr>
            <w:tcW w:w="442"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8"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504" w:type="dxa"/>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168"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103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200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noWrap/>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公开</w:t>
            </w:r>
            <w:r>
              <w:rPr>
                <w:rFonts w:ascii="宋体" w:hAnsi="宋体" w:cs="宋体"/>
                <w:color w:val="000000"/>
                <w:kern w:val="0"/>
                <w:sz w:val="22"/>
                <w:szCs w:val="22"/>
              </w:rPr>
              <w:t>09</w:t>
            </w:r>
            <w:r>
              <w:rPr>
                <w:rFonts w:hint="eastAsia" w:ascii="宋体" w:hAnsi="宋体" w:cs="宋体"/>
                <w:color w:val="000000"/>
                <w:kern w:val="0"/>
                <w:sz w:val="22"/>
                <w:szCs w:val="22"/>
              </w:rPr>
              <w:t>表</w:t>
            </w:r>
          </w:p>
        </w:tc>
      </w:tr>
      <w:tr>
        <w:tblPrEx>
          <w:tblCellMar>
            <w:top w:w="0" w:type="dxa"/>
            <w:left w:w="0" w:type="dxa"/>
            <w:bottom w:w="0" w:type="dxa"/>
            <w:right w:w="0" w:type="dxa"/>
          </w:tblCellMar>
        </w:tblPrEx>
        <w:trPr>
          <w:trHeight w:val="335" w:hRule="atLeast"/>
        </w:trPr>
        <w:tc>
          <w:tcPr>
            <w:tcW w:w="3357" w:type="dxa"/>
            <w:gridSpan w:val="7"/>
            <w:tcBorders>
              <w:top w:val="nil"/>
              <w:left w:val="nil"/>
              <w:bottom w:val="nil"/>
              <w:right w:val="nil"/>
            </w:tcBorders>
            <w:noWrap/>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编制单位：</w:t>
            </w:r>
            <w:r>
              <w:rPr>
                <w:rFonts w:hint="eastAsia" w:ascii="宋体" w:hAnsi="宋体" w:cs="宋体"/>
                <w:color w:val="000000"/>
                <w:kern w:val="0"/>
                <w:sz w:val="20"/>
                <w:szCs w:val="20"/>
                <w:lang w:val="en-US" w:eastAsia="zh-CN"/>
              </w:rPr>
              <w:t>中共阜平县委老干部局</w:t>
            </w:r>
          </w:p>
        </w:tc>
        <w:tc>
          <w:tcPr>
            <w:tcW w:w="2005" w:type="dxa"/>
            <w:gridSpan w:val="2"/>
            <w:tcBorders>
              <w:top w:val="nil"/>
              <w:left w:val="nil"/>
              <w:bottom w:val="nil"/>
              <w:right w:val="nil"/>
            </w:tcBorders>
            <w:noWrap/>
            <w:tcMar>
              <w:top w:w="15" w:type="dxa"/>
              <w:left w:w="15" w:type="dxa"/>
              <w:right w:w="15" w:type="dxa"/>
            </w:tcMar>
            <w:vAlign w:val="center"/>
          </w:tcPr>
          <w:p>
            <w:pPr>
              <w:widowControl/>
              <w:spacing w:after="0" w:line="240" w:lineRule="auto"/>
              <w:rPr>
                <w:rFonts w:ascii="Arial" w:hAnsi="Arial" w:cs="Arial"/>
                <w:color w:val="000000"/>
                <w:sz w:val="22"/>
                <w:szCs w:val="22"/>
              </w:rPr>
            </w:pPr>
          </w:p>
        </w:tc>
        <w:tc>
          <w:tcPr>
            <w:tcW w:w="3438" w:type="dxa"/>
            <w:gridSpan w:val="2"/>
            <w:tcBorders>
              <w:top w:val="nil"/>
              <w:left w:val="nil"/>
              <w:bottom w:val="nil"/>
              <w:right w:val="nil"/>
            </w:tcBorders>
            <w:noWrap/>
            <w:tcMar>
              <w:top w:w="15" w:type="dxa"/>
              <w:left w:w="15" w:type="dxa"/>
              <w:right w:w="15" w:type="dxa"/>
            </w:tcMar>
            <w:vAlign w:val="center"/>
          </w:tcPr>
          <w:p>
            <w:pPr>
              <w:widowControl/>
              <w:spacing w:after="0" w:line="240" w:lineRule="auto"/>
              <w:jc w:val="right"/>
              <w:textAlignment w:val="center"/>
              <w:rPr>
                <w:rFonts w:ascii="宋体" w:cs="宋体"/>
                <w:color w:val="000000"/>
                <w:sz w:val="22"/>
                <w:szCs w:val="22"/>
              </w:rPr>
            </w:pPr>
            <w:r>
              <w:rPr>
                <w:rFonts w:hint="eastAsia" w:ascii="宋体" w:hAnsi="宋体" w:cs="宋体"/>
                <w:color w:val="000000"/>
                <w:kern w:val="0"/>
                <w:sz w:val="22"/>
                <w:szCs w:val="22"/>
              </w:rPr>
              <w:t>金额单位：万元</w:t>
            </w:r>
          </w:p>
        </w:tc>
      </w:tr>
      <w:tr>
        <w:tblPrEx>
          <w:tblCellMar>
            <w:top w:w="0" w:type="dxa"/>
            <w:left w:w="0" w:type="dxa"/>
            <w:bottom w:w="0" w:type="dxa"/>
            <w:right w:w="0" w:type="dxa"/>
          </w:tblCellMar>
        </w:tblPrEx>
        <w:trPr>
          <w:trHeight w:val="358" w:hRule="atLeast"/>
        </w:trPr>
        <w:tc>
          <w:tcPr>
            <w:tcW w:w="3105"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w:t>
            </w:r>
          </w:p>
        </w:tc>
        <w:tc>
          <w:tcPr>
            <w:tcW w:w="5695" w:type="dxa"/>
            <w:gridSpan w:val="5"/>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本年支出</w:t>
            </w:r>
          </w:p>
        </w:tc>
      </w:tr>
      <w:tr>
        <w:tblPrEx>
          <w:tblCellMar>
            <w:top w:w="0" w:type="dxa"/>
            <w:left w:w="0" w:type="dxa"/>
            <w:bottom w:w="0" w:type="dxa"/>
            <w:right w:w="0" w:type="dxa"/>
          </w:tblCellMar>
        </w:tblPrEx>
        <w:trPr>
          <w:trHeight w:val="826" w:hRule="atLeast"/>
        </w:trPr>
        <w:tc>
          <w:tcPr>
            <w:tcW w:w="1428"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功能分类科目编码</w:t>
            </w: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科目名称</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小计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基本支出</w:t>
            </w: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项目支出</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栏次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1</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2</w:t>
            </w: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ascii="宋体" w:hAnsi="宋体" w:cs="宋体"/>
                <w:color w:val="000000"/>
                <w:kern w:val="0"/>
                <w:sz w:val="22"/>
                <w:szCs w:val="22"/>
              </w:rPr>
              <w:t>3</w:t>
            </w:r>
          </w:p>
        </w:tc>
      </w:tr>
      <w:tr>
        <w:tblPrEx>
          <w:tblCellMar>
            <w:top w:w="0" w:type="dxa"/>
            <w:left w:w="0" w:type="dxa"/>
            <w:bottom w:w="0" w:type="dxa"/>
            <w:right w:w="0" w:type="dxa"/>
          </w:tblCellMar>
        </w:tblPrEx>
        <w:trPr>
          <w:trHeight w:val="358" w:hRule="atLeast"/>
        </w:trPr>
        <w:tc>
          <w:tcPr>
            <w:tcW w:w="3105" w:type="dxa"/>
            <w:gridSpan w:val="6"/>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center"/>
              <w:textAlignment w:val="center"/>
              <w:rPr>
                <w:rFonts w:ascii="宋体" w:cs="宋体"/>
                <w:color w:val="000000"/>
                <w:sz w:val="22"/>
                <w:szCs w:val="22"/>
              </w:rPr>
            </w:pPr>
            <w:r>
              <w:rPr>
                <w:rFonts w:hint="eastAsia" w:ascii="宋体" w:hAnsi="宋体" w:cs="宋体"/>
                <w:color w:val="000000"/>
                <w:kern w:val="0"/>
                <w:sz w:val="22"/>
                <w:szCs w:val="22"/>
              </w:rPr>
              <w:t>合计</w:t>
            </w: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46" w:hRule="atLeast"/>
        </w:trPr>
        <w:tc>
          <w:tcPr>
            <w:tcW w:w="1428"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677"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lef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8"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c>
          <w:tcPr>
            <w:tcW w:w="1899"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after="0" w:line="240" w:lineRule="auto"/>
              <w:jc w:val="right"/>
              <w:rPr>
                <w:rFonts w:ascii="宋体" w:cs="宋体"/>
                <w:color w:val="000000"/>
                <w:sz w:val="22"/>
                <w:szCs w:val="22"/>
              </w:rPr>
            </w:pPr>
          </w:p>
        </w:tc>
      </w:tr>
      <w:tr>
        <w:tblPrEx>
          <w:tblCellMar>
            <w:top w:w="0" w:type="dxa"/>
            <w:left w:w="0" w:type="dxa"/>
            <w:bottom w:w="0" w:type="dxa"/>
            <w:right w:w="0" w:type="dxa"/>
          </w:tblCellMar>
        </w:tblPrEx>
        <w:trPr>
          <w:trHeight w:val="358" w:hRule="atLeast"/>
        </w:trPr>
        <w:tc>
          <w:tcPr>
            <w:tcW w:w="8800" w:type="dxa"/>
            <w:gridSpan w:val="11"/>
            <w:tcBorders>
              <w:top w:val="nil"/>
              <w:left w:val="nil"/>
              <w:bottom w:val="nil"/>
              <w:right w:val="nil"/>
            </w:tcBorders>
            <w:tcMar>
              <w:top w:w="15" w:type="dxa"/>
              <w:left w:w="15" w:type="dxa"/>
              <w:right w:w="15" w:type="dxa"/>
            </w:tcMar>
            <w:vAlign w:val="center"/>
          </w:tcPr>
          <w:p>
            <w:pPr>
              <w:widowControl/>
              <w:spacing w:after="0" w:line="240" w:lineRule="auto"/>
              <w:jc w:val="left"/>
              <w:textAlignment w:val="center"/>
              <w:rPr>
                <w:rFonts w:ascii="宋体" w:cs="宋体"/>
                <w:color w:val="000000"/>
                <w:sz w:val="22"/>
                <w:szCs w:val="22"/>
              </w:rPr>
            </w:pPr>
            <w:r>
              <w:rPr>
                <w:rFonts w:hint="eastAsia" w:ascii="宋体" w:hAnsi="宋体" w:cs="宋体"/>
                <w:color w:val="000000"/>
                <w:kern w:val="0"/>
                <w:sz w:val="22"/>
                <w:szCs w:val="22"/>
              </w:rPr>
              <w:t>本</w:t>
            </w:r>
            <w:r>
              <w:rPr>
                <w:rFonts w:hint="eastAsia" w:ascii="宋体" w:hAnsi="宋体" w:cs="宋体"/>
                <w:color w:val="000000"/>
                <w:kern w:val="0"/>
                <w:sz w:val="22"/>
                <w:szCs w:val="22"/>
                <w:lang w:eastAsia="zh-CN"/>
              </w:rPr>
              <w:t>部门本</w:t>
            </w:r>
            <w:r>
              <w:rPr>
                <w:rFonts w:hint="eastAsia" w:ascii="宋体" w:hAnsi="宋体" w:cs="宋体"/>
                <w:color w:val="000000"/>
                <w:kern w:val="0"/>
                <w:sz w:val="22"/>
                <w:szCs w:val="22"/>
              </w:rPr>
              <w:t>年度</w:t>
            </w:r>
            <w:r>
              <w:rPr>
                <w:rFonts w:hint="eastAsia" w:ascii="宋体" w:hAnsi="宋体" w:cs="宋体"/>
                <w:color w:val="000000"/>
                <w:kern w:val="0"/>
                <w:sz w:val="22"/>
                <w:szCs w:val="22"/>
                <w:lang w:eastAsia="zh-CN"/>
              </w:rPr>
              <w:t>无</w:t>
            </w:r>
            <w:r>
              <w:rPr>
                <w:rFonts w:hint="eastAsia" w:ascii="宋体" w:hAnsi="宋体" w:cs="宋体"/>
                <w:color w:val="000000"/>
                <w:kern w:val="0"/>
                <w:sz w:val="22"/>
                <w:szCs w:val="22"/>
              </w:rPr>
              <w:t>国有资本经营预算财政拨款支出情况</w:t>
            </w:r>
            <w:r>
              <w:rPr>
                <w:rFonts w:hint="eastAsia" w:ascii="宋体" w:hAnsi="宋体" w:cs="宋体"/>
                <w:color w:val="000000"/>
                <w:kern w:val="0"/>
                <w:sz w:val="22"/>
                <w:szCs w:val="22"/>
                <w:lang w:eastAsia="zh-CN"/>
              </w:rPr>
              <w:t>，按要求空表列示。</w:t>
            </w:r>
          </w:p>
        </w:tc>
      </w:tr>
    </w:tbl>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tbl>
      <w:tblPr>
        <w:tblStyle w:val="13"/>
        <w:tblW w:w="8940" w:type="dxa"/>
        <w:tblInd w:w="0" w:type="dxa"/>
        <w:tblLayout w:type="fixed"/>
        <w:tblCellMar>
          <w:top w:w="0" w:type="dxa"/>
          <w:left w:w="0" w:type="dxa"/>
          <w:bottom w:w="0" w:type="dxa"/>
          <w:right w:w="0" w:type="dxa"/>
        </w:tblCellMar>
      </w:tblPr>
      <w:tblGrid>
        <w:gridCol w:w="1901"/>
        <w:gridCol w:w="1203"/>
        <w:gridCol w:w="790"/>
        <w:gridCol w:w="362"/>
        <w:gridCol w:w="911"/>
        <w:gridCol w:w="241"/>
        <w:gridCol w:w="1032"/>
        <w:gridCol w:w="120"/>
        <w:gridCol w:w="1154"/>
        <w:gridCol w:w="1226"/>
      </w:tblGrid>
      <w:tr>
        <w:tblPrEx>
          <w:tblCellMar>
            <w:top w:w="0" w:type="dxa"/>
            <w:left w:w="0" w:type="dxa"/>
            <w:bottom w:w="0" w:type="dxa"/>
            <w:right w:w="0" w:type="dxa"/>
          </w:tblCellMar>
        </w:tblPrEx>
        <w:trPr>
          <w:trHeight w:val="635" w:hRule="atLeast"/>
        </w:trPr>
        <w:tc>
          <w:tcPr>
            <w:tcW w:w="8940" w:type="dxa"/>
            <w:gridSpan w:val="10"/>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黑体" w:hAnsi="宋体" w:eastAsia="黑体" w:cs="黑体"/>
                <w:color w:val="000000"/>
                <w:sz w:val="40"/>
                <w:szCs w:val="40"/>
              </w:rPr>
            </w:pPr>
            <w:r>
              <w:rPr>
                <w:rFonts w:hint="eastAsia" w:ascii="黑体" w:hAnsi="宋体" w:eastAsia="黑体" w:cs="黑体"/>
                <w:color w:val="000000"/>
                <w:kern w:val="0"/>
                <w:sz w:val="40"/>
                <w:szCs w:val="40"/>
              </w:rPr>
              <w:t>政府采购</w:t>
            </w:r>
            <w:r>
              <w:pict>
                <v:group id="组合 61" o:spid="_x0000_s1068" o:spt="203" style="position:absolute;left:0pt;margin-left:-80.9pt;margin-top:-81.1pt;height:41.2pt;width:243.2pt;mso-position-vertical-relative:page;z-index:251683840;mso-width-relative:page;mso-height-relative:page;" coordorigin="4551,52615" coordsize="8546,1398">
                  <o:lock v:ext="edit"/>
                  <v:rect id="矩形 13" o:spid="_x0000_s1069" o:spt="1" style="position:absolute;left:4551;top:52615;height:1175;width:8546;v-text-anchor:middle;" fillcolor="#96DA9D" filled="t" stroked="f" coordsize="21600,21600">
                    <v:path/>
                    <v:fill on="t" focussize="0,0"/>
                    <v:stroke on="f" weight="2pt"/>
                    <v:imagedata o:title=""/>
                    <o:lock v:ext="edit"/>
                  </v:rect>
                  <v:rect id="矩形 14" o:spid="_x0000_s107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情况表</w:t>
            </w:r>
          </w:p>
        </w:tc>
      </w:tr>
      <w:tr>
        <w:tblPrEx>
          <w:tblCellMar>
            <w:top w:w="0" w:type="dxa"/>
            <w:left w:w="0" w:type="dxa"/>
            <w:bottom w:w="0" w:type="dxa"/>
            <w:right w:w="0" w:type="dxa"/>
          </w:tblCellMar>
        </w:tblPrEx>
        <w:trPr>
          <w:trHeight w:val="326" w:hRule="atLeast"/>
        </w:trPr>
        <w:tc>
          <w:tcPr>
            <w:tcW w:w="1901"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03"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790" w:type="dxa"/>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1273" w:type="dxa"/>
            <w:gridSpan w:val="2"/>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rPr>
                <w:rFonts w:ascii="Arial" w:hAnsi="Arial" w:cs="Arial"/>
                <w:color w:val="000000"/>
                <w:szCs w:val="21"/>
              </w:rPr>
            </w:pPr>
          </w:p>
        </w:tc>
        <w:tc>
          <w:tcPr>
            <w:tcW w:w="2500" w:type="dxa"/>
            <w:gridSpan w:val="3"/>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公开</w:t>
            </w:r>
            <w:r>
              <w:rPr>
                <w:rFonts w:ascii="宋体" w:hAnsi="宋体" w:cs="宋体"/>
                <w:color w:val="000000"/>
                <w:kern w:val="0"/>
                <w:szCs w:val="21"/>
              </w:rPr>
              <w:t>10</w:t>
            </w:r>
            <w:r>
              <w:rPr>
                <w:rFonts w:hint="eastAsia" w:ascii="宋体" w:hAnsi="宋体" w:cs="宋体"/>
                <w:color w:val="000000"/>
                <w:kern w:val="0"/>
                <w:szCs w:val="21"/>
              </w:rPr>
              <w:t>表</w:t>
            </w:r>
          </w:p>
        </w:tc>
      </w:tr>
      <w:tr>
        <w:tblPrEx>
          <w:tblCellMar>
            <w:top w:w="0" w:type="dxa"/>
            <w:left w:w="0" w:type="dxa"/>
            <w:bottom w:w="0" w:type="dxa"/>
            <w:right w:w="0" w:type="dxa"/>
          </w:tblCellMar>
        </w:tblPrEx>
        <w:trPr>
          <w:trHeight w:val="360" w:hRule="atLeast"/>
        </w:trPr>
        <w:tc>
          <w:tcPr>
            <w:tcW w:w="6440" w:type="dxa"/>
            <w:gridSpan w:val="7"/>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编制单位：</w:t>
            </w:r>
            <w:r>
              <w:rPr>
                <w:rFonts w:hint="eastAsia" w:ascii="宋体" w:hAnsi="宋体" w:cs="宋体"/>
                <w:color w:val="000000"/>
                <w:kern w:val="0"/>
                <w:sz w:val="20"/>
                <w:szCs w:val="20"/>
                <w:lang w:val="en-US" w:eastAsia="zh-CN"/>
              </w:rPr>
              <w:t>中共阜平县委老干部局</w:t>
            </w:r>
          </w:p>
        </w:tc>
        <w:tc>
          <w:tcPr>
            <w:tcW w:w="2500" w:type="dxa"/>
            <w:gridSpan w:val="3"/>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right"/>
              <w:textAlignment w:val="center"/>
              <w:rPr>
                <w:rFonts w:ascii="宋体" w:cs="宋体"/>
                <w:color w:val="000000"/>
                <w:szCs w:val="21"/>
              </w:rPr>
            </w:pPr>
            <w:r>
              <w:rPr>
                <w:rFonts w:hint="eastAsia" w:ascii="宋体" w:hAnsi="宋体" w:cs="宋体"/>
                <w:color w:val="000000"/>
                <w:kern w:val="0"/>
                <w:szCs w:val="21"/>
              </w:rPr>
              <w:t>金额单位：万元</w:t>
            </w:r>
          </w:p>
        </w:tc>
      </w:tr>
      <w:tr>
        <w:tblPrEx>
          <w:tblCellMar>
            <w:top w:w="0" w:type="dxa"/>
            <w:left w:w="0" w:type="dxa"/>
            <w:bottom w:w="0" w:type="dxa"/>
            <w:right w:w="0" w:type="dxa"/>
          </w:tblCellMar>
        </w:tblPrEx>
        <w:trPr>
          <w:trHeight w:val="309" w:hRule="atLeast"/>
        </w:trPr>
        <w:tc>
          <w:tcPr>
            <w:tcW w:w="1901"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采购计划金额</w:t>
            </w:r>
          </w:p>
        </w:tc>
      </w:tr>
      <w:tr>
        <w:tblPrEx>
          <w:tblCellMar>
            <w:top w:w="0" w:type="dxa"/>
            <w:left w:w="0" w:type="dxa"/>
            <w:bottom w:w="0" w:type="dxa"/>
            <w:right w:w="0" w:type="dxa"/>
          </w:tblCellMar>
        </w:tblPrEx>
        <w:trPr>
          <w:trHeight w:val="398" w:hRule="atLeast"/>
        </w:trPr>
        <w:tc>
          <w:tcPr>
            <w:tcW w:w="190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473" w:hRule="atLeast"/>
        </w:trPr>
        <w:tc>
          <w:tcPr>
            <w:tcW w:w="1901"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w:t>
            </w:r>
            <w:r>
              <w:rPr>
                <w:rFonts w:ascii="宋体" w:hAnsi="宋体" w:cs="宋体"/>
                <w:color w:val="000000"/>
                <w:kern w:val="0"/>
                <w:szCs w:val="21"/>
              </w:rPr>
              <w:t xml:space="preserve">       </w:t>
            </w:r>
            <w:r>
              <w:rPr>
                <w:rFonts w:hint="eastAsia" w:ascii="宋体" w:hAnsi="宋体" w:cs="宋体"/>
                <w:color w:val="000000"/>
                <w:kern w:val="0"/>
                <w:szCs w:val="21"/>
              </w:rPr>
              <w:t>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50"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vMerge w:val="restart"/>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项目</w:t>
            </w:r>
          </w:p>
        </w:tc>
        <w:tc>
          <w:tcPr>
            <w:tcW w:w="7039" w:type="dxa"/>
            <w:gridSpan w:val="9"/>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实际采购金额</w:t>
            </w:r>
          </w:p>
        </w:tc>
      </w:tr>
      <w:tr>
        <w:tblPrEx>
          <w:tblCellMar>
            <w:top w:w="0" w:type="dxa"/>
            <w:left w:w="0" w:type="dxa"/>
            <w:bottom w:w="0" w:type="dxa"/>
            <w:right w:w="0" w:type="dxa"/>
          </w:tblCellMar>
        </w:tblPrEx>
        <w:trPr>
          <w:trHeight w:val="350" w:hRule="atLeast"/>
        </w:trPr>
        <w:tc>
          <w:tcPr>
            <w:tcW w:w="1901" w:type="dxa"/>
            <w:vMerge w:val="continue"/>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总计</w:t>
            </w:r>
          </w:p>
        </w:tc>
        <w:tc>
          <w:tcPr>
            <w:tcW w:w="4610" w:type="dxa"/>
            <w:gridSpan w:val="7"/>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采购预算（财政性资金）</w:t>
            </w:r>
          </w:p>
        </w:tc>
        <w:tc>
          <w:tcPr>
            <w:tcW w:w="1226"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非财政性资金</w:t>
            </w:r>
          </w:p>
        </w:tc>
      </w:tr>
      <w:tr>
        <w:tblPrEx>
          <w:tblCellMar>
            <w:top w:w="0" w:type="dxa"/>
            <w:left w:w="0" w:type="dxa"/>
            <w:bottom w:w="0" w:type="dxa"/>
            <w:right w:w="0" w:type="dxa"/>
          </w:tblCellMar>
        </w:tblPrEx>
        <w:trPr>
          <w:trHeight w:val="543" w:hRule="atLeast"/>
        </w:trPr>
        <w:tc>
          <w:tcPr>
            <w:tcW w:w="1901" w:type="dxa"/>
            <w:vMerge w:val="continue"/>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203"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合计</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一般公共预算</w:t>
            </w:r>
          </w:p>
        </w:tc>
        <w:tc>
          <w:tcPr>
            <w:tcW w:w="1152" w:type="dxa"/>
            <w:gridSpan w:val="2"/>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政府性基金预算</w:t>
            </w:r>
          </w:p>
        </w:tc>
        <w:tc>
          <w:tcPr>
            <w:tcW w:w="1154" w:type="dxa"/>
            <w:tcBorders>
              <w:top w:val="nil"/>
              <w:left w:val="nil"/>
              <w:bottom w:val="single" w:color="000000" w:sz="4" w:space="0"/>
              <w:right w:val="single" w:color="000000" w:sz="4" w:space="0"/>
            </w:tcBorders>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其他资金</w:t>
            </w:r>
          </w:p>
        </w:tc>
        <w:tc>
          <w:tcPr>
            <w:tcW w:w="1226"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rPr>
                <w:rFonts w:ascii="宋体" w:cs="宋体"/>
                <w:color w:val="000000"/>
                <w:szCs w:val="21"/>
              </w:rPr>
            </w:pPr>
          </w:p>
        </w:tc>
      </w:tr>
      <w:tr>
        <w:tblPrEx>
          <w:tblCellMar>
            <w:top w:w="0" w:type="dxa"/>
            <w:left w:w="0" w:type="dxa"/>
            <w:bottom w:w="0" w:type="dxa"/>
            <w:right w:w="0" w:type="dxa"/>
          </w:tblCellMar>
        </w:tblPrEx>
        <w:trPr>
          <w:trHeight w:val="309"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栏次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1</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2</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3</w:t>
            </w: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4</w:t>
            </w: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5</w:t>
            </w: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ascii="宋体" w:hAnsi="宋体" w:cs="宋体"/>
                <w:color w:val="000000"/>
                <w:kern w:val="0"/>
                <w:szCs w:val="21"/>
              </w:rPr>
              <w:t>6</w:t>
            </w: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合</w:t>
            </w:r>
            <w:r>
              <w:rPr>
                <w:rFonts w:ascii="宋体" w:hAnsi="宋体" w:cs="宋体"/>
                <w:color w:val="000000"/>
                <w:kern w:val="0"/>
                <w:szCs w:val="21"/>
              </w:rPr>
              <w:t xml:space="preserve">       </w:t>
            </w:r>
            <w:r>
              <w:rPr>
                <w:rFonts w:hint="eastAsia" w:ascii="宋体" w:hAnsi="宋体" w:cs="宋体"/>
                <w:color w:val="000000"/>
                <w:kern w:val="0"/>
                <w:szCs w:val="21"/>
              </w:rPr>
              <w:t>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货物</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工程</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35" w:hRule="atLeast"/>
        </w:trPr>
        <w:tc>
          <w:tcPr>
            <w:tcW w:w="1901"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center"/>
              <w:textAlignment w:val="center"/>
              <w:rPr>
                <w:rFonts w:ascii="宋体" w:cs="宋体"/>
                <w:color w:val="000000"/>
                <w:szCs w:val="21"/>
              </w:rPr>
            </w:pPr>
            <w:r>
              <w:rPr>
                <w:rFonts w:hint="eastAsia" w:ascii="宋体" w:hAnsi="宋体" w:cs="宋体"/>
                <w:color w:val="000000"/>
                <w:kern w:val="0"/>
                <w:szCs w:val="21"/>
              </w:rPr>
              <w:t>服务</w:t>
            </w:r>
          </w:p>
        </w:tc>
        <w:tc>
          <w:tcPr>
            <w:tcW w:w="1203"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2" w:type="dxa"/>
            <w:gridSpan w:val="2"/>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154"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c>
          <w:tcPr>
            <w:tcW w:w="1226" w:type="dxa"/>
            <w:tcBorders>
              <w:top w:val="nil"/>
              <w:left w:val="nil"/>
              <w:bottom w:val="single" w:color="000000" w:sz="4" w:space="0"/>
              <w:right w:val="single" w:color="000000" w:sz="4" w:space="0"/>
            </w:tcBorders>
            <w:noWrap/>
            <w:tcMar>
              <w:top w:w="15" w:type="dxa"/>
              <w:left w:w="15" w:type="dxa"/>
              <w:right w:w="15" w:type="dxa"/>
            </w:tcMar>
            <w:vAlign w:val="center"/>
          </w:tcPr>
          <w:p>
            <w:pPr>
              <w:widowControl/>
              <w:adjustRightInd w:val="0"/>
              <w:snapToGrid w:val="0"/>
              <w:spacing w:after="0" w:line="240" w:lineRule="auto"/>
              <w:jc w:val="right"/>
              <w:rPr>
                <w:rFonts w:ascii="宋体" w:cs="宋体"/>
                <w:color w:val="000000"/>
                <w:szCs w:val="21"/>
              </w:rPr>
            </w:pPr>
          </w:p>
        </w:tc>
      </w:tr>
      <w:tr>
        <w:tblPrEx>
          <w:tblCellMar>
            <w:top w:w="0" w:type="dxa"/>
            <w:left w:w="0" w:type="dxa"/>
            <w:bottom w:w="0" w:type="dxa"/>
            <w:right w:w="0" w:type="dxa"/>
          </w:tblCellMar>
        </w:tblPrEx>
        <w:trPr>
          <w:trHeight w:val="398" w:hRule="atLeast"/>
        </w:trPr>
        <w:tc>
          <w:tcPr>
            <w:tcW w:w="8940" w:type="dxa"/>
            <w:gridSpan w:val="10"/>
            <w:tcBorders>
              <w:top w:val="nil"/>
              <w:left w:val="nil"/>
              <w:bottom w:val="nil"/>
              <w:right w:val="nil"/>
            </w:tcBorders>
            <w:noWrap/>
            <w:tcMar>
              <w:top w:w="15" w:type="dxa"/>
              <w:left w:w="15" w:type="dxa"/>
              <w:right w:w="15" w:type="dxa"/>
            </w:tcMar>
            <w:vAlign w:val="center"/>
          </w:tcPr>
          <w:p>
            <w:pPr>
              <w:widowControl/>
              <w:adjustRightInd w:val="0"/>
              <w:snapToGrid w:val="0"/>
              <w:spacing w:after="0" w:line="240" w:lineRule="auto"/>
              <w:jc w:val="left"/>
              <w:textAlignment w:val="center"/>
              <w:rPr>
                <w:rFonts w:ascii="宋体" w:cs="宋体"/>
                <w:color w:val="000000"/>
                <w:szCs w:val="21"/>
              </w:rPr>
            </w:pPr>
            <w:r>
              <w:rPr>
                <w:rFonts w:hint="eastAsia" w:ascii="宋体" w:hAnsi="宋体" w:cs="宋体"/>
                <w:color w:val="000000"/>
                <w:kern w:val="0"/>
                <w:szCs w:val="21"/>
              </w:rPr>
              <w:t>本</w:t>
            </w:r>
            <w:r>
              <w:rPr>
                <w:rFonts w:hint="eastAsia" w:ascii="宋体" w:hAnsi="宋体" w:cs="宋体"/>
                <w:color w:val="000000"/>
                <w:kern w:val="0"/>
                <w:szCs w:val="21"/>
                <w:lang w:eastAsia="zh-CN"/>
              </w:rPr>
              <w:t>部门本</w:t>
            </w:r>
            <w:r>
              <w:rPr>
                <w:rFonts w:hint="eastAsia" w:ascii="宋体" w:hAnsi="宋体" w:cs="宋体"/>
                <w:color w:val="000000"/>
                <w:kern w:val="0"/>
                <w:szCs w:val="21"/>
              </w:rPr>
              <w:t>年度</w:t>
            </w:r>
            <w:r>
              <w:rPr>
                <w:rFonts w:hint="eastAsia" w:ascii="宋体" w:hAnsi="宋体" w:cs="宋体"/>
                <w:color w:val="000000"/>
                <w:kern w:val="0"/>
                <w:szCs w:val="21"/>
                <w:lang w:eastAsia="zh-CN"/>
              </w:rPr>
              <w:t>无</w:t>
            </w:r>
            <w:r>
              <w:rPr>
                <w:rFonts w:hint="eastAsia" w:ascii="宋体" w:hAnsi="宋体" w:cs="宋体"/>
                <w:color w:val="000000"/>
                <w:kern w:val="0"/>
                <w:szCs w:val="21"/>
              </w:rPr>
              <w:t>政府采购支出情况</w:t>
            </w:r>
            <w:r>
              <w:rPr>
                <w:rFonts w:hint="eastAsia" w:ascii="宋体" w:hAnsi="宋体" w:cs="宋体"/>
                <w:color w:val="000000"/>
                <w:kern w:val="0"/>
                <w:szCs w:val="21"/>
                <w:lang w:eastAsia="zh-CN"/>
              </w:rPr>
              <w:t>，按要求空表列示。</w:t>
            </w:r>
            <w:r>
              <w:rPr>
                <w:rFonts w:ascii="宋体" w:hAnsi="宋体" w:cs="宋体"/>
                <w:color w:val="000000"/>
                <w:kern w:val="0"/>
                <w:szCs w:val="21"/>
              </w:rPr>
              <w:t xml:space="preserve">         </w:t>
            </w:r>
          </w:p>
        </w:tc>
      </w:tr>
    </w:tbl>
    <w:p>
      <w:pPr>
        <w:widowControl/>
        <w:spacing w:after="0" w:line="560" w:lineRule="exact"/>
        <w:jc w:val="left"/>
        <w:rPr>
          <w:rFonts w:ascii="仿宋_GB2312" w:hAnsi="宋体" w:eastAsia="仿宋_GB2312"/>
          <w:b/>
          <w:sz w:val="28"/>
          <w:szCs w:val="28"/>
          <w:highlight w:val="yellow"/>
        </w:rPr>
      </w:pPr>
    </w:p>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4" o:spid="_x0000_s1071" o:spt="75" alt="2" type="#_x0000_t75" style="position:absolute;left:0pt;margin-left:-79.45pt;margin-top:-105.35pt;height:840.95pt;width:594.5pt;z-index:-251650048;mso-width-relative:page;mso-height-relative:page;" filled="f" o:preferrelative="t" stroked="f" coordsize="21600,21600">
            <v:path/>
            <v:fill on="f" focussize="0,0"/>
            <v:stroke on="f" joinstyle="miter"/>
            <v:imagedata r:id="rId7" o:title=""/>
            <o:lock v:ext="edit" aspectratio="t"/>
          </v:shape>
        </w:pict>
      </w:r>
      <w:r>
        <w:pict>
          <v:shape id="文本框 5" o:spid="_x0000_s1072" o:spt="202" type="#_x0000_t202" style="position:absolute;left:0pt;margin-left:-78.7pt;margin-top:232.8pt;height:159.1pt;width:596.2pt;z-index:25166540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pageBreakBefore w:val="0"/>
        <w:numPr>
          <w:ilvl w:val="0"/>
          <w:numId w:val="2"/>
        </w:numPr>
        <w:kinsoku/>
        <w:wordWrap/>
        <w:overflowPunct/>
        <w:topLinePunct w:val="0"/>
        <w:autoSpaceDE/>
        <w:autoSpaceDN/>
        <w:bidi w:val="0"/>
        <w:adjustRightInd/>
        <w:snapToGrid/>
        <w:spacing w:before="0" w:after="0" w:line="560" w:lineRule="exact"/>
        <w:ind w:firstLine="640" w:firstLineChars="200"/>
        <w:rPr>
          <w:rFonts w:hint="eastAsia" w:ascii="黑体" w:eastAsia="黑体"/>
          <w:b w:val="0"/>
          <w:bCs w:val="0"/>
        </w:rPr>
      </w:pPr>
      <w:r>
        <w:rPr>
          <w:rFonts w:hint="eastAsia" w:ascii="黑体" w:eastAsia="黑体"/>
          <w:b w:val="0"/>
          <w:bCs w:val="0"/>
        </w:rPr>
        <w:t>收入</w:t>
      </w:r>
      <w:r>
        <w:rPr>
          <w:rFonts w:hint="eastAsia" w:ascii="黑体" w:hAnsi="Cambria" w:eastAsia="黑体" w:cs="黑体"/>
          <w:b w:val="0"/>
          <w:bCs w:val="0"/>
          <w:kern w:val="0"/>
        </w:rPr>
        <w:t>支</w:t>
      </w:r>
      <w:r>
        <w:pict>
          <v:group id="组合 18" o:spid="_x0000_s1073" o:spt="203" style="position:absolute;left:0pt;margin-left:-79.5pt;margin-top:29.3pt;height:43.95pt;width:301.85pt;mso-position-vertical-relative:page;z-index:251686912;mso-width-relative:page;mso-height-relative:page;" coordorigin="4551,52615" coordsize="8546,1398">
            <o:lock v:ext="edit"/>
            <v:rect id="矩形 13" o:spid="_x0000_s1074" o:spt="1" style="position:absolute;left:4551;top:52615;height:1175;width:8546;v-text-anchor:middle;" fillcolor="#96DA9D" filled="t" stroked="f" coordsize="21600,21600">
              <v:path/>
              <v:fill on="t" focussize="0,0"/>
              <v:stroke on="f" weight="2pt"/>
              <v:imagedata o:title=""/>
              <o:lock v:ext="edit"/>
            </v:rect>
            <v:rect id="矩形 14" o:spid="_x0000_s107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年度收入总计（含结转和结余）</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年度决算相比，收入减少</w:t>
      </w:r>
      <w:r>
        <w:rPr>
          <w:rFonts w:hint="eastAsia" w:ascii="仿宋_GB2312" w:eastAsia="仿宋_GB2312" w:cs="DengXian-Regular"/>
          <w:sz w:val="32"/>
          <w:szCs w:val="32"/>
          <w:lang w:val="en-US" w:eastAsia="zh-CN"/>
        </w:rPr>
        <w:t>77.76</w:t>
      </w:r>
      <w:r>
        <w:rPr>
          <w:rFonts w:hint="eastAsia" w:ascii="仿宋_GB2312" w:eastAsia="仿宋_GB2312" w:cs="DengXian-Regular"/>
          <w:sz w:val="32"/>
          <w:szCs w:val="32"/>
        </w:rPr>
        <w:t>万元，降</w:t>
      </w:r>
      <w:r>
        <w:rPr>
          <w:rFonts w:hint="eastAsia" w:ascii="仿宋_GB2312" w:eastAsia="仿宋_GB2312" w:cs="DengXian-Regular"/>
          <w:sz w:val="32"/>
          <w:szCs w:val="32"/>
          <w:lang w:val="en-US" w:eastAsia="zh-CN"/>
        </w:rPr>
        <w:t>低9.59</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eastAsia="仿宋_GB2312" w:cs="DengXian-Regular"/>
          <w:sz w:val="32"/>
          <w:szCs w:val="32"/>
          <w:lang w:val="en-US" w:eastAsia="zh-CN"/>
        </w:rPr>
        <w:t>离休干部死亡人数增加，工资总额减少</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年度支出总计（含结转和结余）</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年度决算相比，支出减少</w:t>
      </w:r>
      <w:r>
        <w:rPr>
          <w:rFonts w:hint="eastAsia" w:ascii="仿宋_GB2312" w:eastAsia="仿宋_GB2312" w:cs="DengXian-Regular"/>
          <w:sz w:val="32"/>
          <w:szCs w:val="32"/>
          <w:lang w:val="en-US" w:eastAsia="zh-CN"/>
        </w:rPr>
        <w:t>77.76</w:t>
      </w:r>
      <w:r>
        <w:rPr>
          <w:rFonts w:hint="eastAsia" w:ascii="仿宋_GB2312" w:eastAsia="仿宋_GB2312" w:cs="DengXian-Regular"/>
          <w:sz w:val="32"/>
          <w:szCs w:val="32"/>
        </w:rPr>
        <w:t>万元，降</w:t>
      </w:r>
      <w:r>
        <w:rPr>
          <w:rFonts w:hint="eastAsia" w:ascii="仿宋_GB2312" w:eastAsia="仿宋_GB2312" w:cs="DengXian-Regular"/>
          <w:sz w:val="32"/>
          <w:szCs w:val="32"/>
          <w:lang w:val="en-US" w:eastAsia="zh-CN"/>
        </w:rPr>
        <w:t>低9.59</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eastAsia="仿宋_GB2312" w:cs="DengXian-Regular"/>
          <w:sz w:val="32"/>
          <w:szCs w:val="32"/>
          <w:lang w:val="en-US" w:eastAsia="zh-CN"/>
        </w:rPr>
        <w:t>离休干部死亡人数增加，工资总额减少</w:t>
      </w:r>
      <w:r>
        <w:rPr>
          <w:rFonts w:hint="eastAsia" w:ascii="仿宋_GB2312" w:eastAsia="仿宋_GB2312" w:cs="DengXian-Regular"/>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textAlignment w:val="baseline"/>
        <w:rPr>
          <w:rFonts w:hint="eastAsia" w:ascii="黑体" w:hAnsi="Calibri" w:eastAsia="黑体" w:cs="Times New Roman"/>
          <w:b w:val="0"/>
          <w:bCs w:val="0"/>
          <w:kern w:val="2"/>
          <w:sz w:val="32"/>
          <w:szCs w:val="32"/>
          <w:lang w:val="en-US" w:eastAsia="zh-CN" w:bidi="ar-SA"/>
        </w:rPr>
      </w:pPr>
      <w:r>
        <w:rPr>
          <w:rStyle w:val="34"/>
          <w:rFonts w:ascii="仿宋" w:hAnsi="仿宋" w:eastAsia="仿宋"/>
          <w:b/>
          <w:sz w:val="32"/>
          <w:lang w:val="en-US" w:eastAsia="zh-CN" w:bidi="ar-SA"/>
        </w:rPr>
        <w:t xml:space="preserve">    </w:t>
      </w:r>
      <w:r>
        <w:rPr>
          <w:rFonts w:hint="eastAsia" w:ascii="黑体" w:hAnsi="Calibri" w:eastAsia="黑体" w:cs="Times New Roman"/>
          <w:b w:val="0"/>
          <w:bCs w:val="0"/>
          <w:kern w:val="2"/>
          <w:sz w:val="32"/>
          <w:szCs w:val="32"/>
          <w:lang w:val="en-US" w:eastAsia="zh-CN" w:bidi="ar-SA"/>
        </w:rPr>
        <w:t xml:space="preserve">二、收入决算情况说明 </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lang w:val="en-US" w:eastAsia="zh-CN"/>
        </w:rPr>
        <w:t>本部门2018年度收入合计732.75万元，</w:t>
      </w:r>
      <w:r>
        <w:rPr>
          <w:rFonts w:hint="eastAsia" w:ascii="仿宋_GB2312" w:eastAsia="仿宋_GB2312" w:cs="DengXian-Regular"/>
          <w:sz w:val="32"/>
          <w:szCs w:val="32"/>
        </w:rPr>
        <w:t>其中：财政拨款收入</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100</w:t>
      </w:r>
      <w:r>
        <w:rPr>
          <w:rFonts w:ascii="仿宋_GB2312" w:eastAsia="仿宋_GB2312" w:cs="DengXian-Regular"/>
          <w:sz w:val="32"/>
          <w:szCs w:val="32"/>
        </w:rPr>
        <w:t>%</w:t>
      </w:r>
      <w:r>
        <w:rPr>
          <w:rFonts w:hint="eastAsia" w:ascii="仿宋_GB2312" w:eastAsia="仿宋_GB2312" w:cs="DengXian-Regular"/>
          <w:sz w:val="32"/>
          <w:szCs w:val="32"/>
        </w:rPr>
        <w:t>；事业收入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；经营收入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；其他收入</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baseline"/>
        <w:rPr>
          <w:rFonts w:hint="eastAsia" w:ascii="黑体" w:hAnsi="Calibri" w:eastAsia="黑体" w:cs="Times New Roman"/>
          <w:b w:val="0"/>
          <w:bCs w:val="0"/>
          <w:kern w:val="2"/>
          <w:sz w:val="32"/>
          <w:szCs w:val="32"/>
          <w:lang w:val="en-US" w:eastAsia="zh-CN" w:bidi="ar-SA"/>
        </w:rPr>
      </w:pPr>
      <w:r>
        <w:rPr>
          <w:rFonts w:hint="eastAsia" w:ascii="黑体" w:hAnsi="Calibri" w:eastAsia="黑体" w:cs="Times New Roman"/>
          <w:b w:val="0"/>
          <w:bCs w:val="0"/>
          <w:kern w:val="2"/>
          <w:sz w:val="32"/>
          <w:szCs w:val="32"/>
          <w:lang w:val="en-US" w:eastAsia="zh-CN" w:bidi="ar-SA"/>
        </w:rPr>
        <w:t>三、支出决算情况说明</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lang w:val="en-US" w:eastAsia="zh-CN"/>
        </w:rPr>
        <w:t>本部门2018年度支出合计732.75万元，</w:t>
      </w:r>
      <w:r>
        <w:rPr>
          <w:rFonts w:hint="eastAsia" w:ascii="仿宋_GB2312" w:eastAsia="仿宋_GB2312" w:cs="DengXian-Regular"/>
          <w:sz w:val="32"/>
          <w:szCs w:val="32"/>
        </w:rPr>
        <w:t>其中：基本支出</w:t>
      </w:r>
      <w:r>
        <w:rPr>
          <w:rFonts w:hint="eastAsia" w:ascii="仿宋_GB2312" w:eastAsia="仿宋_GB2312" w:cs="DengXian-Regular"/>
          <w:sz w:val="32"/>
          <w:szCs w:val="32"/>
          <w:lang w:val="en-US" w:eastAsia="zh-CN"/>
        </w:rPr>
        <w:t>513.93</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70.14</w:t>
      </w:r>
      <w:r>
        <w:rPr>
          <w:rFonts w:ascii="仿宋_GB2312" w:eastAsia="仿宋_GB2312" w:cs="DengXian-Regular"/>
          <w:sz w:val="32"/>
          <w:szCs w:val="32"/>
        </w:rPr>
        <w:t>%</w:t>
      </w:r>
      <w:r>
        <w:rPr>
          <w:rFonts w:hint="eastAsia" w:ascii="仿宋_GB2312" w:eastAsia="仿宋_GB2312" w:cs="DengXian-Regular"/>
          <w:sz w:val="32"/>
          <w:szCs w:val="32"/>
        </w:rPr>
        <w:t>；项目支出</w:t>
      </w:r>
      <w:r>
        <w:rPr>
          <w:rFonts w:hint="eastAsia" w:ascii="仿宋_GB2312" w:eastAsia="仿宋_GB2312" w:cs="DengXian-Regular"/>
          <w:sz w:val="32"/>
          <w:szCs w:val="32"/>
          <w:lang w:val="en-US" w:eastAsia="zh-CN"/>
        </w:rPr>
        <w:t>218.82</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29.86</w:t>
      </w:r>
      <w:r>
        <w:rPr>
          <w:rFonts w:ascii="仿宋_GB2312" w:eastAsia="仿宋_GB2312" w:cs="DengXian-Regular"/>
          <w:sz w:val="32"/>
          <w:szCs w:val="32"/>
        </w:rPr>
        <w:t>%</w:t>
      </w:r>
      <w:r>
        <w:rPr>
          <w:rFonts w:hint="eastAsia" w:ascii="仿宋_GB2312" w:eastAsia="仿宋_GB2312" w:cs="DengXian-Regular"/>
          <w:sz w:val="32"/>
          <w:szCs w:val="32"/>
        </w:rPr>
        <w:t>；经营支出</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baseline"/>
        <w:rPr>
          <w:rFonts w:hint="eastAsia" w:ascii="黑体" w:hAnsi="Calibri" w:eastAsia="黑体" w:cs="Times New Roman"/>
          <w:b w:val="0"/>
          <w:bCs w:val="0"/>
          <w:kern w:val="2"/>
          <w:sz w:val="32"/>
          <w:szCs w:val="32"/>
          <w:lang w:val="en-US" w:eastAsia="zh-CN" w:bidi="ar-SA"/>
        </w:rPr>
      </w:pPr>
      <w:r>
        <w:rPr>
          <w:rFonts w:hint="eastAsia" w:ascii="黑体" w:hAnsi="Calibri" w:eastAsia="黑体" w:cs="Times New Roman"/>
          <w:b w:val="0"/>
          <w:bCs w:val="0"/>
          <w:kern w:val="2"/>
          <w:sz w:val="32"/>
          <w:szCs w:val="32"/>
          <w:lang w:val="en-US" w:eastAsia="zh-CN" w:bidi="ar-SA"/>
        </w:rPr>
        <w:t xml:space="preserve">四、财政拨款收入支出决算总体情况说明 </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textAlignment w:val="auto"/>
        <w:rPr>
          <w:rFonts w:hint="eastAsia" w:ascii="楷体_GB2312" w:eastAsia="楷体_GB2312" w:cs="DengXian-Bold"/>
          <w:b/>
          <w:bCs/>
          <w:sz w:val="32"/>
          <w:szCs w:val="32"/>
          <w:lang w:val="en-US" w:eastAsia="zh-CN"/>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年度减少</w:t>
      </w:r>
      <w:r>
        <w:rPr>
          <w:rFonts w:hint="eastAsia" w:ascii="仿宋_GB2312" w:eastAsia="仿宋_GB2312" w:cs="DengXian-Regular"/>
          <w:sz w:val="32"/>
          <w:szCs w:val="32"/>
          <w:lang w:val="en-US" w:eastAsia="zh-CN"/>
        </w:rPr>
        <w:t>77.76</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9.59</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离休干部死亡人数增加，工资总额减少</w:t>
      </w:r>
      <w:r>
        <w:rPr>
          <w:rFonts w:hint="eastAsia" w:ascii="仿宋_GB2312" w:eastAsia="仿宋_GB2312" w:cs="DengXian-Regular"/>
          <w:sz w:val="32"/>
          <w:szCs w:val="32"/>
        </w:rPr>
        <w:t>；本年支出</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万元，减少</w:t>
      </w:r>
      <w:r>
        <w:rPr>
          <w:rFonts w:hint="eastAsia" w:ascii="仿宋_GB2312" w:eastAsia="仿宋_GB2312" w:cs="DengXian-Regular"/>
          <w:sz w:val="32"/>
          <w:szCs w:val="32"/>
          <w:lang w:val="en-US" w:eastAsia="zh-CN"/>
        </w:rPr>
        <w:t>77.76</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9.59</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离休干部死亡人数增加，工资总额减少</w:t>
      </w:r>
      <w:r>
        <w:rPr>
          <w:rFonts w:hint="eastAsia" w:ascii="仿宋_GB2312" w:eastAsia="仿宋_GB2312" w:cs="DengXian-Regular"/>
          <w:sz w:val="32"/>
          <w:szCs w:val="32"/>
        </w:rPr>
        <w:t>。</w:t>
      </w:r>
      <w:r>
        <w:rPr>
          <w:rStyle w:val="34"/>
          <w:rFonts w:ascii="仿宋" w:hAnsi="仿宋" w:eastAsia="仿宋" w:cs="仿宋"/>
          <w:bCs/>
          <w:spacing w:val="12"/>
          <w:sz w:val="32"/>
          <w:lang w:val="en-US" w:eastAsia="zh-CN" w:bidi="ar-SA"/>
        </w:rPr>
        <w:t xml:space="preserve">  </w:t>
      </w:r>
      <w:r>
        <w:rPr>
          <w:rStyle w:val="34"/>
          <w:rFonts w:hint="eastAsia" w:ascii="仿宋" w:hAnsi="仿宋" w:eastAsia="仿宋" w:cs="仿宋"/>
          <w:bCs/>
          <w:spacing w:val="12"/>
          <w:sz w:val="32"/>
          <w:lang w:val="en-US" w:eastAsia="zh-CN" w:bidi="ar-SA"/>
        </w:rPr>
        <w:t xml:space="preserve">        </w:t>
      </w:r>
      <w:r>
        <w:rPr>
          <w:rFonts w:hint="eastAsia" w:ascii="楷体_GB2312" w:eastAsia="楷体_GB2312" w:cs="DengXian-Bold"/>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0" w:line="580" w:lineRule="exact"/>
        <w:ind w:firstLine="643" w:firstLineChars="200"/>
        <w:textAlignment w:val="auto"/>
        <w:rPr>
          <w:rFonts w:hint="default" w:ascii="楷体_GB2312" w:eastAsia="楷体_GB2312" w:cs="DengXian-Bold"/>
          <w:b/>
          <w:bCs/>
          <w:sz w:val="32"/>
          <w:szCs w:val="32"/>
          <w:lang w:val="en-US" w:eastAsia="zh-CN"/>
        </w:rPr>
      </w:pPr>
      <w:r>
        <w:rPr>
          <w:rFonts w:hint="eastAsia" w:ascii="楷体_GB2312" w:eastAsia="楷体_GB2312" w:cs="DengXian-Bold"/>
          <w:b/>
          <w:bCs/>
          <w:sz w:val="32"/>
          <w:szCs w:val="32"/>
        </w:rPr>
        <w:t>（二）财政拨款收支与年初预算数对比情况</w:t>
      </w:r>
      <w:r>
        <w:rPr>
          <w:rFonts w:hint="eastAsia" w:ascii="楷体_GB2312" w:eastAsia="楷体_GB2312" w:cs="DengXian-Bold"/>
          <w:b/>
          <w:bCs/>
          <w:sz w:val="32"/>
          <w:szCs w:val="32"/>
          <w:lang w:val="en-US" w:eastAsia="zh-CN"/>
        </w:rPr>
        <w:t xml:space="preserve">      </w:t>
      </w:r>
    </w:p>
    <w:p>
      <w:pPr>
        <w:adjustRightInd w:val="0"/>
        <w:snapToGrid w:val="0"/>
        <w:spacing w:after="0" w:line="580" w:lineRule="exact"/>
        <w:ind w:firstLine="640" w:firstLineChars="200"/>
        <w:rPr>
          <w:rFonts w:hint="eastAsia" w:ascii="仿宋_GB2312" w:eastAsia="仿宋_GB2312" w:cs="DengXian-Regular"/>
          <w:sz w:val="32"/>
          <w:szCs w:val="32"/>
          <w:lang w:val="en-US" w:eastAsia="zh-CN"/>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78.27</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203.38</w:t>
      </w:r>
      <w:r>
        <w:rPr>
          <w:rFonts w:hint="eastAsia" w:ascii="仿宋_GB2312" w:eastAsia="仿宋_GB2312" w:cs="DengXian-Regular"/>
          <w:sz w:val="32"/>
          <w:szCs w:val="32"/>
        </w:rPr>
        <w:t>万元，决算数小于预算数主要原因是</w:t>
      </w:r>
      <w:r>
        <w:rPr>
          <w:rFonts w:hint="eastAsia" w:ascii="仿宋_GB2312" w:eastAsia="仿宋_GB2312" w:cs="DengXian-Regular"/>
          <w:sz w:val="32"/>
          <w:szCs w:val="32"/>
          <w:lang w:val="en-US" w:eastAsia="zh-CN"/>
        </w:rPr>
        <w:t>离休干部费用减少</w:t>
      </w:r>
      <w:r>
        <w:rPr>
          <w:rFonts w:hint="eastAsia" w:ascii="仿宋_GB2312" w:eastAsia="仿宋_GB2312" w:cs="DengXian-Regular"/>
          <w:sz w:val="32"/>
          <w:szCs w:val="32"/>
        </w:rPr>
        <w:t>；本年支出</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78.27</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203.38</w:t>
      </w:r>
      <w:r>
        <w:rPr>
          <w:rFonts w:hint="eastAsia" w:ascii="仿宋_GB2312" w:eastAsia="仿宋_GB2312" w:cs="DengXian-Regular"/>
          <w:sz w:val="32"/>
          <w:szCs w:val="32"/>
        </w:rPr>
        <w:t>万元，决算数小</w:t>
      </w:r>
      <w:r>
        <w:pict>
          <v:group id="组合 76" o:spid="_x0000_s1136" o:spt="203" style="position:absolute;left:0pt;margin-left:-79.5pt;margin-top:29.3pt;height:43.95pt;width:301.85pt;mso-position-vertical-relative:page;z-index:251687936;mso-width-relative:page;mso-height-relative:page;" coordorigin="4551,52615" coordsize="8546,1398">
            <o:lock v:ext="edit"/>
            <v:rect id="矩形 13" o:spid="_x0000_s1137" o:spt="1" style="position:absolute;left:4551;top:52615;height:1175;width:8546;v-text-anchor:middle;" fillcolor="#96DA9D" filled="t" stroked="f" coordsize="21600,21600">
              <v:path/>
              <v:fill on="t" focussize="0,0"/>
              <v:stroke on="f" weight="2pt"/>
              <v:imagedata o:title=""/>
              <o:lock v:ext="edit"/>
            </v:rect>
            <v:rect id="矩形 14" o:spid="_x0000_s113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于预算数主要原因是</w:t>
      </w:r>
      <w:r>
        <w:rPr>
          <w:rFonts w:hint="eastAsia" w:ascii="仿宋_GB2312" w:eastAsia="仿宋_GB2312" w:cs="DengXian-Regular"/>
          <w:sz w:val="32"/>
          <w:szCs w:val="32"/>
          <w:lang w:val="en-US" w:eastAsia="zh-CN"/>
        </w:rPr>
        <w:t>离休干部死亡人数增加，工资总额减少</w:t>
      </w:r>
      <w:r>
        <w:rPr>
          <w:rFonts w:hint="eastAsia" w:ascii="仿宋_GB2312" w:eastAsia="仿宋_GB2312" w:cs="DengXian-Regular"/>
          <w:sz w:val="32"/>
          <w:szCs w:val="32"/>
        </w:rPr>
        <w:t>。</w:t>
      </w:r>
    </w:p>
    <w:p>
      <w:pPr>
        <w:numPr>
          <w:ilvl w:val="0"/>
          <w:numId w:val="0"/>
        </w:numPr>
        <w:adjustRightInd w:val="0"/>
        <w:snapToGrid w:val="0"/>
        <w:spacing w:after="0" w:line="580" w:lineRule="exact"/>
        <w:ind w:firstLine="643" w:firstLineChars="200"/>
        <w:rPr>
          <w:rFonts w:hint="eastAsia" w:ascii="楷体_GB2312" w:hAnsi="Times New Roman" w:eastAsia="楷体_GB2312" w:cs="DengXian-Bold"/>
          <w:b/>
          <w:bCs/>
          <w:sz w:val="32"/>
          <w:szCs w:val="32"/>
          <w:lang w:val="en-US" w:eastAsia="zh-CN"/>
        </w:rPr>
      </w:pPr>
      <w:r>
        <w:rPr>
          <w:rFonts w:hint="eastAsia" w:ascii="楷体_GB2312" w:hAnsi="Times New Roman" w:eastAsia="楷体_GB2312" w:cs="DengXian-Bold"/>
          <w:b/>
          <w:bCs/>
          <w:sz w:val="32"/>
          <w:szCs w:val="32"/>
          <w:lang w:val="en-US" w:eastAsia="zh-CN"/>
        </w:rPr>
        <w:t xml:space="preserve">(三)财政拨款收入决算结构 </w:t>
      </w:r>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_GB2312" w:eastAsia="仿宋_GB2312" w:cs="DengXian-Regular"/>
          <w:sz w:val="32"/>
          <w:szCs w:val="32"/>
          <w:lang w:val="en-US" w:eastAsia="zh-CN"/>
        </w:rPr>
        <w:t>732.75</w:t>
      </w:r>
      <w:r>
        <w:rPr>
          <w:rFonts w:hint="eastAsia" w:ascii="仿宋_GB2312" w:eastAsia="仿宋_GB2312" w:cs="DengXian-Regular"/>
          <w:sz w:val="32"/>
          <w:szCs w:val="32"/>
        </w:rPr>
        <w:t>万元，主要用于以下方面一般公共服务支出</w:t>
      </w:r>
      <w:r>
        <w:rPr>
          <w:rFonts w:hint="eastAsia" w:ascii="仿宋_GB2312" w:eastAsia="仿宋_GB2312" w:cs="DengXian-Regular"/>
          <w:sz w:val="32"/>
          <w:szCs w:val="32"/>
          <w:lang w:val="en-US" w:eastAsia="zh-CN"/>
        </w:rPr>
        <w:t>5.00</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0.67</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社会保障和就业支出540.78万元</w:t>
      </w:r>
      <w:r>
        <w:rPr>
          <w:rFonts w:hint="eastAsia" w:ascii="仿宋_GB2312" w:eastAsia="仿宋_GB2312" w:cs="DengXian-Regular"/>
          <w:sz w:val="32"/>
          <w:szCs w:val="32"/>
        </w:rPr>
        <w:t>，占</w:t>
      </w:r>
      <w:r>
        <w:rPr>
          <w:rFonts w:hint="eastAsia" w:ascii="仿宋_GB2312" w:eastAsia="仿宋_GB2312" w:cs="DengXian-Regular"/>
          <w:sz w:val="32"/>
          <w:szCs w:val="32"/>
          <w:lang w:val="en-US" w:eastAsia="zh-CN"/>
        </w:rPr>
        <w:t>73.80</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医疗卫生与计划生育支出177.52万元</w:t>
      </w:r>
      <w:r>
        <w:rPr>
          <w:rFonts w:hint="eastAsia" w:ascii="仿宋_GB2312" w:eastAsia="仿宋_GB2312" w:cs="DengXian-Regular"/>
          <w:sz w:val="32"/>
          <w:szCs w:val="32"/>
        </w:rPr>
        <w:t>，占</w:t>
      </w:r>
      <w:r>
        <w:rPr>
          <w:rFonts w:hint="eastAsia" w:ascii="仿宋_GB2312" w:eastAsia="仿宋_GB2312" w:cs="DengXian-Regular"/>
          <w:sz w:val="32"/>
          <w:szCs w:val="32"/>
          <w:lang w:val="en-US" w:eastAsia="zh-CN"/>
        </w:rPr>
        <w:t>24.23</w:t>
      </w:r>
      <w:r>
        <w:rPr>
          <w:rFonts w:ascii="仿宋_GB2312" w:eastAsia="仿宋_GB2312" w:cs="DengXian-Regular"/>
          <w:sz w:val="32"/>
          <w:szCs w:val="32"/>
        </w:rPr>
        <w:t>%</w:t>
      </w:r>
      <w:r>
        <w:rPr>
          <w:rFonts w:hint="eastAsia" w:ascii="仿宋_GB2312" w:eastAsia="仿宋_GB2312" w:cs="DengXian-Regular"/>
          <w:sz w:val="32"/>
          <w:szCs w:val="32"/>
          <w:lang w:eastAsia="zh-CN"/>
        </w:rPr>
        <w:t>；</w:t>
      </w:r>
      <w:r>
        <w:rPr>
          <w:rFonts w:hint="eastAsia" w:ascii="仿宋_GB2312" w:eastAsia="仿宋_GB2312" w:cs="DengXian-Regular"/>
          <w:sz w:val="32"/>
          <w:szCs w:val="32"/>
          <w:lang w:val="en-US" w:eastAsia="zh-CN"/>
        </w:rPr>
        <w:t>住房保障支出9.45万元，占1.30%</w:t>
      </w:r>
      <w:r>
        <w:rPr>
          <w:rFonts w:hint="eastAsia" w:ascii="仿宋_GB2312" w:eastAsia="仿宋_GB2312" w:cs="DengXian-Regular"/>
          <w:sz w:val="32"/>
          <w:szCs w:val="32"/>
        </w:rPr>
        <w:t>。</w:t>
      </w:r>
    </w:p>
    <w:p>
      <w:pPr>
        <w:adjustRightInd w:val="0"/>
        <w:snapToGrid w:val="0"/>
        <w:spacing w:after="0" w:line="580" w:lineRule="exact"/>
        <w:ind w:left="420" w:leftChars="200"/>
        <w:rPr>
          <w:rFonts w:ascii="仿宋_GB2312" w:eastAsia="仿宋_GB2312" w:cs="DengXian-Regular"/>
          <w:sz w:val="32"/>
          <w:szCs w:val="32"/>
          <w:highlight w:val="yellow"/>
        </w:rPr>
      </w:pP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2</w:t>
      </w:r>
      <w:r>
        <w:rPr>
          <w:rFonts w:hint="eastAsia" w:ascii="仿宋_GB2312" w:hAnsi="Times New Roman" w:eastAsia="仿宋_GB2312" w:cs="DengXian-Regular"/>
          <w:sz w:val="32"/>
          <w:szCs w:val="32"/>
        </w:rPr>
        <w:t>018 年度一般公共预算财政拨款基本支出</w:t>
      </w:r>
      <w:r>
        <w:rPr>
          <w:rFonts w:hint="eastAsia" w:ascii="仿宋_GB2312" w:eastAsia="仿宋_GB2312" w:cs="DengXian-Regular"/>
          <w:sz w:val="32"/>
          <w:szCs w:val="32"/>
          <w:lang w:val="en-US" w:eastAsia="zh-CN"/>
        </w:rPr>
        <w:t>513.93</w:t>
      </w:r>
      <w:r>
        <w:rPr>
          <w:rFonts w:hint="eastAsia" w:ascii="仿宋_GB2312" w:hAnsi="Times New Roman" w:eastAsia="仿宋_GB2312" w:cs="DengXian-Regular"/>
          <w:sz w:val="32"/>
          <w:szCs w:val="32"/>
        </w:rPr>
        <w:t>万元，其中：人员经费</w:t>
      </w:r>
      <w:r>
        <w:rPr>
          <w:rFonts w:hint="eastAsia" w:ascii="仿宋_GB2312" w:eastAsia="仿宋_GB2312" w:cs="DengXian-Regular"/>
          <w:sz w:val="32"/>
          <w:szCs w:val="32"/>
          <w:lang w:val="en-US" w:eastAsia="zh-CN"/>
        </w:rPr>
        <w:t>495.53</w:t>
      </w:r>
      <w:r>
        <w:rPr>
          <w:rFonts w:hint="eastAsia" w:ascii="仿宋_GB2312" w:hAnsi="Times New Roman" w:eastAsia="仿宋_GB2312" w:cs="DengXian-Regular"/>
          <w:sz w:val="32"/>
          <w:szCs w:val="32"/>
        </w:rPr>
        <w:t>万元，主要包括基本工资</w:t>
      </w:r>
      <w:r>
        <w:rPr>
          <w:rFonts w:hint="eastAsia" w:ascii="仿宋_GB2312" w:eastAsia="仿宋_GB2312" w:cs="DengXian-Regular"/>
          <w:sz w:val="32"/>
          <w:szCs w:val="32"/>
          <w:lang w:val="en-US" w:eastAsia="zh-CN"/>
        </w:rPr>
        <w:t>56.84</w:t>
      </w:r>
      <w:r>
        <w:rPr>
          <w:rFonts w:hint="eastAsia" w:ascii="仿宋_GB2312" w:hAnsi="Times New Roman" w:eastAsia="仿宋_GB2312" w:cs="DengXian-Regular"/>
          <w:sz w:val="32"/>
          <w:szCs w:val="32"/>
        </w:rPr>
        <w:t>万元、津贴补贴</w:t>
      </w:r>
      <w:r>
        <w:rPr>
          <w:rFonts w:hint="eastAsia" w:ascii="仿宋_GB2312" w:eastAsia="仿宋_GB2312" w:cs="DengXian-Regular"/>
          <w:sz w:val="32"/>
          <w:szCs w:val="32"/>
          <w:lang w:val="en-US" w:eastAsia="zh-CN"/>
        </w:rPr>
        <w:t>25.12</w:t>
      </w:r>
      <w:r>
        <w:rPr>
          <w:rFonts w:hint="eastAsia" w:ascii="仿宋_GB2312" w:hAnsi="Times New Roman" w:eastAsia="仿宋_GB2312" w:cs="DengXian-Regular"/>
          <w:sz w:val="32"/>
          <w:szCs w:val="32"/>
        </w:rPr>
        <w:t>万元、奖金</w:t>
      </w:r>
      <w:r>
        <w:rPr>
          <w:rFonts w:hint="eastAsia" w:ascii="仿宋_GB2312" w:eastAsia="仿宋_GB2312" w:cs="DengXian-Regular"/>
          <w:sz w:val="32"/>
          <w:szCs w:val="32"/>
          <w:lang w:val="en-US" w:eastAsia="zh-CN"/>
        </w:rPr>
        <w:t>3.51</w:t>
      </w:r>
      <w:r>
        <w:rPr>
          <w:rFonts w:hint="eastAsia" w:ascii="仿宋_GB2312" w:hAnsi="Times New Roman" w:eastAsia="仿宋_GB2312" w:cs="DengXian-Regular"/>
          <w:sz w:val="32"/>
          <w:szCs w:val="32"/>
        </w:rPr>
        <w:t>万元、其他社会保险缴费</w:t>
      </w:r>
      <w:r>
        <w:rPr>
          <w:rFonts w:hint="eastAsia" w:ascii="仿宋_GB2312" w:eastAsia="仿宋_GB2312" w:cs="DengXian-Regular"/>
          <w:sz w:val="32"/>
          <w:szCs w:val="32"/>
          <w:lang w:val="en-US" w:eastAsia="zh-CN"/>
        </w:rPr>
        <w:t>0.36</w:t>
      </w:r>
      <w:r>
        <w:rPr>
          <w:rFonts w:hint="eastAsia" w:ascii="仿宋_GB2312" w:hAnsi="Times New Roman" w:eastAsia="仿宋_GB2312" w:cs="DengXian-Regular"/>
          <w:sz w:val="32"/>
          <w:szCs w:val="32"/>
        </w:rPr>
        <w:t>万元、机关事业单位基本养老保险缴费</w:t>
      </w:r>
      <w:r>
        <w:rPr>
          <w:rFonts w:hint="eastAsia" w:ascii="仿宋_GB2312" w:eastAsia="仿宋_GB2312" w:cs="DengXian-Regular"/>
          <w:sz w:val="32"/>
          <w:szCs w:val="32"/>
          <w:lang w:val="en-US" w:eastAsia="zh-CN"/>
        </w:rPr>
        <w:t>19.73</w:t>
      </w:r>
      <w:r>
        <w:rPr>
          <w:rFonts w:hint="eastAsia" w:ascii="仿宋_GB2312" w:hAnsi="Times New Roman" w:eastAsia="仿宋_GB2312" w:cs="DengXian-Regular"/>
          <w:sz w:val="32"/>
          <w:szCs w:val="32"/>
        </w:rPr>
        <w:t>万元、</w:t>
      </w:r>
      <w:r>
        <w:rPr>
          <w:rFonts w:hint="eastAsia" w:ascii="仿宋_GB2312" w:eastAsia="仿宋_GB2312" w:cs="DengXian-Regular"/>
          <w:sz w:val="32"/>
          <w:szCs w:val="32"/>
          <w:lang w:val="en-US" w:eastAsia="zh-CN"/>
        </w:rPr>
        <w:t>职工基本医疗保险缴费5.13万元，</w:t>
      </w:r>
      <w:r>
        <w:rPr>
          <w:rFonts w:hint="eastAsia" w:ascii="仿宋_GB2312" w:hAnsi="Times New Roman" w:eastAsia="仿宋_GB2312" w:cs="DengXian-Regular"/>
          <w:sz w:val="32"/>
          <w:szCs w:val="32"/>
        </w:rPr>
        <w:t>退休费</w:t>
      </w:r>
      <w:r>
        <w:rPr>
          <w:rFonts w:hint="eastAsia" w:ascii="仿宋_GB2312" w:eastAsia="仿宋_GB2312" w:cs="DengXian-Regular"/>
          <w:sz w:val="32"/>
          <w:szCs w:val="32"/>
          <w:lang w:val="en-US" w:eastAsia="zh-CN"/>
        </w:rPr>
        <w:t>5.5</w:t>
      </w:r>
      <w:r>
        <w:rPr>
          <w:rFonts w:hint="eastAsia" w:ascii="仿宋_GB2312" w:hAnsi="Times New Roman" w:eastAsia="仿宋_GB2312" w:cs="DengXian-Regular"/>
          <w:sz w:val="32"/>
          <w:szCs w:val="32"/>
        </w:rPr>
        <w:t>万元、</w:t>
      </w:r>
      <w:r>
        <w:rPr>
          <w:rFonts w:hint="eastAsia" w:ascii="仿宋_GB2312" w:eastAsia="仿宋_GB2312" w:cs="DengXian-Regular"/>
          <w:sz w:val="32"/>
          <w:szCs w:val="32"/>
          <w:lang w:val="en-US" w:eastAsia="zh-CN"/>
        </w:rPr>
        <w:t>离休费293.23万元、抚恤金37.19万元、生活补助39.47万元、</w:t>
      </w:r>
      <w:r>
        <w:rPr>
          <w:rFonts w:hint="eastAsia" w:ascii="仿宋_GB2312" w:hAnsi="Times New Roman" w:eastAsia="仿宋_GB2312" w:cs="DengXian-Regular"/>
          <w:sz w:val="32"/>
          <w:szCs w:val="32"/>
        </w:rPr>
        <w:t>住房公积金</w:t>
      </w:r>
      <w:r>
        <w:rPr>
          <w:rFonts w:hint="eastAsia" w:ascii="仿宋_GB2312" w:eastAsia="仿宋_GB2312" w:cs="DengXian-Regular"/>
          <w:sz w:val="32"/>
          <w:szCs w:val="32"/>
          <w:lang w:val="en-US" w:eastAsia="zh-CN"/>
        </w:rPr>
        <w:t>9.46</w:t>
      </w:r>
      <w:r>
        <w:rPr>
          <w:rFonts w:hint="eastAsia" w:ascii="仿宋_GB2312" w:hAnsi="Times New Roman" w:eastAsia="仿宋_GB2312" w:cs="DengXian-Regular"/>
          <w:sz w:val="32"/>
          <w:szCs w:val="32"/>
        </w:rPr>
        <w:t>万元</w:t>
      </w:r>
      <w:r>
        <w:rPr>
          <w:rFonts w:hint="eastAsia" w:ascii="仿宋_GB2312" w:eastAsia="仿宋_GB2312" w:cs="DengXian-Regular"/>
          <w:sz w:val="32"/>
          <w:szCs w:val="32"/>
        </w:rPr>
        <w:t>；公用经费</w:t>
      </w:r>
      <w:r>
        <w:rPr>
          <w:rFonts w:hint="eastAsia" w:ascii="宋体" w:hAnsi="宋体" w:cs="宋体"/>
          <w:b w:val="0"/>
          <w:bCs w:val="0"/>
          <w:sz w:val="32"/>
          <w:szCs w:val="32"/>
          <w:lang w:val="en-US" w:eastAsia="zh-CN"/>
        </w:rPr>
        <w:t>18.4</w:t>
      </w:r>
      <w:r>
        <w:rPr>
          <w:rFonts w:hint="eastAsia" w:ascii="仿宋_GB2312" w:eastAsia="仿宋_GB2312" w:cs="DengXian-Regular"/>
          <w:sz w:val="32"/>
          <w:szCs w:val="32"/>
        </w:rPr>
        <w:t>万元，主要包括办公费</w:t>
      </w:r>
      <w:r>
        <w:rPr>
          <w:rFonts w:hint="eastAsia" w:ascii="仿宋_GB2312" w:eastAsia="仿宋_GB2312" w:cs="DengXian-Regular"/>
          <w:sz w:val="32"/>
          <w:szCs w:val="32"/>
          <w:lang w:val="en-US" w:eastAsia="zh-CN"/>
        </w:rPr>
        <w:t>0.55</w:t>
      </w:r>
      <w:r>
        <w:rPr>
          <w:rFonts w:hint="eastAsia" w:ascii="仿宋_GB2312" w:eastAsia="仿宋_GB2312" w:cs="DengXian-Regular"/>
          <w:sz w:val="32"/>
          <w:szCs w:val="32"/>
        </w:rPr>
        <w:t>万元、印刷费</w:t>
      </w:r>
      <w:r>
        <w:rPr>
          <w:rFonts w:hint="eastAsia" w:ascii="仿宋_GB2312" w:eastAsia="仿宋_GB2312" w:cs="DengXian-Regular"/>
          <w:sz w:val="32"/>
          <w:szCs w:val="32"/>
          <w:lang w:val="en-US" w:eastAsia="zh-CN"/>
        </w:rPr>
        <w:t>0.60</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水费0.23万元，</w:t>
      </w:r>
      <w:r>
        <w:rPr>
          <w:rFonts w:hint="eastAsia" w:ascii="仿宋_GB2312" w:eastAsia="仿宋_GB2312" w:cs="DengXian-Regular"/>
          <w:sz w:val="32"/>
          <w:szCs w:val="32"/>
        </w:rPr>
        <w:t>邮电费</w:t>
      </w:r>
      <w:r>
        <w:rPr>
          <w:rFonts w:hint="eastAsia" w:ascii="仿宋_GB2312" w:eastAsia="仿宋_GB2312" w:cs="DengXian-Regular"/>
          <w:sz w:val="32"/>
          <w:szCs w:val="32"/>
          <w:lang w:val="en-US" w:eastAsia="zh-CN"/>
        </w:rPr>
        <w:t>5.46</w:t>
      </w:r>
      <w:r>
        <w:rPr>
          <w:rFonts w:hint="eastAsia" w:ascii="仿宋_GB2312" w:eastAsia="仿宋_GB2312" w:cs="DengXian-Regular"/>
          <w:sz w:val="32"/>
          <w:szCs w:val="32"/>
        </w:rPr>
        <w:t>万元、差旅费1.</w:t>
      </w:r>
      <w:r>
        <w:rPr>
          <w:rFonts w:hint="eastAsia" w:ascii="仿宋_GB2312" w:eastAsia="仿宋_GB2312" w:cs="DengXian-Regular"/>
          <w:sz w:val="32"/>
          <w:szCs w:val="32"/>
          <w:lang w:val="en-US" w:eastAsia="zh-CN"/>
        </w:rPr>
        <w:t>10</w:t>
      </w:r>
      <w:r>
        <w:rPr>
          <w:rFonts w:hint="eastAsia" w:ascii="仿宋_GB2312" w:eastAsia="仿宋_GB2312" w:cs="DengXian-Regular"/>
          <w:sz w:val="32"/>
          <w:szCs w:val="32"/>
        </w:rPr>
        <w:t>万元、维修（护）费0.3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会议费0.25万元、</w:t>
      </w:r>
      <w:r>
        <w:rPr>
          <w:rFonts w:hint="eastAsia" w:ascii="仿宋_GB2312" w:eastAsia="仿宋_GB2312" w:cs="DengXian-Regular"/>
          <w:sz w:val="32"/>
          <w:szCs w:val="32"/>
        </w:rPr>
        <w:t>公务接待费0.</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5万元、其他交通费用</w:t>
      </w:r>
      <w:r>
        <w:rPr>
          <w:rFonts w:hint="eastAsia" w:ascii="仿宋_GB2312" w:eastAsia="仿宋_GB2312" w:cs="DengXian-Regular"/>
          <w:sz w:val="32"/>
          <w:szCs w:val="32"/>
          <w:lang w:val="en-US" w:eastAsia="zh-CN"/>
        </w:rPr>
        <w:t>9.66</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w:t>
      </w:r>
      <w:r>
        <w:rPr>
          <w:rFonts w:hint="eastAsia" w:ascii="仿宋_GB2312" w:eastAsia="仿宋_GB2312" w:cs="DengXian-Regular"/>
          <w:sz w:val="32"/>
          <w:szCs w:val="32"/>
          <w:lang w:val="en-US" w:eastAsia="zh-CN"/>
        </w:rPr>
        <w:t>其他商品和服务支出0.20万元</w:t>
      </w:r>
      <w:r>
        <w:rPr>
          <w:rFonts w:hint="eastAsia" w:ascii="仿宋_GB2312" w:eastAsia="仿宋_GB2312" w:cs="DengXian-Regular"/>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baseline"/>
        <w:rPr>
          <w:rFonts w:hint="eastAsia" w:ascii="黑体" w:hAnsi="Calibri" w:eastAsia="黑体" w:cs="Times New Roman"/>
          <w:b w:val="0"/>
          <w:bCs w:val="0"/>
          <w:kern w:val="2"/>
          <w:sz w:val="32"/>
          <w:szCs w:val="32"/>
          <w:lang w:val="en-US" w:eastAsia="zh-CN" w:bidi="ar-SA"/>
        </w:rPr>
      </w:pPr>
      <w:r>
        <w:rPr>
          <w:sz w:val="32"/>
        </w:rPr>
        <w:pict>
          <v:shape id="_x0000_s1155" o:spid="_x0000_s1155" o:spt="202" type="#_x0000_t202" style="position:absolute;left:0pt;margin-left:519.65pt;margin-top:16.75pt;height:67.5pt;width:160pt;z-index:251692032;mso-width-relative:page;mso-height-relative:page;" fillcolor="#FFFFFF" filled="t" stroked="t" coordsize="21600,21600">
            <v:path/>
            <v:fill on="t" color2="#FFFFFF" focussize="0,0"/>
            <v:stroke color="#000000"/>
            <v:imagedata o:title=""/>
            <o:lock v:ext="edit" aspectratio="f"/>
            <v:textbox>
              <w:txbxContent>
                <w:p>
                  <w:pPr>
                    <w:rPr>
                      <w:rFonts w:hint="default" w:eastAsia="宋体"/>
                      <w:sz w:val="36"/>
                      <w:szCs w:val="36"/>
                      <w:lang w:val="en-US" w:eastAsia="zh-CN"/>
                    </w:rPr>
                  </w:pPr>
                  <w:r>
                    <w:rPr>
                      <w:rFonts w:hint="eastAsia"/>
                      <w:sz w:val="36"/>
                      <w:szCs w:val="36"/>
                      <w:lang w:val="en-US" w:eastAsia="zh-CN"/>
                    </w:rPr>
                    <w:t>老</w:t>
                  </w:r>
                </w:p>
              </w:txbxContent>
            </v:textbox>
          </v:shape>
        </w:pict>
      </w:r>
      <w:r>
        <w:rPr>
          <w:rFonts w:hint="eastAsia" w:ascii="黑体" w:hAnsi="Calibri" w:eastAsia="黑体" w:cs="Times New Roman"/>
          <w:b w:val="0"/>
          <w:bCs w:val="0"/>
          <w:kern w:val="2"/>
          <w:sz w:val="32"/>
          <w:szCs w:val="32"/>
          <w:lang w:val="en-US" w:eastAsia="zh-CN" w:bidi="ar-SA"/>
        </w:rPr>
        <w:t>五、一般公共预算财政拨款“三公”经费支出决算情况说明</w:t>
      </w:r>
    </w:p>
    <w:p>
      <w:pPr>
        <w:adjustRightInd w:val="0"/>
        <w:snapToGrid w:val="0"/>
        <w:spacing w:after="0" w:line="580" w:lineRule="exact"/>
        <w:ind w:firstLine="688" w:firstLineChars="200"/>
        <w:rPr>
          <w:rFonts w:hint="eastAsia" w:ascii="仿宋_GB2312" w:eastAsia="仿宋_GB2312" w:cs="DengXian-Regular"/>
          <w:sz w:val="32"/>
          <w:szCs w:val="32"/>
          <w:lang w:val="en-US" w:eastAsia="zh-CN"/>
        </w:rPr>
      </w:pPr>
      <w:r>
        <w:rPr>
          <w:rStyle w:val="34"/>
          <w:rFonts w:ascii="仿宋" w:hAnsi="仿宋" w:eastAsia="仿宋" w:cs="仿宋"/>
          <w:bCs/>
          <w:spacing w:val="12"/>
          <w:sz w:val="32"/>
          <w:lang w:val="en-US" w:eastAsia="zh-CN" w:bidi="ar-SA"/>
        </w:rPr>
        <w:t xml:space="preserve"> </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仿宋_GB2312" w:eastAsia="仿宋_GB2312" w:cs="DengXian-Regular"/>
          <w:sz w:val="32"/>
          <w:szCs w:val="32"/>
          <w:lang w:val="en-US" w:eastAsia="zh-CN"/>
        </w:rPr>
        <w:t>0.05</w:t>
      </w:r>
      <w:r>
        <w:rPr>
          <w:rFonts w:hint="eastAsia" w:ascii="仿宋_GB2312" w:eastAsia="仿宋_GB2312" w:cs="DengXian-Regular"/>
          <w:sz w:val="32"/>
          <w:szCs w:val="32"/>
        </w:rPr>
        <w:t>万元，</w:t>
      </w:r>
      <w:r>
        <w:rPr>
          <w:rFonts w:hint="eastAsia" w:ascii="仿宋_GB2312" w:eastAsia="仿宋_GB2312" w:cs="DengXian-Regular"/>
          <w:b/>
          <w:bCs/>
          <w:sz w:val="32"/>
          <w:szCs w:val="32"/>
        </w:rPr>
        <w:t>较年初预算</w:t>
      </w:r>
      <w:r>
        <w:rPr>
          <w:rFonts w:hint="eastAsia" w:ascii="仿宋_GB2312" w:eastAsia="仿宋_GB2312" w:cs="DengXian-Regular"/>
          <w:b/>
          <w:bCs/>
          <w:sz w:val="32"/>
          <w:szCs w:val="32"/>
          <w:lang w:val="en-US" w:eastAsia="zh-CN"/>
        </w:rPr>
        <w:t>相比无变化</w:t>
      </w:r>
      <w:r>
        <w:rPr>
          <w:rFonts w:hint="eastAsia" w:ascii="仿宋_GB2312" w:eastAsia="仿宋_GB2312" w:cs="DengXian-Regular"/>
          <w:b/>
          <w:bCs/>
          <w:sz w:val="32"/>
          <w:szCs w:val="32"/>
        </w:rPr>
        <w:t>，</w:t>
      </w:r>
      <w:r>
        <w:rPr>
          <w:rFonts w:hint="eastAsia" w:ascii="仿宋_GB2312" w:eastAsia="仿宋_GB2312" w:cs="DengXian-Regular"/>
          <w:b/>
          <w:bCs/>
          <w:sz w:val="32"/>
          <w:szCs w:val="32"/>
          <w:lang w:val="en-US" w:eastAsia="zh-CN"/>
        </w:rPr>
        <w:t>较2017年决算</w:t>
      </w:r>
      <w:r>
        <w:rPr>
          <w:rFonts w:hint="eastAsia" w:ascii="仿宋_GB2312" w:eastAsia="仿宋_GB2312" w:cs="DengXian-Regular"/>
          <w:b/>
          <w:bCs/>
          <w:sz w:val="32"/>
          <w:szCs w:val="32"/>
          <w:highlight w:val="none"/>
          <w:lang w:val="en-US" w:eastAsia="zh-CN"/>
        </w:rPr>
        <w:t>相比减少3.00万元，降低99.80%，</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本单位公务用车由政府借用今年归还，未发生公务用车运行维护费</w:t>
      </w:r>
      <w:r>
        <w:rPr>
          <w:rFonts w:hint="eastAsia" w:ascii="仿宋_GB2312" w:eastAsia="仿宋_GB2312" w:cs="DengXian-Regular"/>
          <w:b/>
          <w:bCs/>
          <w:sz w:val="32"/>
          <w:szCs w:val="32"/>
          <w:highlight w:val="none"/>
          <w:lang w:val="en-US" w:eastAsia="zh-CN"/>
        </w:rPr>
        <w:t>。</w:t>
      </w:r>
      <w:r>
        <w:rPr>
          <w:rFonts w:hint="eastAsia" w:ascii="仿宋_GB2312" w:eastAsia="仿宋_GB2312" w:cs="DengXian-Regular"/>
          <w:sz w:val="32"/>
          <w:szCs w:val="32"/>
          <w:highlight w:val="none"/>
        </w:rPr>
        <w:t>主要是认真贯彻落实中央“</w:t>
      </w:r>
      <w:r>
        <w:rPr>
          <w:rFonts w:hint="eastAsia" w:ascii="仿宋_GB2312" w:eastAsia="仿宋_GB2312" w:cs="DengXian-Regular"/>
          <w:sz w:val="32"/>
          <w:szCs w:val="32"/>
        </w:rPr>
        <w:t>八项规定”精神和厉行节约要求，从严控制“三公”经费开支，全年实际支出比预算有所节约</w:t>
      </w:r>
      <w:r>
        <w:rPr>
          <w:rFonts w:hint="eastAsia" w:ascii="仿宋_GB2312" w:eastAsia="仿宋_GB2312" w:cs="DengXian-Regular"/>
          <w:sz w:val="32"/>
          <w:szCs w:val="32"/>
          <w:lang w:eastAsia="zh-CN"/>
        </w:rPr>
        <w:t>。</w:t>
      </w:r>
      <w:r>
        <w:rPr>
          <w:rFonts w:hint="eastAsia" w:ascii="仿宋_GB2312" w:eastAsia="仿宋_GB2312" w:cs="DengXian-Regular"/>
          <w:sz w:val="32"/>
          <w:szCs w:val="32"/>
        </w:rPr>
        <w:t>具体情况如下：</w:t>
      </w:r>
    </w:p>
    <w:p>
      <w:pPr>
        <w:adjustRightInd w:val="0"/>
        <w:snapToGrid w:val="0"/>
        <w:spacing w:after="0" w:line="580" w:lineRule="exact"/>
        <w:ind w:firstLine="643" w:firstLineChars="200"/>
        <w:rPr>
          <w:rFonts w:hint="eastAsia" w:ascii="仿宋_GB2312" w:eastAsia="仿宋_GB2312" w:cs="DengXian-Regular"/>
          <w:sz w:val="32"/>
          <w:szCs w:val="32"/>
          <w:lang w:val="en-US" w:eastAsia="zh-CN"/>
        </w:rPr>
      </w:pPr>
      <w:r>
        <w:rPr>
          <w:rFonts w:hint="eastAsia" w:ascii="楷体_GB2312" w:eastAsia="楷体_GB2312" w:cs="DengXian-Bold"/>
          <w:b/>
          <w:bCs/>
          <w:sz w:val="32"/>
          <w:szCs w:val="32"/>
        </w:rPr>
        <w:t>（</w:t>
      </w:r>
      <w:r>
        <w:pict>
          <v:group id="_x0000_s1145" o:spid="_x0000_s1145" o:spt="203" style="position:absolute;left:0pt;margin-left:-79.5pt;margin-top:29.3pt;height:43.95pt;width:301.85pt;mso-position-vertical-relative:page;z-index:251688960;mso-width-relative:page;mso-height-relative:page;" coordorigin="4551,52615" coordsize="8546,1398">
            <o:lock v:ext="edit"/>
            <v:rect id="矩形 13" o:spid="_x0000_s1146" o:spt="1" style="position:absolute;left:4551;top:52615;height:1175;width:8546;v-text-anchor:middle;" fillcolor="#96DA9D" filled="t" stroked="f" coordsize="21600,21600">
              <v:path/>
              <v:fill on="t" focussize="0,0"/>
              <v:stroke on="f" weight="2pt"/>
              <v:imagedata o:title=""/>
              <o:lock v:ext="edit"/>
            </v:rect>
            <v:rect id="矩形 14" o:spid="_x0000_s114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w:t>
      </w:r>
      <w:r>
        <w:rPr>
          <w:rFonts w:hint="eastAsia" w:ascii="楷体_GB2312" w:eastAsia="楷体_GB2312" w:cs="DengXian-Bold"/>
          <w:b/>
          <w:bCs/>
          <w:sz w:val="32"/>
          <w:szCs w:val="32"/>
          <w:lang w:val="en-US" w:eastAsia="zh-CN"/>
        </w:rPr>
        <w:t>0</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人参加其他单位组织的因公出国（境）团组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人无本单位组织的出国（境）团组。因公出国（境）费支出较年初预算</w:t>
      </w:r>
      <w:r>
        <w:rPr>
          <w:rFonts w:hint="eastAsia" w:ascii="仿宋_GB2312" w:eastAsia="仿宋_GB2312" w:cs="DengXian-Regular"/>
          <w:sz w:val="32"/>
          <w:szCs w:val="32"/>
          <w:lang w:val="en-US" w:eastAsia="zh-CN"/>
        </w:rPr>
        <w:t>相比无变化</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本单位无出国（境）费用</w:t>
      </w:r>
      <w:r>
        <w:rPr>
          <w:rFonts w:hint="eastAsia" w:ascii="仿宋_GB2312" w:eastAsia="仿宋_GB2312" w:cs="DengXian-Regular"/>
          <w:sz w:val="32"/>
          <w:szCs w:val="32"/>
        </w:rPr>
        <w:t>。较2017年决算</w:t>
      </w:r>
      <w:r>
        <w:rPr>
          <w:rFonts w:hint="eastAsia" w:ascii="仿宋_GB2312" w:eastAsia="仿宋_GB2312" w:cs="DengXian-Regular"/>
          <w:sz w:val="32"/>
          <w:szCs w:val="32"/>
          <w:lang w:val="en-US" w:eastAsia="zh-CN"/>
        </w:rPr>
        <w:t>相比</w:t>
      </w:r>
      <w:r>
        <w:rPr>
          <w:rFonts w:hint="eastAsia" w:ascii="仿宋_GB2312" w:eastAsia="仿宋_GB2312" w:cs="DengXian-Regular"/>
          <w:sz w:val="32"/>
          <w:szCs w:val="32"/>
        </w:rPr>
        <w:t>无变化，主要原因是</w:t>
      </w:r>
      <w:r>
        <w:rPr>
          <w:rFonts w:hint="eastAsia" w:ascii="仿宋_GB2312" w:eastAsia="仿宋_GB2312" w:cs="DengXian-Regular"/>
          <w:sz w:val="32"/>
          <w:szCs w:val="32"/>
          <w:lang w:val="en-US" w:eastAsia="zh-CN"/>
        </w:rPr>
        <w:t>本单位无出国（境）费用。</w:t>
      </w:r>
    </w:p>
    <w:p>
      <w:pPr>
        <w:numPr>
          <w:ilvl w:val="0"/>
          <w:numId w:val="3"/>
        </w:numPr>
        <w:adjustRightInd w:val="0"/>
        <w:snapToGrid w:val="0"/>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公务用车购置及运行维护费支出</w:t>
      </w:r>
      <w:r>
        <w:rPr>
          <w:rFonts w:hint="eastAsia" w:ascii="宋体" w:hAnsi="宋体" w:cs="宋体"/>
          <w:b w:val="0"/>
          <w:bCs w:val="0"/>
          <w:sz w:val="32"/>
          <w:szCs w:val="32"/>
          <w:highlight w:val="none"/>
          <w:lang w:val="en-US" w:eastAsia="zh-CN"/>
        </w:rPr>
        <w:t>0</w:t>
      </w:r>
      <w:r>
        <w:rPr>
          <w:rFonts w:hint="eastAsia" w:ascii="楷体_GB2312" w:eastAsia="楷体_GB2312" w:cs="DengXian-Bold"/>
          <w:b/>
          <w:bCs/>
          <w:sz w:val="32"/>
          <w:szCs w:val="32"/>
          <w:highlight w:val="none"/>
        </w:rPr>
        <w:t>万</w:t>
      </w:r>
      <w:r>
        <w:rPr>
          <w:rFonts w:hint="eastAsia" w:ascii="楷体_GB2312" w:eastAsia="楷体_GB2312" w:cs="DengXian-Bold"/>
          <w:b/>
          <w:bCs/>
          <w:sz w:val="32"/>
          <w:szCs w:val="32"/>
        </w:rPr>
        <w:t>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w:t>
      </w:r>
      <w:r>
        <w:rPr>
          <w:rFonts w:hint="eastAsia" w:ascii="仿宋_GB2312" w:eastAsia="仿宋_GB2312" w:cs="DengXian-Regular"/>
          <w:sz w:val="32"/>
          <w:szCs w:val="32"/>
          <w:lang w:val="en-US" w:eastAsia="zh-CN"/>
        </w:rPr>
        <w:t>与</w:t>
      </w:r>
      <w:r>
        <w:rPr>
          <w:rFonts w:hint="eastAsia" w:ascii="仿宋_GB2312" w:eastAsia="仿宋_GB2312" w:cs="DengXian-Regular"/>
          <w:sz w:val="32"/>
          <w:szCs w:val="32"/>
        </w:rPr>
        <w:t>年初预算</w:t>
      </w:r>
      <w:r>
        <w:rPr>
          <w:rFonts w:hint="eastAsia" w:ascii="仿宋_GB2312" w:eastAsia="仿宋_GB2312" w:cs="DengXian-Regular"/>
          <w:sz w:val="32"/>
          <w:szCs w:val="32"/>
          <w:lang w:val="en-US" w:eastAsia="zh-CN"/>
        </w:rPr>
        <w:t>相比无变化</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本单位本年度未发生‘公务用车购置’经费支出</w:t>
      </w:r>
      <w:r>
        <w:rPr>
          <w:rFonts w:hint="eastAsia" w:ascii="仿宋_GB2312" w:eastAsia="仿宋_GB2312" w:cs="DengXian-Regular"/>
          <w:sz w:val="32"/>
          <w:szCs w:val="32"/>
          <w:lang w:eastAsia="zh-CN"/>
        </w:rPr>
        <w:t>；</w:t>
      </w:r>
      <w:r>
        <w:rPr>
          <w:rFonts w:hint="eastAsia" w:ascii="仿宋_GB2312" w:eastAsia="仿宋_GB2312" w:cs="DengXian-Regular"/>
          <w:sz w:val="32"/>
          <w:szCs w:val="32"/>
          <w:lang w:val="en-US" w:eastAsia="zh-CN"/>
        </w:rPr>
        <w:t>较2017年决算3.00万元相比无变化，</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本单位本年度未发生‘公务用车购置’经费支出</w:t>
      </w:r>
      <w:r>
        <w:rPr>
          <w:rFonts w:hint="eastAsia" w:ascii="仿宋_GB2312" w:eastAsia="仿宋_GB2312" w:cs="DengXian-Regular"/>
          <w:sz w:val="32"/>
          <w:szCs w:val="32"/>
          <w:lang w:eastAsia="zh-CN"/>
        </w:rPr>
        <w:t>。</w:t>
      </w:r>
      <w:r>
        <w:rPr>
          <w:rFonts w:hint="eastAsia" w:ascii="仿宋_GB2312" w:eastAsia="仿宋_GB2312" w:cs="DengXian-Bold"/>
          <w:b/>
          <w:bCs/>
          <w:sz w:val="32"/>
          <w:szCs w:val="32"/>
        </w:rPr>
        <w:t>其中：</w:t>
      </w:r>
    </w:p>
    <w:p>
      <w:pPr>
        <w:adjustRightInd w:val="0"/>
        <w:snapToGrid w:val="0"/>
        <w:spacing w:line="580" w:lineRule="exact"/>
        <w:ind w:firstLine="643" w:firstLineChars="200"/>
        <w:rPr>
          <w:rFonts w:hint="eastAsia" w:ascii="仿宋_GB2312" w:eastAsia="仿宋_GB2312" w:cs="DengXian-Regular"/>
          <w:sz w:val="32"/>
          <w:szCs w:val="32"/>
          <w:highlight w:val="none"/>
        </w:rPr>
      </w:pPr>
      <w:r>
        <w:rPr>
          <w:rFonts w:hint="eastAsia" w:ascii="仿宋_GB2312" w:eastAsia="仿宋_GB2312" w:cs="DengXian-Regular"/>
          <w:b/>
          <w:sz w:val="32"/>
          <w:szCs w:val="32"/>
        </w:rPr>
        <w:t>公务用车购置费</w:t>
      </w:r>
      <w:r>
        <w:rPr>
          <w:rFonts w:hint="eastAsia" w:ascii="仿宋_GB2312" w:eastAsia="仿宋_GB2312" w:cs="DengXian-Regular"/>
          <w:b/>
          <w:sz w:val="32"/>
          <w:szCs w:val="32"/>
          <w:lang w:val="en-US" w:eastAsia="zh-CN"/>
        </w:rPr>
        <w:t>0万元</w:t>
      </w:r>
      <w:r>
        <w:rPr>
          <w:rFonts w:hint="eastAsia" w:ascii="仿宋_GB2312" w:eastAsia="仿宋_GB2312" w:cs="DengXian-Regular"/>
          <w:b/>
          <w:sz w:val="32"/>
          <w:szCs w:val="32"/>
        </w:rPr>
        <w:t>：</w:t>
      </w:r>
      <w:r>
        <w:rPr>
          <w:rFonts w:hint="eastAsia" w:ascii="仿宋_GB2312" w:hAnsi="Times New Roman" w:eastAsia="仿宋_GB2312" w:cs="DengXian-Regular"/>
          <w:sz w:val="32"/>
          <w:szCs w:val="32"/>
          <w:highlight w:val="none"/>
        </w:rPr>
        <w:t>本部门</w:t>
      </w:r>
      <w:r>
        <w:rPr>
          <w:rFonts w:ascii="仿宋_GB2312" w:hAnsi="Times New Roman" w:eastAsia="仿宋_GB2312" w:cs="DengXian-Regular"/>
          <w:sz w:val="32"/>
          <w:szCs w:val="32"/>
          <w:highlight w:val="none"/>
        </w:rPr>
        <w:t>201</w:t>
      </w:r>
      <w:r>
        <w:rPr>
          <w:rFonts w:hint="eastAsia" w:ascii="仿宋_GB2312" w:eastAsia="仿宋_GB2312" w:cs="DengXian-Regular"/>
          <w:sz w:val="32"/>
          <w:szCs w:val="32"/>
          <w:highlight w:val="none"/>
          <w:lang w:val="en-US" w:eastAsia="zh-CN"/>
        </w:rPr>
        <w:t>8</w:t>
      </w:r>
      <w:r>
        <w:rPr>
          <w:rFonts w:hint="eastAsia" w:ascii="仿宋_GB2312" w:hAnsi="Times New Roman" w:eastAsia="仿宋_GB2312" w:cs="DengXian-Regular"/>
          <w:sz w:val="32"/>
          <w:szCs w:val="32"/>
          <w:highlight w:val="none"/>
        </w:rPr>
        <w:t>年度公务用车购置量</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辆，发生“公务用车购置”经费支出</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万元。</w:t>
      </w:r>
      <w:r>
        <w:rPr>
          <w:rFonts w:hint="eastAsia" w:ascii="仿宋_GB2312" w:eastAsia="仿宋_GB2312" w:cs="DengXian-Regular"/>
          <w:sz w:val="32"/>
          <w:szCs w:val="32"/>
          <w:highlight w:val="none"/>
        </w:rPr>
        <w:t>公务用车购置费支出较年初预算</w:t>
      </w:r>
      <w:r>
        <w:rPr>
          <w:rFonts w:hint="eastAsia" w:ascii="仿宋_GB2312" w:eastAsia="仿宋_GB2312" w:cs="DengXian-Regular"/>
          <w:sz w:val="32"/>
          <w:szCs w:val="32"/>
          <w:highlight w:val="none"/>
          <w:lang w:val="en-US" w:eastAsia="zh-CN"/>
        </w:rPr>
        <w:t>相比无变化</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本单位本年度未发生‘公务用车购置’经费支出，较2017年决算相比无变化</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本单位本年度未发生‘公务用车购置’经费支出</w:t>
      </w:r>
      <w:r>
        <w:rPr>
          <w:rFonts w:hint="eastAsia" w:ascii="仿宋_GB2312" w:eastAsia="仿宋_GB2312" w:cs="DengXian-Regular"/>
          <w:sz w:val="32"/>
          <w:szCs w:val="32"/>
          <w:highlight w:val="none"/>
        </w:rPr>
        <w:t>。</w:t>
      </w:r>
    </w:p>
    <w:p>
      <w:pPr>
        <w:adjustRightInd w:val="0"/>
        <w:snapToGrid w:val="0"/>
        <w:spacing w:after="0" w:line="580" w:lineRule="exact"/>
        <w:ind w:firstLine="643" w:firstLineChars="200"/>
        <w:rPr>
          <w:rFonts w:hint="eastAsia" w:ascii="仿宋_GB2312" w:eastAsia="仿宋_GB2312" w:cs="DengXian-Regular"/>
          <w:sz w:val="32"/>
          <w:szCs w:val="32"/>
          <w:highlight w:val="none"/>
          <w:lang w:eastAsia="zh-CN"/>
        </w:rPr>
      </w:pPr>
      <w:r>
        <w:rPr>
          <w:rFonts w:hint="eastAsia" w:ascii="仿宋_GB2312" w:eastAsia="仿宋_GB2312" w:cs="DengXian-Regular"/>
          <w:b/>
          <w:sz w:val="32"/>
          <w:szCs w:val="32"/>
        </w:rPr>
        <w:t>公务用车运行维护费</w:t>
      </w:r>
      <w:r>
        <w:rPr>
          <w:rFonts w:hint="eastAsia" w:ascii="仿宋_GB2312" w:eastAsia="仿宋_GB2312" w:cs="DengXian-Regular"/>
          <w:b/>
          <w:sz w:val="32"/>
          <w:szCs w:val="32"/>
          <w:lang w:val="en-US" w:eastAsia="zh-CN"/>
        </w:rPr>
        <w:t>0万元</w:t>
      </w:r>
      <w:r>
        <w:rPr>
          <w:rFonts w:hint="eastAsia" w:ascii="仿宋_GB2312" w:eastAsia="仿宋_GB2312" w:cs="DengXian-Regular"/>
          <w:b/>
          <w:sz w:val="32"/>
          <w:szCs w:val="32"/>
        </w:rPr>
        <w:t>：</w:t>
      </w:r>
      <w:r>
        <w:rPr>
          <w:rFonts w:hint="eastAsia" w:ascii="仿宋_GB2312" w:eastAsia="仿宋_GB2312" w:cs="DengXian-Regular"/>
          <w:sz w:val="32"/>
          <w:szCs w:val="32"/>
          <w:highlight w:val="none"/>
        </w:rPr>
        <w:t>本部门</w:t>
      </w:r>
      <w:r>
        <w:rPr>
          <w:rFonts w:ascii="仿宋_GB2312" w:eastAsia="仿宋_GB2312" w:cs="DengXian-Regular"/>
          <w:sz w:val="32"/>
          <w:szCs w:val="32"/>
          <w:highlight w:val="none"/>
        </w:rPr>
        <w:t>2018</w:t>
      </w:r>
      <w:r>
        <w:rPr>
          <w:rFonts w:hint="eastAsia" w:ascii="仿宋_GB2312" w:eastAsia="仿宋_GB2312" w:cs="DengXian-Regular"/>
          <w:sz w:val="32"/>
          <w:szCs w:val="32"/>
          <w:highlight w:val="none"/>
        </w:rPr>
        <w:t>年度单位公务用车保有量</w:t>
      </w:r>
      <w:r>
        <w:rPr>
          <w:rFonts w:hint="eastAsia" w:ascii="仿宋_GB2312" w:eastAsia="仿宋_GB2312" w:cs="DengXian-Regular"/>
          <w:sz w:val="32"/>
          <w:szCs w:val="32"/>
          <w:highlight w:val="none"/>
          <w:lang w:val="en-US" w:eastAsia="zh-CN"/>
        </w:rPr>
        <w:t>1</w:t>
      </w:r>
      <w:r>
        <w:rPr>
          <w:rFonts w:hint="eastAsia" w:ascii="仿宋_GB2312" w:eastAsia="仿宋_GB2312" w:cs="DengXian-Regular"/>
          <w:sz w:val="32"/>
          <w:szCs w:val="32"/>
          <w:highlight w:val="none"/>
        </w:rPr>
        <w:t>辆。公车运行维护费支出较年初预算</w:t>
      </w:r>
      <w:r>
        <w:rPr>
          <w:rFonts w:hint="eastAsia" w:ascii="仿宋_GB2312" w:eastAsia="仿宋_GB2312" w:cs="DengXian-Regular"/>
          <w:sz w:val="32"/>
          <w:szCs w:val="32"/>
          <w:highlight w:val="none"/>
          <w:lang w:val="en-US" w:eastAsia="zh-CN"/>
        </w:rPr>
        <w:t>相比无变化</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本单位公务用车由政府借用今年归还未列入预算</w:t>
      </w:r>
      <w:r>
        <w:rPr>
          <w:rFonts w:hint="eastAsia" w:ascii="仿宋_GB2312" w:eastAsia="仿宋_GB2312" w:cs="DengXian-Regular"/>
          <w:sz w:val="32"/>
          <w:szCs w:val="32"/>
          <w:highlight w:val="none"/>
          <w:lang w:eastAsia="zh-CN"/>
        </w:rPr>
        <w:t>；</w:t>
      </w:r>
      <w:r>
        <w:rPr>
          <w:rFonts w:hint="eastAsia" w:ascii="仿宋_GB2312" w:eastAsia="仿宋_GB2312" w:cs="DengXian-Regular"/>
          <w:sz w:val="32"/>
          <w:szCs w:val="32"/>
          <w:highlight w:val="none"/>
          <w:lang w:val="en-US" w:eastAsia="zh-CN"/>
        </w:rPr>
        <w:t>较2017年决算相比减少3.00万元，降低100%，</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本单位公务用车由政府借用今年归还，未发生公务用车运行维护费</w:t>
      </w:r>
      <w:r>
        <w:rPr>
          <w:rFonts w:hint="eastAsia" w:ascii="仿宋_GB2312" w:eastAsia="仿宋_GB2312" w:cs="DengXian-Regular"/>
          <w:sz w:val="32"/>
          <w:szCs w:val="32"/>
          <w:highlight w:val="none"/>
          <w:lang w:eastAsia="zh-CN"/>
        </w:rPr>
        <w:t>。</w:t>
      </w:r>
    </w:p>
    <w:p>
      <w:pPr>
        <w:adjustRightInd w:val="0"/>
        <w:snapToGrid w:val="0"/>
        <w:spacing w:after="0" w:line="580" w:lineRule="exact"/>
        <w:ind w:firstLine="643" w:firstLineChars="200"/>
        <w:rPr>
          <w:rStyle w:val="34"/>
          <w:rFonts w:ascii="仿宋" w:hAnsi="仿宋" w:eastAsia="仿宋"/>
          <w:b/>
          <w:sz w:val="32"/>
          <w:lang w:val="en-US" w:eastAsia="zh-CN" w:bidi="ar-SA"/>
        </w:rPr>
      </w:pPr>
      <w:r>
        <w:rPr>
          <w:rFonts w:hint="eastAsia" w:ascii="楷体_GB2312" w:eastAsia="楷体_GB2312" w:cs="DengXian-Bold"/>
          <w:b/>
          <w:bCs/>
          <w:sz w:val="32"/>
          <w:szCs w:val="32"/>
        </w:rPr>
        <w:t>（三）公务接待费支出</w:t>
      </w:r>
      <w:r>
        <w:rPr>
          <w:rFonts w:hint="eastAsia" w:ascii="楷体_GB2312" w:eastAsia="楷体_GB2312" w:cs="DengXian-Bold"/>
          <w:b/>
          <w:bCs/>
          <w:sz w:val="32"/>
          <w:szCs w:val="32"/>
          <w:highlight w:val="none"/>
        </w:rPr>
        <w:t xml:space="preserve"> 0.</w:t>
      </w:r>
      <w:r>
        <w:rPr>
          <w:rFonts w:hint="eastAsia" w:ascii="楷体_GB2312" w:eastAsia="楷体_GB2312" w:cs="DengXian-Bold"/>
          <w:b/>
          <w:bCs/>
          <w:sz w:val="32"/>
          <w:szCs w:val="32"/>
          <w:highlight w:val="none"/>
          <w:lang w:val="en-US" w:eastAsia="zh-CN"/>
        </w:rPr>
        <w:t>0</w:t>
      </w:r>
      <w:r>
        <w:rPr>
          <w:rFonts w:hint="eastAsia" w:ascii="楷体_GB2312" w:eastAsia="楷体_GB2312" w:cs="DengXian-Bold"/>
          <w:b/>
          <w:bCs/>
          <w:sz w:val="32"/>
          <w:szCs w:val="32"/>
          <w:highlight w:val="none"/>
        </w:rPr>
        <w:t>5万</w:t>
      </w:r>
      <w:r>
        <w:rPr>
          <w:rFonts w:hint="eastAsia" w:ascii="楷体_GB2312" w:eastAsia="楷体_GB2312" w:cs="DengXian-Bold"/>
          <w:b/>
          <w:bCs/>
          <w:sz w:val="32"/>
          <w:szCs w:val="32"/>
        </w:rPr>
        <w:t>元。</w:t>
      </w:r>
      <w:r>
        <w:pict>
          <v:group id="_x0000_s1148" o:spid="_x0000_s1148" o:spt="203" style="position:absolute;left:0pt;margin-left:-79.5pt;margin-top:29.3pt;height:43.95pt;width:301.85pt;mso-position-vertical-relative:page;z-index:251689984;mso-width-relative:page;mso-height-relative:page;" coordorigin="4551,52615" coordsize="8546,1398">
            <o:lock v:ext="edit"/>
            <v:rect id="矩形 13" o:spid="_x0000_s1149" o:spt="1" style="position:absolute;left:4551;top:52615;height:1175;width:8546;v-text-anchor:middle;" fillcolor="#96DA9D" filled="t" stroked="f" coordsize="21600,21600">
              <v:path/>
              <v:fill on="t" focussize="0,0"/>
              <v:stroke on="f" weight="2pt"/>
              <v:imagedata o:title=""/>
              <o:lock v:ext="edit"/>
            </v:rect>
            <v:rect id="矩形 14" o:spid="_x0000_s115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w:t>
      </w:r>
      <w:r>
        <w:rPr>
          <w:rFonts w:hint="eastAsia" w:ascii="仿宋_GB2312" w:eastAsia="仿宋_GB2312" w:cs="DengXian-Regular"/>
          <w:sz w:val="32"/>
          <w:szCs w:val="32"/>
          <w:lang w:val="en-US" w:eastAsia="zh-CN"/>
        </w:rPr>
        <w:t>2</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10</w:t>
      </w:r>
      <w:r>
        <w:rPr>
          <w:rFonts w:hint="eastAsia" w:ascii="仿宋_GB2312" w:eastAsia="仿宋_GB2312" w:cs="DengXian-Regular"/>
          <w:sz w:val="32"/>
          <w:szCs w:val="32"/>
        </w:rPr>
        <w:t>人次。公务接待费支出较年初预算</w:t>
      </w:r>
      <w:r>
        <w:rPr>
          <w:rFonts w:hint="eastAsia" w:ascii="仿宋_GB2312" w:eastAsia="仿宋_GB2312" w:cs="DengXian-Regular"/>
          <w:sz w:val="32"/>
          <w:szCs w:val="32"/>
          <w:lang w:val="en-US" w:eastAsia="zh-CN"/>
        </w:rPr>
        <w:t>相比无变化</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与认真贯彻落实党中央、国务院厉行节约精神，切实采取严格措施控制和压缩“三公”经费支出；比2017年决算相比无变化，主要原因是认真贯彻落实党中央、国务院厉行节约精神，切实采取严格措施控制和压缩“三公”经费支出。</w:t>
      </w:r>
    </w:p>
    <w:p>
      <w:pPr>
        <w:adjustRightInd w:val="0"/>
        <w:snapToGrid w:val="0"/>
        <w:spacing w:after="0" w:line="580" w:lineRule="exact"/>
        <w:ind w:firstLine="640" w:firstLineChars="200"/>
        <w:rPr>
          <w:rFonts w:hint="eastAsia" w:ascii="黑体" w:hAnsi="Calibri" w:eastAsia="黑体" w:cs="Times New Roman"/>
          <w:b w:val="0"/>
          <w:bCs w:val="0"/>
          <w:kern w:val="2"/>
          <w:sz w:val="32"/>
          <w:szCs w:val="32"/>
          <w:lang w:val="en-US" w:eastAsia="zh-CN" w:bidi="ar-SA"/>
        </w:rPr>
      </w:pPr>
      <w:r>
        <w:rPr>
          <w:rFonts w:hint="eastAsia" w:ascii="黑体" w:eastAsia="黑体"/>
          <w:sz w:val="32"/>
          <w:szCs w:val="40"/>
        </w:rPr>
        <w:t>六、预算绩效情况说明</w:t>
      </w:r>
    </w:p>
    <w:p>
      <w:pPr>
        <w:pageBreakBefore w:val="0"/>
        <w:widowControl/>
        <w:kinsoku/>
        <w:wordWrap/>
        <w:overflowPunct/>
        <w:topLinePunct w:val="0"/>
        <w:autoSpaceDE/>
        <w:autoSpaceDN/>
        <w:bidi w:val="0"/>
        <w:adjustRightInd/>
        <w:snapToGrid/>
        <w:spacing w:line="560" w:lineRule="exact"/>
        <w:textAlignment w:val="baseline"/>
        <w:rPr>
          <w:rFonts w:hint="eastAsia" w:ascii="仿宋_GB2312" w:eastAsia="仿宋_GB2312" w:cs="DengXian-Regular"/>
          <w:sz w:val="32"/>
          <w:szCs w:val="32"/>
        </w:rPr>
      </w:pPr>
      <w:r>
        <w:rPr>
          <w:rStyle w:val="34"/>
          <w:lang w:val="en-US" w:eastAsia="zh-CN" w:bidi="ar-SA"/>
        </w:rPr>
        <w:t xml:space="preserve">  </w:t>
      </w:r>
      <w:r>
        <w:rPr>
          <w:rStyle w:val="34"/>
          <w:rFonts w:cs="仿宋"/>
          <w:bCs/>
          <w:spacing w:val="12"/>
          <w:szCs w:val="22"/>
          <w:lang w:val="en-US" w:eastAsia="zh-CN" w:bidi="ar-SA"/>
        </w:rPr>
        <w:t xml:space="preserve">  </w:t>
      </w:r>
      <w:r>
        <w:rPr>
          <w:rFonts w:hint="eastAsia" w:ascii="仿宋_GB2312" w:eastAsia="仿宋_GB2312" w:cs="DengXian-Regular"/>
          <w:sz w:val="32"/>
          <w:szCs w:val="32"/>
          <w:lang w:val="en-US" w:eastAsia="zh-CN"/>
        </w:rPr>
        <w:t xml:space="preserve"> </w:t>
      </w:r>
      <w:r>
        <w:rPr>
          <w:rFonts w:hint="eastAsia" w:ascii="仿宋_GB2312" w:eastAsia="仿宋_GB2312" w:cs="DengXian-Regular"/>
          <w:sz w:val="32"/>
          <w:szCs w:val="32"/>
        </w:rPr>
        <w:t>（一）预算绩效管理工作开展情况。</w:t>
      </w:r>
    </w:p>
    <w:p>
      <w:pPr>
        <w:pageBreakBefore w:val="0"/>
        <w:widowControl/>
        <w:kinsoku/>
        <w:wordWrap/>
        <w:overflowPunct/>
        <w:topLinePunct w:val="0"/>
        <w:autoSpaceDE/>
        <w:autoSpaceDN/>
        <w:bidi w:val="0"/>
        <w:adjustRightInd/>
        <w:snapToGrid/>
        <w:spacing w:line="560" w:lineRule="exact"/>
        <w:ind w:firstLine="640" w:firstLineChars="200"/>
        <w:textAlignment w:val="baseline"/>
        <w:rPr>
          <w:rFonts w:hint="eastAsia" w:ascii="仿宋_GB2312" w:eastAsia="仿宋_GB2312" w:cs="DengXian-Regular"/>
          <w:sz w:val="32"/>
          <w:szCs w:val="32"/>
          <w:lang w:val="en-US" w:eastAsia="zh-CN"/>
        </w:rPr>
      </w:pPr>
      <w:r>
        <w:rPr>
          <w:rFonts w:hint="eastAsia" w:ascii="仿宋_GB2312" w:eastAsia="仿宋_GB2312" w:cs="DengXian-Regular"/>
          <w:sz w:val="32"/>
          <w:szCs w:val="32"/>
          <w:lang w:val="en-US" w:eastAsia="zh-CN"/>
        </w:rPr>
        <w:t xml:space="preserve"> 根据县财政预算绩效管理要求，我部门以“部门职责—工作活动”为依据，确定部门预算项目和预算额度，清晰描述预算项目开支范围和内容，确定预算项目的绩效目标、绩效指标和评价标准，为预算绩效控制、绩效分析、绩效评价打下好的基础。</w:t>
      </w:r>
    </w:p>
    <w:p>
      <w:pPr>
        <w:numPr>
          <w:ilvl w:val="0"/>
          <w:numId w:val="4"/>
        </w:numPr>
        <w:adjustRightInd w:val="0"/>
        <w:snapToGrid w:val="0"/>
        <w:spacing w:after="0" w:line="580" w:lineRule="exact"/>
        <w:ind w:firstLine="640" w:firstLineChars="200"/>
        <w:rPr>
          <w:rFonts w:hint="eastAsia" w:ascii="仿宋_GB2312" w:eastAsia="仿宋_GB2312" w:cs="DengXian-Regular"/>
          <w:sz w:val="32"/>
          <w:szCs w:val="32"/>
          <w:highlight w:val="none"/>
        </w:rPr>
      </w:pPr>
      <w:r>
        <w:rPr>
          <w:rFonts w:hint="eastAsia" w:ascii="仿宋_GB2312" w:eastAsia="仿宋_GB2312" w:cs="DengXian-Regular"/>
          <w:sz w:val="32"/>
          <w:szCs w:val="32"/>
          <w:highlight w:val="none"/>
        </w:rPr>
        <w:t>项目绩效自评结果。</w:t>
      </w:r>
    </w:p>
    <w:p>
      <w:pPr>
        <w:numPr>
          <w:ilvl w:val="0"/>
          <w:numId w:val="0"/>
        </w:numPr>
        <w:adjustRightInd w:val="0"/>
        <w:snapToGrid w:val="0"/>
        <w:spacing w:after="0" w:line="580" w:lineRule="exact"/>
        <w:ind w:firstLine="640" w:firstLineChars="200"/>
        <w:rPr>
          <w:rFonts w:hint="eastAsia" w:ascii="仿宋_GB2312" w:eastAsia="仿宋_GB2312" w:cs="DengXian-Regular"/>
          <w:sz w:val="32"/>
          <w:szCs w:val="32"/>
          <w:highlight w:val="none"/>
          <w:lang w:val="en-US" w:eastAsia="zh-CN"/>
        </w:rPr>
      </w:pPr>
      <w:r>
        <w:rPr>
          <w:rFonts w:hint="eastAsia" w:ascii="仿宋_GB2312" w:eastAsia="仿宋_GB2312" w:cs="DengXian-Regular"/>
          <w:sz w:val="32"/>
          <w:szCs w:val="32"/>
          <w:highlight w:val="none"/>
        </w:rPr>
        <w:t>按照省财政预算绩效管理要求，阜平县委</w:t>
      </w:r>
      <w:r>
        <w:rPr>
          <w:rFonts w:hint="eastAsia" w:ascii="仿宋_GB2312" w:eastAsia="仿宋_GB2312" w:cs="DengXian-Regular"/>
          <w:sz w:val="32"/>
          <w:szCs w:val="32"/>
          <w:highlight w:val="none"/>
          <w:lang w:val="en-US" w:eastAsia="zh-CN"/>
        </w:rPr>
        <w:t>老干部局</w:t>
      </w:r>
      <w:r>
        <w:rPr>
          <w:rFonts w:hint="eastAsia" w:ascii="仿宋_GB2312" w:eastAsia="仿宋_GB2312" w:cs="DengXian-Regular"/>
          <w:sz w:val="32"/>
          <w:szCs w:val="32"/>
          <w:highlight w:val="none"/>
        </w:rPr>
        <w:t>对 2018年初确定的一般公共预算支出专项项目全面开展了绩效自评。绩效自评覆盖率达到100%。</w:t>
      </w:r>
    </w:p>
    <w:p>
      <w:pPr>
        <w:keepNext w:val="0"/>
        <w:keepLines w:val="0"/>
        <w:pageBreakBefore w:val="0"/>
        <w:widowControl/>
        <w:numPr>
          <w:ilvl w:val="0"/>
          <w:numId w:val="3"/>
        </w:numPr>
        <w:kinsoku/>
        <w:wordWrap/>
        <w:overflowPunct/>
        <w:topLinePunct w:val="0"/>
        <w:autoSpaceDE/>
        <w:autoSpaceDN/>
        <w:bidi w:val="0"/>
        <w:adjustRightInd/>
        <w:snapToGrid/>
        <w:spacing w:after="0" w:line="560" w:lineRule="exact"/>
        <w:ind w:left="0" w:leftChars="0" w:firstLine="640" w:firstLineChars="200"/>
        <w:textAlignment w:val="baseline"/>
        <w:rPr>
          <w:rFonts w:hint="eastAsia" w:ascii="仿宋_GB2312" w:eastAsia="仿宋_GB2312" w:cs="DengXian-Regular"/>
          <w:sz w:val="32"/>
          <w:szCs w:val="32"/>
          <w:highlight w:val="none"/>
        </w:rPr>
      </w:pPr>
      <w:r>
        <w:rPr>
          <w:rFonts w:hint="eastAsia" w:ascii="仿宋_GB2312" w:eastAsia="仿宋_GB2312" w:cs="DengXian-Regular"/>
          <w:sz w:val="32"/>
          <w:szCs w:val="32"/>
          <w:highlight w:val="none"/>
        </w:rPr>
        <w:t>重点项目绩效评价结果。</w:t>
      </w:r>
    </w:p>
    <w:p>
      <w:pPr>
        <w:numPr>
          <w:ilvl w:val="0"/>
          <w:numId w:val="0"/>
        </w:numPr>
        <w:adjustRightInd w:val="0"/>
        <w:snapToGrid w:val="0"/>
        <w:spacing w:after="0" w:line="580" w:lineRule="exact"/>
        <w:ind w:leftChars="200" w:firstLine="320" w:firstLineChars="100"/>
        <w:rPr>
          <w:rFonts w:hint="eastAsia" w:ascii="仿宋_GB2312" w:eastAsia="仿宋_GB2312" w:cs="DengXian-Regular"/>
          <w:sz w:val="32"/>
          <w:szCs w:val="32"/>
          <w:lang w:val="en-US" w:eastAsia="zh-CN"/>
        </w:rPr>
      </w:pPr>
      <w:r>
        <w:rPr>
          <w:rFonts w:hint="eastAsia" w:ascii="仿宋_GB2312" w:eastAsia="仿宋_GB2312" w:cs="DengXian-Regular"/>
          <w:sz w:val="32"/>
          <w:szCs w:val="32"/>
          <w:lang w:val="en-US" w:eastAsia="zh-CN"/>
        </w:rPr>
        <w:t>本单位本年度无重点项目。</w:t>
      </w:r>
    </w:p>
    <w:p>
      <w:pPr>
        <w:pStyle w:val="3"/>
        <w:spacing w:before="0" w:after="0" w:line="580" w:lineRule="exact"/>
        <w:ind w:firstLine="640" w:firstLineChars="200"/>
        <w:rPr>
          <w:rFonts w:hint="eastAsia" w:ascii="黑体" w:eastAsia="黑体"/>
          <w:b w:val="0"/>
          <w:bCs w:val="0"/>
          <w:lang w:val="en-US" w:eastAsia="zh-CN"/>
        </w:rPr>
      </w:pPr>
      <w:r>
        <w:rPr>
          <w:rFonts w:hint="eastAsia" w:ascii="黑体" w:eastAsia="黑体"/>
          <w:b w:val="0"/>
          <w:bCs w:val="0"/>
          <w:lang w:val="en-US" w:eastAsia="zh-CN"/>
        </w:rPr>
        <w:t>七、其他重要事项的说明</w:t>
      </w:r>
    </w:p>
    <w:p>
      <w:pPr>
        <w:pageBreakBefore w:val="0"/>
        <w:widowControl/>
        <w:numPr>
          <w:ilvl w:val="0"/>
          <w:numId w:val="5"/>
        </w:numPr>
        <w:kinsoku/>
        <w:wordWrap/>
        <w:overflowPunct/>
        <w:topLinePunct w:val="0"/>
        <w:autoSpaceDE/>
        <w:autoSpaceDN/>
        <w:bidi w:val="0"/>
        <w:adjustRightInd/>
        <w:snapToGrid/>
        <w:spacing w:line="560" w:lineRule="exact"/>
        <w:ind w:firstLine="643" w:firstLineChars="200"/>
        <w:textAlignment w:val="baseline"/>
        <w:rPr>
          <w:rFonts w:hint="eastAsia" w:ascii="楷体_GB2312" w:hAnsi="Times New Roman" w:eastAsia="楷体_GB2312" w:cs="DengXian-Bold"/>
          <w:b/>
          <w:bCs/>
          <w:kern w:val="2"/>
          <w:sz w:val="32"/>
          <w:szCs w:val="32"/>
          <w:lang w:val="en-US" w:eastAsia="zh-CN" w:bidi="ar-SA"/>
        </w:rPr>
      </w:pPr>
      <w:r>
        <w:rPr>
          <w:rFonts w:hint="eastAsia" w:ascii="楷体_GB2312" w:hAnsi="Times New Roman" w:eastAsia="楷体_GB2312" w:cs="DengXian-Bold"/>
          <w:b/>
          <w:bCs/>
          <w:kern w:val="2"/>
          <w:sz w:val="32"/>
          <w:szCs w:val="32"/>
          <w:lang w:val="en-US" w:eastAsia="zh-CN" w:bidi="ar-SA"/>
        </w:rPr>
        <w:t>机关运行经费情况</w:t>
      </w:r>
    </w:p>
    <w:p>
      <w:pPr>
        <w:adjustRightInd w:val="0"/>
        <w:snapToGrid w:val="0"/>
        <w:spacing w:after="0" w:line="580" w:lineRule="exact"/>
        <w:ind w:firstLine="640" w:firstLineChars="200"/>
        <w:rPr>
          <w:rFonts w:hint="eastAsia" w:ascii="仿宋_GB2312" w:eastAsia="仿宋_GB2312" w:cs="DengXian-Regular"/>
          <w:sz w:val="32"/>
          <w:szCs w:val="32"/>
          <w:highlight w:val="none"/>
          <w:lang w:eastAsia="zh-CN"/>
        </w:rPr>
      </w:pPr>
      <w:r>
        <w:rPr>
          <w:rFonts w:hint="eastAsia" w:ascii="仿宋_GB2312" w:eastAsia="仿宋_GB2312" w:cs="DengXian-Regular"/>
          <w:sz w:val="32"/>
          <w:szCs w:val="32"/>
          <w:highlight w:val="none"/>
        </w:rPr>
        <w:t>本部门</w:t>
      </w:r>
      <w:r>
        <w:rPr>
          <w:rFonts w:ascii="仿宋_GB2312" w:eastAsia="仿宋_GB2312" w:cs="DengXian-Regular"/>
          <w:sz w:val="32"/>
          <w:szCs w:val="32"/>
          <w:highlight w:val="none"/>
        </w:rPr>
        <w:t>2018</w:t>
      </w:r>
      <w:r>
        <w:rPr>
          <w:rFonts w:hint="eastAsia" w:ascii="仿宋_GB2312" w:eastAsia="仿宋_GB2312" w:cs="DengXian-Regular"/>
          <w:sz w:val="32"/>
          <w:szCs w:val="32"/>
          <w:highlight w:val="none"/>
        </w:rPr>
        <w:t>年度机关运行经费支出</w:t>
      </w:r>
      <w:r>
        <w:rPr>
          <w:rFonts w:hint="eastAsia" w:ascii="仿宋_GB2312" w:eastAsia="仿宋_GB2312" w:cs="DengXian-Regular"/>
          <w:sz w:val="32"/>
          <w:szCs w:val="32"/>
          <w:highlight w:val="none"/>
          <w:lang w:val="en-US" w:eastAsia="zh-CN"/>
        </w:rPr>
        <w:t>18.40</w:t>
      </w:r>
      <w:r>
        <w:rPr>
          <w:rFonts w:hint="eastAsia" w:ascii="仿宋_GB2312" w:eastAsia="仿宋_GB2312" w:cs="DengXian-Regular"/>
          <w:sz w:val="32"/>
          <w:szCs w:val="32"/>
          <w:highlight w:val="none"/>
        </w:rPr>
        <w:t>万元，比年初预算数减少</w:t>
      </w:r>
      <w:r>
        <w:rPr>
          <w:rFonts w:hint="eastAsia" w:ascii="仿宋_GB2312" w:eastAsia="仿宋_GB2312" w:cs="DengXian-Regular"/>
          <w:sz w:val="32"/>
          <w:szCs w:val="32"/>
          <w:highlight w:val="none"/>
          <w:lang w:val="en-US" w:eastAsia="zh-CN"/>
        </w:rPr>
        <w:t>0.98</w:t>
      </w:r>
      <w:r>
        <w:rPr>
          <w:rFonts w:hint="eastAsia" w:ascii="仿宋_GB2312" w:eastAsia="仿宋_GB2312" w:cs="DengXian-Regular"/>
          <w:sz w:val="32"/>
          <w:szCs w:val="32"/>
          <w:highlight w:val="none"/>
        </w:rPr>
        <w:t>万元，降低</w:t>
      </w:r>
      <w:r>
        <w:rPr>
          <w:rFonts w:hint="eastAsia" w:ascii="仿宋_GB2312" w:eastAsia="仿宋_GB2312" w:cs="DengXian-Regular"/>
          <w:sz w:val="32"/>
          <w:szCs w:val="32"/>
          <w:highlight w:val="none"/>
          <w:lang w:val="en-US" w:eastAsia="zh-CN"/>
        </w:rPr>
        <w:t>5.15</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。主要原因是厉行节俭</w:t>
      </w:r>
      <w:r>
        <w:rPr>
          <w:rFonts w:hint="eastAsia" w:ascii="仿宋_GB2312" w:eastAsia="仿宋_GB2312" w:cs="DengXian-Regular"/>
          <w:sz w:val="32"/>
          <w:szCs w:val="32"/>
          <w:highlight w:val="none"/>
          <w:lang w:eastAsia="zh-CN"/>
        </w:rPr>
        <w:t>；比</w:t>
      </w:r>
      <w:r>
        <w:rPr>
          <w:rFonts w:hint="eastAsia" w:ascii="仿宋_GB2312" w:eastAsia="仿宋_GB2312" w:cs="DengXian-Regular"/>
          <w:sz w:val="32"/>
          <w:szCs w:val="32"/>
          <w:highlight w:val="none"/>
          <w:lang w:val="en-US" w:eastAsia="zh-CN"/>
        </w:rPr>
        <w:t>2017</w:t>
      </w:r>
      <w:r>
        <w:rPr>
          <w:rFonts w:hint="eastAsia" w:ascii="仿宋_GB2312" w:eastAsia="仿宋_GB2312" w:cs="DengXian-Regular"/>
          <w:sz w:val="32"/>
          <w:szCs w:val="32"/>
          <w:highlight w:val="none"/>
          <w:lang w:eastAsia="zh-CN"/>
        </w:rPr>
        <w:t>年决算</w:t>
      </w:r>
      <w:r>
        <w:rPr>
          <w:rFonts w:hint="eastAsia" w:ascii="仿宋_GB2312" w:eastAsia="仿宋_GB2312" w:cs="DengXian-Regular"/>
          <w:sz w:val="32"/>
          <w:szCs w:val="32"/>
          <w:highlight w:val="none"/>
          <w:lang w:val="en-US" w:eastAsia="zh-CN"/>
        </w:rPr>
        <w:t>增加</w:t>
      </w:r>
      <w:r>
        <w:rPr>
          <w:rFonts w:hint="eastAsia" w:ascii="仿宋_GB2312" w:eastAsia="仿宋_GB2312" w:cs="DengXian-Regular"/>
          <w:sz w:val="32"/>
          <w:szCs w:val="32"/>
          <w:highlight w:val="none"/>
          <w:lang w:eastAsia="zh-CN"/>
        </w:rPr>
        <w:t>了</w:t>
      </w:r>
      <w:r>
        <w:rPr>
          <w:rFonts w:hint="eastAsia" w:ascii="仿宋_GB2312" w:eastAsia="仿宋_GB2312" w:cs="DengXian-Regular"/>
          <w:sz w:val="32"/>
          <w:szCs w:val="32"/>
          <w:highlight w:val="none"/>
          <w:lang w:val="en-US" w:eastAsia="zh-CN"/>
        </w:rPr>
        <w:t>10.53万</w:t>
      </w:r>
      <w:r>
        <w:rPr>
          <w:rFonts w:hint="eastAsia" w:ascii="仿宋_GB2312" w:eastAsia="仿宋_GB2312" w:cs="DengXian-Regular"/>
          <w:sz w:val="32"/>
          <w:szCs w:val="32"/>
          <w:highlight w:val="none"/>
          <w:lang w:eastAsia="zh-CN"/>
        </w:rPr>
        <w:t>元，</w:t>
      </w:r>
      <w:r>
        <w:rPr>
          <w:rFonts w:hint="eastAsia" w:ascii="仿宋_GB2312" w:eastAsia="仿宋_GB2312" w:cs="DengXian-Regular"/>
          <w:sz w:val="32"/>
          <w:szCs w:val="32"/>
          <w:highlight w:val="none"/>
          <w:lang w:val="en-US" w:eastAsia="zh-CN"/>
        </w:rPr>
        <w:t>增长133.80</w:t>
      </w:r>
      <w:r>
        <w:rPr>
          <w:rFonts w:hint="eastAsia" w:ascii="仿宋_GB2312" w:eastAsia="仿宋_GB2312" w:cs="DengXian-Regular"/>
          <w:sz w:val="32"/>
          <w:szCs w:val="32"/>
          <w:highlight w:val="none"/>
          <w:lang w:eastAsia="zh-CN"/>
        </w:rPr>
        <w:t>%，主要原因是</w:t>
      </w:r>
      <w:r>
        <w:rPr>
          <w:rFonts w:hint="eastAsia" w:ascii="仿宋_GB2312" w:eastAsia="仿宋_GB2312" w:cs="DengXian-Regular"/>
          <w:sz w:val="32"/>
          <w:szCs w:val="32"/>
          <w:highlight w:val="none"/>
          <w:lang w:val="en-US" w:eastAsia="zh-CN"/>
        </w:rPr>
        <w:t>2018年决算增加及补发机关公务人员的通讯补贴和交通补贴</w:t>
      </w:r>
      <w:r>
        <w:rPr>
          <w:rFonts w:hint="eastAsia" w:ascii="仿宋_GB2312" w:eastAsia="仿宋_GB2312" w:cs="DengXian-Regular"/>
          <w:sz w:val="32"/>
          <w:szCs w:val="32"/>
          <w:highlight w:val="none"/>
          <w:lang w:eastAsia="zh-CN"/>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辆，主要是</w:t>
      </w:r>
      <w:r>
        <w:rPr>
          <w:rFonts w:hint="eastAsia" w:ascii="仿宋_GB2312" w:eastAsia="仿宋_GB2312" w:cs="DengXian-Regular"/>
          <w:sz w:val="32"/>
          <w:szCs w:val="32"/>
          <w:lang w:val="en-US" w:eastAsia="zh-CN"/>
        </w:rPr>
        <w:t>本单位本年度无公务用车购置</w:t>
      </w:r>
      <w:r>
        <w:rPr>
          <w:rFonts w:hint="eastAsia" w:ascii="仿宋_GB2312" w:eastAsia="仿宋_GB2312" w:cs="DengXian-Regular"/>
          <w:sz w:val="32"/>
          <w:szCs w:val="32"/>
        </w:rPr>
        <w:t>。其中，副部（省）级及以上领导用车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w:t>
      </w:r>
      <w:r>
        <w:rPr>
          <w:rFonts w:hint="eastAsia" w:ascii="仿宋_GB2312" w:eastAsia="仿宋_GB2312" w:cs="DengXian-Regular"/>
          <w:sz w:val="32"/>
          <w:szCs w:val="32"/>
          <w:lang w:val="en-US" w:eastAsia="zh-CN"/>
        </w:rPr>
        <w:t>本单位无</w:t>
      </w:r>
      <w:r>
        <w:rPr>
          <w:rFonts w:hint="eastAsia" w:ascii="仿宋_GB2312" w:eastAsia="仿宋_GB2312" w:cs="DengXian-Regular"/>
          <w:sz w:val="32"/>
          <w:szCs w:val="32"/>
        </w:rPr>
        <w:t>其他用车；单位价值</w:t>
      </w:r>
      <w:r>
        <w:rPr>
          <w:rFonts w:ascii="仿宋_GB2312" w:hAnsi="TimesNewRomanPSMT" w:eastAsia="仿宋_GB2312" w:cs="TimesNewRomanPSMT"/>
          <w:sz w:val="32"/>
          <w:szCs w:val="32"/>
        </w:rPr>
        <w:t>50</w:t>
      </w:r>
      <w:r>
        <w:rPr>
          <w:rFonts w:hint="eastAsia" w:ascii="仿宋_GB2312" w:eastAsia="仿宋_GB2312" w:cs="DengXian-Regular"/>
          <w:sz w:val="32"/>
          <w:szCs w:val="32"/>
        </w:rPr>
        <w:t>万元以上通用设备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套，主要是</w:t>
      </w:r>
      <w:r>
        <w:rPr>
          <w:rFonts w:hint="eastAsia" w:ascii="仿宋_GB2312" w:eastAsia="仿宋_GB2312" w:cs="DengXian-Regular"/>
          <w:sz w:val="32"/>
          <w:szCs w:val="32"/>
          <w:lang w:val="en-US" w:eastAsia="zh-CN"/>
        </w:rPr>
        <w:t>本单位无价值在50万元以上的通用设备</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eastAsia="仿宋_GB2312" w:cs="DengXian-Regular"/>
          <w:sz w:val="32"/>
          <w:szCs w:val="32"/>
        </w:rPr>
        <w:t>万元以上专用设备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台（套）比上年增加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套</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本单位无价值在100万元以上的专用设备</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1</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hint="eastAsia" w:ascii="仿宋_GB2312" w:hAnsi="Cambria" w:eastAsia="仿宋_GB2312" w:cs="ArialUnicodeMS"/>
          <w:kern w:val="0"/>
          <w:sz w:val="32"/>
          <w:szCs w:val="32"/>
          <w:lang w:eastAsia="zh-CN"/>
        </w:rPr>
        <w:t>无政府性基金财政拨款收入</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按照要求</w:t>
      </w:r>
      <w:r>
        <w:rPr>
          <w:rFonts w:hint="eastAsia" w:ascii="仿宋_GB2312" w:eastAsia="仿宋_GB2312" w:cs="DengXian-Regular"/>
          <w:sz w:val="32"/>
          <w:szCs w:val="32"/>
        </w:rPr>
        <w:t>以空表列示。</w:t>
      </w:r>
    </w:p>
    <w:p>
      <w:pPr>
        <w:adjustRightInd w:val="0"/>
        <w:snapToGrid w:val="0"/>
        <w:spacing w:after="0" w:line="580" w:lineRule="exact"/>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lang w:val="en-US" w:eastAsia="zh-CN"/>
        </w:rPr>
        <w:t>2、本部门2018年度无</w:t>
      </w:r>
      <w:r>
        <w:rPr>
          <w:rFonts w:hint="eastAsia" w:ascii="仿宋_GB2312" w:hAnsi="Cambria" w:eastAsia="仿宋_GB2312" w:cs="ArialUnicodeMS"/>
          <w:kern w:val="0"/>
          <w:sz w:val="32"/>
          <w:szCs w:val="32"/>
          <w:lang w:eastAsia="zh-CN"/>
        </w:rPr>
        <w:t>国有资本经营预算财政拨款</w:t>
      </w:r>
      <w:r>
        <w:rPr>
          <w:rFonts w:hint="eastAsia" w:ascii="仿宋_GB2312" w:hAnsi="Cambria" w:eastAsia="仿宋_GB2312" w:cs="ArialUnicodeMS"/>
          <w:kern w:val="0"/>
          <w:sz w:val="32"/>
          <w:szCs w:val="32"/>
          <w:lang w:val="en-US" w:eastAsia="zh-CN"/>
        </w:rPr>
        <w:t>收入，按照要求</w:t>
      </w:r>
      <w:r>
        <w:rPr>
          <w:rFonts w:hint="eastAsia" w:ascii="仿宋_GB2312" w:eastAsia="仿宋_GB2312" w:cs="DengXian-Regular"/>
          <w:sz w:val="32"/>
          <w:szCs w:val="32"/>
        </w:rPr>
        <w:t>以空表列示</w:t>
      </w:r>
      <w:r>
        <w:rPr>
          <w:rFonts w:hint="eastAsia" w:ascii="仿宋_GB2312" w:eastAsia="仿宋_GB2312" w:cs="DengXian-Regular"/>
          <w:sz w:val="32"/>
          <w:szCs w:val="32"/>
          <w:lang w:eastAsia="zh-CN"/>
        </w:rPr>
        <w:t>。</w:t>
      </w:r>
    </w:p>
    <w:p>
      <w:pPr>
        <w:adjustRightInd w:val="0"/>
        <w:snapToGrid w:val="0"/>
        <w:spacing w:after="0" w:line="580" w:lineRule="exact"/>
        <w:ind w:firstLine="640" w:firstLineChars="200"/>
        <w:rPr>
          <w:rFonts w:hint="default" w:ascii="仿宋_GB2312" w:eastAsia="仿宋_GB2312" w:cs="DengXian-Regular"/>
          <w:sz w:val="32"/>
          <w:szCs w:val="32"/>
          <w:lang w:val="en-US" w:eastAsia="zh-CN"/>
        </w:rPr>
      </w:pPr>
      <w:r>
        <w:rPr>
          <w:rFonts w:hint="eastAsia" w:ascii="仿宋_GB2312" w:eastAsia="仿宋_GB2312" w:cs="DengXian-Regular"/>
          <w:sz w:val="32"/>
          <w:szCs w:val="32"/>
          <w:lang w:val="en-US" w:eastAsia="zh-CN"/>
        </w:rPr>
        <w:t>3、本部门2018年度</w:t>
      </w:r>
      <w:r>
        <w:rPr>
          <w:rFonts w:hint="eastAsia" w:ascii="仿宋_GB2312" w:hAnsi="Cambria" w:eastAsia="仿宋_GB2312" w:cs="ArialUnicodeMS"/>
          <w:kern w:val="0"/>
          <w:sz w:val="32"/>
          <w:szCs w:val="32"/>
          <w:lang w:eastAsia="zh-CN"/>
        </w:rPr>
        <w:t>无政府采购</w:t>
      </w:r>
      <w:r>
        <w:rPr>
          <w:rFonts w:hint="eastAsia" w:ascii="仿宋_GB2312" w:hAnsi="Cambria" w:eastAsia="仿宋_GB2312" w:cs="ArialUnicodeMS"/>
          <w:kern w:val="0"/>
          <w:sz w:val="32"/>
          <w:szCs w:val="32"/>
          <w:lang w:val="en-US" w:eastAsia="zh-CN"/>
        </w:rPr>
        <w:t>情况，</w:t>
      </w:r>
      <w:bookmarkStart w:id="0" w:name="_GoBack"/>
      <w:bookmarkEnd w:id="0"/>
      <w:r>
        <w:rPr>
          <w:rFonts w:hint="eastAsia" w:ascii="仿宋_GB2312" w:eastAsia="仿宋_GB2312" w:cs="DengXian-Regular"/>
          <w:sz w:val="32"/>
          <w:szCs w:val="32"/>
          <w:lang w:val="en-US" w:eastAsia="zh-CN"/>
        </w:rPr>
        <w:t>按照要求</w:t>
      </w:r>
      <w:r>
        <w:rPr>
          <w:rFonts w:hint="eastAsia" w:ascii="仿宋_GB2312" w:eastAsia="仿宋_GB2312" w:cs="DengXian-Regular"/>
          <w:sz w:val="32"/>
          <w:szCs w:val="32"/>
        </w:rPr>
        <w:t>以空表列示。</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lang w:val="en-US" w:eastAsia="zh-CN"/>
        </w:rPr>
        <w:t>4</w:t>
      </w:r>
      <w:r>
        <w:rPr>
          <w:rFonts w:hint="eastAsia" w:ascii="仿宋_GB2312" w:eastAsia="仿宋_GB2312" w:cs="DengXian-Regular"/>
          <w:sz w:val="32"/>
          <w:szCs w:val="32"/>
        </w:rPr>
        <w:t>、由于决算公开表格中金额数值应当保留两位小数，公开数据为四舍五入计算结</w:t>
      </w:r>
      <w:r>
        <w:pict>
          <v:group id="_x0000_s1151" o:spid="_x0000_s1151" o:spt="203" style="position:absolute;left:0pt;margin-left:-79.5pt;margin-top:29.3pt;height:43.95pt;width:301.85pt;mso-position-vertical-relative:page;z-index:251691008;mso-width-relative:page;mso-height-relative:page;" coordorigin="4551,52615" coordsize="8546,1398">
            <o:lock v:ext="edit"/>
            <v:rect id="矩形 13" o:spid="_x0000_s1152" o:spt="1" style="position:absolute;left:4551;top:52615;height:1175;width:8546;v-text-anchor:middle;" fillcolor="#96DA9D" filled="t" stroked="f" coordsize="21600,21600">
              <v:path/>
              <v:fill on="t" focussize="0,0"/>
              <v:stroke on="f" weight="2pt"/>
              <v:imagedata o:title=""/>
              <o:lock v:ext="edit"/>
            </v:rect>
            <v:rect id="矩形 14" o:spid="_x0000_s115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21" o:spid="_x0000_s1118" o:spt="75" alt="2" type="#_x0000_t75" style="position:absolute;left:0pt;margin-left:-79.45pt;margin-top:-105.35pt;height:840.95pt;width:594.5pt;z-index:-251648000;mso-width-relative:page;mso-height-relative:page;" filled="f" o:preferrelative="t" stroked="f" coordsize="21600,21600">
            <v:path/>
            <v:fill on="f" focussize="0,0"/>
            <v:stroke on="f" joinstyle="miter"/>
            <v:imagedata r:id="rId7" o:title=""/>
            <o:lock v:ext="edit" aspectratio="t"/>
          </v:shape>
        </w:pict>
      </w:r>
      <w:r>
        <w:pict>
          <v:shape id="文本框 22" o:spid="_x0000_s1119" o:spt="202" type="#_x0000_t202" style="position:absolute;left:0pt;margin-left:-78.7pt;margin-top:232.8pt;height:159.1pt;width:596.2pt;z-index:25166745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120" o:spt="203" style="position:absolute;left:0pt;margin-left:-81.05pt;margin-top:39.65pt;height:43.95pt;width:264.85pt;mso-position-vertical-relative:page;z-index:251671552;mso-width-relative:page;mso-height-relative:page;" coordorigin="4551,52615" coordsize="8546,1398">
            <o:lock v:ext="edit"/>
            <v:rect id="矩形 13" o:spid="_x0000_s1121" o:spt="1" style="position:absolute;left:4551;top:52615;height:1175;width:8546;v-text-anchor:middle;" fillcolor="#96DA9D" filled="t" stroked="f" coordsize="21600,21600">
              <v:path/>
              <v:fill on="t" focussize="0,0"/>
              <v:stroke on="f" weight="2pt"/>
              <v:imagedata o:title=""/>
              <o:lock v:ext="edit"/>
            </v:rect>
            <v:rect id="矩形 14" o:spid="_x0000_s112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hint="eastAsia"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w:pict>
          <v:group id="组合 94" o:spid="_x0000_s1123" o:spt="203" style="position:absolute;left:0pt;margin-left:-81.05pt;margin-top:39.65pt;height:43.95pt;width:264.85pt;mso-position-vertical-relative:page;z-index:251684864;mso-width-relative:page;mso-height-relative:page;" coordorigin="4551,52615" coordsize="8546,1398">
            <o:lock v:ext="edit"/>
            <v:rect id="矩形 13" o:spid="_x0000_s1124" o:spt="1" style="position:absolute;left:4551;top:52615;height:1175;width:8546;v-text-anchor:middle;" fillcolor="#96DA9D" filled="t" stroked="f" coordsize="21600,21600">
              <v:path/>
              <v:fill on="t" focussize="0,0"/>
              <v:stroke on="f" weight="2pt"/>
              <v:imagedata o:title=""/>
              <o:lock v:ext="edit"/>
            </v:rect>
            <v:rect id="矩形 14" o:spid="_x0000_s112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组合 97" o:spid="_x0000_s1126" o:spt="203" style="position:absolute;left:0pt;margin-left:-81.05pt;margin-top:39.65pt;height:43.95pt;width:264.85pt;mso-position-vertical-relative:page;z-index:251685888;mso-width-relative:page;mso-height-relative:page;" coordorigin="4551,52615" coordsize="8546,1398">
            <o:lock v:ext="edit"/>
            <v:rect id="矩形 13" o:spid="_x0000_s1127" o:spt="1" style="position:absolute;left:4551;top:52615;height:1175;width:8546;v-text-anchor:middle;" fillcolor="#96DA9D" filled="t" stroked="f" coordsize="21600,21600">
              <v:path/>
              <v:fill on="t" focussize="0,0"/>
              <v:stroke on="f" weight="2pt"/>
              <v:imagedata o:title=""/>
              <o:lock v:ext="edit"/>
            </v:rect>
            <v:rect id="矩形 14" o:spid="_x0000_s112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pict>
          <v:shape id="图片 101" o:spid="_x0000_s1129" o:spt="75" alt="3" type="#_x0000_t75" style="position:absolute;left:0pt;margin-left:-78pt;margin-top:-106.7pt;height:845.35pt;width:597.65pt;z-index:-251646976;mso-width-relative:page;mso-height-relative:page;" filled="f" o:preferrelative="t" stroked="f" coordsize="21600,21600">
            <v:path/>
            <v:fill on="f" focussize="0,0"/>
            <v:stroke on="f" joinstyle="miter"/>
            <v:imagedata r:id="rId8" o:title=""/>
            <o:lock v:ext="edit" aspectratio="t"/>
          </v:shape>
        </w:pict>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4E5D2B0-F039-40C1-8CAC-7B8EDCA65133}"/>
  </w:font>
  <w:font w:name="Arial">
    <w:panose1 w:val="020B0604020202020204"/>
    <w:charset w:val="01"/>
    <w:family w:val="swiss"/>
    <w:pitch w:val="default"/>
    <w:sig w:usb0="E0002AFF" w:usb1="C0007843" w:usb2="00000009" w:usb3="00000000" w:csb0="400001FF" w:csb1="FFFF0000"/>
    <w:embedRegular r:id="rId2" w:fontKey="{EB455AB9-2C48-4D1B-BD78-55FAB3745FA3}"/>
  </w:font>
  <w:font w:name="黑体">
    <w:panose1 w:val="02010609060101010101"/>
    <w:charset w:val="86"/>
    <w:family w:val="auto"/>
    <w:pitch w:val="default"/>
    <w:sig w:usb0="800002BF" w:usb1="38CF7CFA" w:usb2="00000016" w:usb3="00000000" w:csb0="00040001" w:csb1="00000000"/>
    <w:embedRegular r:id="rId3" w:fontKey="{704B2B6A-B501-4640-82ED-767D36AB505E}"/>
  </w:font>
  <w:font w:name="Courier New">
    <w:panose1 w:val="02070309020205020404"/>
    <w:charset w:val="01"/>
    <w:family w:val="modern"/>
    <w:pitch w:val="default"/>
    <w:sig w:usb0="E0002AFF" w:usb1="C0007843" w:usb2="00000009" w:usb3="00000000" w:csb0="400001FF" w:csb1="FFFF0000"/>
    <w:embedRegular r:id="rId4" w:fontKey="{8A274FF1-495D-49E4-80D0-D979E5D34313}"/>
  </w:font>
  <w:font w:name="Symbol">
    <w:panose1 w:val="05050102010706020507"/>
    <w:charset w:val="02"/>
    <w:family w:val="roman"/>
    <w:pitch w:val="default"/>
    <w:sig w:usb0="00000000" w:usb1="00000000" w:usb2="00000000" w:usb3="00000000" w:csb0="80000000" w:csb1="00000000"/>
    <w:embedRegular r:id="rId5" w:fontKey="{6CFB7097-675A-4AC3-870B-D81A3843364F}"/>
  </w:font>
  <w:font w:name="Calibri">
    <w:panose1 w:val="020F0502020204030204"/>
    <w:charset w:val="00"/>
    <w:family w:val="swiss"/>
    <w:pitch w:val="default"/>
    <w:sig w:usb0="E10002FF" w:usb1="4000ACFF" w:usb2="00000009" w:usb3="00000000" w:csb0="2000019F" w:csb1="00000000"/>
    <w:embedRegular r:id="rId6" w:fontKey="{00D6479F-8EC3-4926-954D-CA98F5BAFC41}"/>
  </w:font>
  <w:font w:name="Cambria">
    <w:panose1 w:val="02040503050406030204"/>
    <w:charset w:val="00"/>
    <w:family w:val="roman"/>
    <w:pitch w:val="default"/>
    <w:sig w:usb0="E00002FF" w:usb1="400004FF" w:usb2="00000000" w:usb3="00000000" w:csb0="2000019F" w:csb1="00000000"/>
    <w:embedRegular r:id="rId7" w:fontKey="{5BF08A32-7F1A-4540-A285-8E6429872E80}"/>
  </w:font>
  <w:font w:name="楷体">
    <w:panose1 w:val="02010609060101010101"/>
    <w:charset w:val="86"/>
    <w:family w:val="modern"/>
    <w:pitch w:val="default"/>
    <w:sig w:usb0="800002BF" w:usb1="38CF7CFA" w:usb2="00000016" w:usb3="00000000" w:csb0="00040001" w:csb1="00000000"/>
    <w:embedRegular r:id="rId8" w:fontKey="{206816CD-41A2-4927-A188-70E1C9735A16}"/>
  </w:font>
  <w:font w:name="MS Gothic">
    <w:panose1 w:val="020B0609070205080204"/>
    <w:charset w:val="80"/>
    <w:family w:val="modern"/>
    <w:pitch w:val="default"/>
    <w:sig w:usb0="E00002FF" w:usb1="6AC7FDFB" w:usb2="00000012" w:usb3="00000000" w:csb0="4002009F" w:csb1="DFD70000"/>
    <w:embedRegular r:id="rId9" w:fontKey="{FBC38058-A9D8-4A43-8ECB-E9E103E4AD45}"/>
  </w:font>
  <w:font w:name="仿宋_GB2312">
    <w:panose1 w:val="02010609030101010101"/>
    <w:charset w:val="86"/>
    <w:family w:val="modern"/>
    <w:pitch w:val="default"/>
    <w:sig w:usb0="00000000" w:usb1="00000000" w:usb2="00000000" w:usb3="00000000" w:csb0="00000000" w:csb1="00000000"/>
    <w:embedRegular r:id="rId10" w:fontKey="{7EFEBDEC-9FF8-4562-8FC5-560E93D38054}"/>
  </w:font>
  <w:font w:name="仿宋">
    <w:panose1 w:val="02010609060101010101"/>
    <w:charset w:val="86"/>
    <w:family w:val="auto"/>
    <w:pitch w:val="default"/>
    <w:sig w:usb0="800002BF" w:usb1="38CF7CFA" w:usb2="00000016" w:usb3="00000000" w:csb0="00040001" w:csb1="00000000"/>
    <w:embedRegular r:id="rId11" w:fontKey="{0025B50F-3087-4908-BB4A-C350CDAA878C}"/>
  </w:font>
  <w:font w:name="ArialUnicodeMS">
    <w:altName w:val="Malgun Gothic"/>
    <w:panose1 w:val="00000000000000000000"/>
    <w:charset w:val="81"/>
    <w:family w:val="auto"/>
    <w:pitch w:val="default"/>
    <w:sig w:usb0="00000000" w:usb1="00000000" w:usb2="00000010" w:usb3="00000000" w:csb0="00080000" w:csb1="00000000"/>
    <w:embedRegular r:id="rId12" w:fontKey="{6A952E14-6E9C-4A3A-B23C-F0244F386EA7}"/>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13" w:fontKey="{11CA8AAB-B423-4244-A058-8B997505148A}"/>
  </w:font>
  <w:font w:name="DengXian-Regular">
    <w:altName w:val="宋体"/>
    <w:panose1 w:val="00000000000000000000"/>
    <w:charset w:val="86"/>
    <w:family w:val="auto"/>
    <w:pitch w:val="default"/>
    <w:sig w:usb0="00000000" w:usb1="00000000" w:usb2="00000010" w:usb3="00000000" w:csb0="00040000" w:csb1="00000000"/>
    <w:embedRegular r:id="rId14" w:fontKey="{FC30E6B3-E9B8-416A-861E-1BF57CF88D44}"/>
  </w:font>
  <w:font w:name="楷体_GB2312">
    <w:panose1 w:val="02010609030101010101"/>
    <w:charset w:val="86"/>
    <w:family w:val="modern"/>
    <w:pitch w:val="default"/>
    <w:sig w:usb0="00000000" w:usb1="00000000" w:usb2="00000000" w:usb3="00000000" w:csb0="00000000" w:csb1="00000000"/>
    <w:embedRegular r:id="rId15" w:fontKey="{FF7046FF-3A02-422E-A0C1-E1ED71435475}"/>
  </w:font>
  <w:font w:name="DengXian-Bold">
    <w:altName w:val="宋体"/>
    <w:panose1 w:val="00000000000000000000"/>
    <w:charset w:val="86"/>
    <w:family w:val="auto"/>
    <w:pitch w:val="default"/>
    <w:sig w:usb0="00000000" w:usb1="00000000" w:usb2="00000010" w:usb3="00000000" w:csb0="00040000" w:csb1="00000000"/>
    <w:embedRegular r:id="rId16" w:fontKey="{11F557FB-5263-478A-9920-28E985621034}"/>
  </w:font>
  <w:font w:name="TimesNewRomanPSMT">
    <w:altName w:val="Arial"/>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B9A8B1"/>
    <w:multiLevelType w:val="singleLevel"/>
    <w:tmpl w:val="82B9A8B1"/>
    <w:lvl w:ilvl="0" w:tentative="0">
      <w:start w:val="2"/>
      <w:numFmt w:val="chineseCounting"/>
      <w:suff w:val="nothing"/>
      <w:lvlText w:val="（%1）"/>
      <w:lvlJc w:val="left"/>
      <w:rPr>
        <w:rFonts w:hint="eastAsia"/>
      </w:rPr>
    </w:lvl>
  </w:abstractNum>
  <w:abstractNum w:abstractNumId="1">
    <w:nsid w:val="054972B9"/>
    <w:multiLevelType w:val="singleLevel"/>
    <w:tmpl w:val="054972B9"/>
    <w:lvl w:ilvl="0" w:tentative="0">
      <w:start w:val="1"/>
      <w:numFmt w:val="chineseCounting"/>
      <w:suff w:val="nothing"/>
      <w:lvlText w:val="%1、"/>
      <w:lvlJc w:val="left"/>
      <w:rPr>
        <w:rFonts w:hint="eastAsia"/>
      </w:rPr>
    </w:lvl>
  </w:abstractNum>
  <w:abstractNum w:abstractNumId="2">
    <w:nsid w:val="5370CA9B"/>
    <w:multiLevelType w:val="singleLevel"/>
    <w:tmpl w:val="5370CA9B"/>
    <w:lvl w:ilvl="0" w:tentative="0">
      <w:start w:val="2"/>
      <w:numFmt w:val="chineseCounting"/>
      <w:suff w:val="nothing"/>
      <w:lvlText w:val="（%1）"/>
      <w:lvlJc w:val="left"/>
      <w:rPr>
        <w:rFonts w:hint="eastAsia"/>
      </w:rPr>
    </w:lvl>
  </w:abstractNum>
  <w:abstractNum w:abstractNumId="3">
    <w:nsid w:val="5D6646DB"/>
    <w:multiLevelType w:val="singleLevel"/>
    <w:tmpl w:val="5D6646DB"/>
    <w:lvl w:ilvl="0" w:tentative="0">
      <w:start w:val="1"/>
      <w:numFmt w:val="chineseCounting"/>
      <w:suff w:val="nothing"/>
      <w:lvlText w:val="（%1）"/>
      <w:lvlJc w:val="left"/>
      <w:pPr>
        <w:widowControl/>
        <w:spacing w:line="240" w:lineRule="auto"/>
        <w:textAlignment w:val="baseline"/>
      </w:pPr>
      <w:rPr>
        <w:rStyle w:val="34"/>
      </w:rPr>
    </w:lvl>
  </w:abstractNum>
  <w:abstractNum w:abstractNumId="4">
    <w:nsid w:val="7DB9FE05"/>
    <w:multiLevelType w:val="singleLevel"/>
    <w:tmpl w:val="7DB9FE05"/>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1413"/>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0307E"/>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C4766"/>
    <w:rsid w:val="00FD3BD5"/>
    <w:rsid w:val="00FE3DC8"/>
    <w:rsid w:val="02A1508B"/>
    <w:rsid w:val="03420695"/>
    <w:rsid w:val="03446A11"/>
    <w:rsid w:val="04073F84"/>
    <w:rsid w:val="04BB6242"/>
    <w:rsid w:val="04D174B9"/>
    <w:rsid w:val="05151AC8"/>
    <w:rsid w:val="052E2208"/>
    <w:rsid w:val="05570B68"/>
    <w:rsid w:val="05DB5017"/>
    <w:rsid w:val="060A1763"/>
    <w:rsid w:val="06A44038"/>
    <w:rsid w:val="06F35CE6"/>
    <w:rsid w:val="074E16CE"/>
    <w:rsid w:val="07B41FE3"/>
    <w:rsid w:val="07D46A5A"/>
    <w:rsid w:val="08203EE7"/>
    <w:rsid w:val="083867EB"/>
    <w:rsid w:val="08473F28"/>
    <w:rsid w:val="09F71D2A"/>
    <w:rsid w:val="0A1E6073"/>
    <w:rsid w:val="0B60750A"/>
    <w:rsid w:val="0B704D1F"/>
    <w:rsid w:val="0C644309"/>
    <w:rsid w:val="0DB04CE8"/>
    <w:rsid w:val="0F8558F5"/>
    <w:rsid w:val="10686488"/>
    <w:rsid w:val="10DF728A"/>
    <w:rsid w:val="120468F0"/>
    <w:rsid w:val="12454CE3"/>
    <w:rsid w:val="1264200E"/>
    <w:rsid w:val="12A24C70"/>
    <w:rsid w:val="141C5B77"/>
    <w:rsid w:val="1594332D"/>
    <w:rsid w:val="17060E44"/>
    <w:rsid w:val="17926A4F"/>
    <w:rsid w:val="181B621C"/>
    <w:rsid w:val="184A549A"/>
    <w:rsid w:val="184F03DE"/>
    <w:rsid w:val="18B442C8"/>
    <w:rsid w:val="18D8339D"/>
    <w:rsid w:val="19121437"/>
    <w:rsid w:val="19941BEB"/>
    <w:rsid w:val="19CE2B74"/>
    <w:rsid w:val="19FC6355"/>
    <w:rsid w:val="1A07236B"/>
    <w:rsid w:val="1A21388F"/>
    <w:rsid w:val="1A570D2F"/>
    <w:rsid w:val="1AC56E01"/>
    <w:rsid w:val="1BC039D8"/>
    <w:rsid w:val="1C982435"/>
    <w:rsid w:val="1CF60F83"/>
    <w:rsid w:val="1DA60677"/>
    <w:rsid w:val="1DC40852"/>
    <w:rsid w:val="1E753002"/>
    <w:rsid w:val="1E906AE7"/>
    <w:rsid w:val="1F526114"/>
    <w:rsid w:val="1FAE22A3"/>
    <w:rsid w:val="1FE03CBA"/>
    <w:rsid w:val="1FE64B5D"/>
    <w:rsid w:val="20A26213"/>
    <w:rsid w:val="20FA4319"/>
    <w:rsid w:val="2158166C"/>
    <w:rsid w:val="216043AB"/>
    <w:rsid w:val="219158EC"/>
    <w:rsid w:val="22223F7B"/>
    <w:rsid w:val="23A6467A"/>
    <w:rsid w:val="241C4820"/>
    <w:rsid w:val="25AC38DB"/>
    <w:rsid w:val="25ED0E50"/>
    <w:rsid w:val="260A1622"/>
    <w:rsid w:val="27132259"/>
    <w:rsid w:val="27FD39AB"/>
    <w:rsid w:val="28177F12"/>
    <w:rsid w:val="28265247"/>
    <w:rsid w:val="28FB0B8D"/>
    <w:rsid w:val="29012059"/>
    <w:rsid w:val="29710B00"/>
    <w:rsid w:val="29F41F96"/>
    <w:rsid w:val="29FB5496"/>
    <w:rsid w:val="2B215358"/>
    <w:rsid w:val="2B27407F"/>
    <w:rsid w:val="2BA54590"/>
    <w:rsid w:val="2BED5DD4"/>
    <w:rsid w:val="2BFD6E0F"/>
    <w:rsid w:val="2D2B7942"/>
    <w:rsid w:val="2D420464"/>
    <w:rsid w:val="2D46481D"/>
    <w:rsid w:val="2E555625"/>
    <w:rsid w:val="2E733B28"/>
    <w:rsid w:val="2F5B3FF9"/>
    <w:rsid w:val="300E5E93"/>
    <w:rsid w:val="301A598E"/>
    <w:rsid w:val="301F447A"/>
    <w:rsid w:val="3052156B"/>
    <w:rsid w:val="30E45D0B"/>
    <w:rsid w:val="31852B5A"/>
    <w:rsid w:val="31EA3DCB"/>
    <w:rsid w:val="321F6890"/>
    <w:rsid w:val="327646FA"/>
    <w:rsid w:val="32BA720A"/>
    <w:rsid w:val="32D01238"/>
    <w:rsid w:val="33A95DCC"/>
    <w:rsid w:val="343F2FFF"/>
    <w:rsid w:val="348E4B4D"/>
    <w:rsid w:val="34960932"/>
    <w:rsid w:val="34C926B9"/>
    <w:rsid w:val="34DB3215"/>
    <w:rsid w:val="3591332B"/>
    <w:rsid w:val="360E3202"/>
    <w:rsid w:val="36843721"/>
    <w:rsid w:val="369779C7"/>
    <w:rsid w:val="37865904"/>
    <w:rsid w:val="37B713E1"/>
    <w:rsid w:val="37B820D6"/>
    <w:rsid w:val="38532918"/>
    <w:rsid w:val="38E91B9F"/>
    <w:rsid w:val="3913643E"/>
    <w:rsid w:val="393D2FAD"/>
    <w:rsid w:val="3A3B11A6"/>
    <w:rsid w:val="3B911592"/>
    <w:rsid w:val="3CA15AB0"/>
    <w:rsid w:val="3D1437AC"/>
    <w:rsid w:val="3DFC59A8"/>
    <w:rsid w:val="3EAA78C9"/>
    <w:rsid w:val="3ECF245E"/>
    <w:rsid w:val="3EDD7596"/>
    <w:rsid w:val="3FB96314"/>
    <w:rsid w:val="41DA6A20"/>
    <w:rsid w:val="41EE6FC4"/>
    <w:rsid w:val="42B259D5"/>
    <w:rsid w:val="43B10547"/>
    <w:rsid w:val="43CC0EA1"/>
    <w:rsid w:val="43F154B4"/>
    <w:rsid w:val="44766354"/>
    <w:rsid w:val="44877A3C"/>
    <w:rsid w:val="46F912F9"/>
    <w:rsid w:val="49366D84"/>
    <w:rsid w:val="495053CB"/>
    <w:rsid w:val="49F635DB"/>
    <w:rsid w:val="4A0B389F"/>
    <w:rsid w:val="4A7D5941"/>
    <w:rsid w:val="4AE60D67"/>
    <w:rsid w:val="4BB2629F"/>
    <w:rsid w:val="4BE26F52"/>
    <w:rsid w:val="4BEC08C3"/>
    <w:rsid w:val="4BFF520A"/>
    <w:rsid w:val="4C2318B5"/>
    <w:rsid w:val="4D310429"/>
    <w:rsid w:val="4DC80AA0"/>
    <w:rsid w:val="4DF7153A"/>
    <w:rsid w:val="4E7D1657"/>
    <w:rsid w:val="4EE43B0C"/>
    <w:rsid w:val="4F3066B0"/>
    <w:rsid w:val="4F494E14"/>
    <w:rsid w:val="4FA37791"/>
    <w:rsid w:val="4FDF4F1C"/>
    <w:rsid w:val="509C5F17"/>
    <w:rsid w:val="50C83F56"/>
    <w:rsid w:val="51EE382B"/>
    <w:rsid w:val="52120944"/>
    <w:rsid w:val="52C264EA"/>
    <w:rsid w:val="53216EC2"/>
    <w:rsid w:val="534B04FE"/>
    <w:rsid w:val="53615BBE"/>
    <w:rsid w:val="53A44FAF"/>
    <w:rsid w:val="54E816E1"/>
    <w:rsid w:val="552235C9"/>
    <w:rsid w:val="55DC58DD"/>
    <w:rsid w:val="56F57F07"/>
    <w:rsid w:val="56FB7EEB"/>
    <w:rsid w:val="58560C41"/>
    <w:rsid w:val="5883370A"/>
    <w:rsid w:val="592025CF"/>
    <w:rsid w:val="594329EC"/>
    <w:rsid w:val="599023E8"/>
    <w:rsid w:val="5A055846"/>
    <w:rsid w:val="5AC05FC4"/>
    <w:rsid w:val="5AED349E"/>
    <w:rsid w:val="5AED5EFB"/>
    <w:rsid w:val="5BEE1540"/>
    <w:rsid w:val="5C2B35E4"/>
    <w:rsid w:val="5CFA6972"/>
    <w:rsid w:val="5DE61A5D"/>
    <w:rsid w:val="5FF8422A"/>
    <w:rsid w:val="600C3A43"/>
    <w:rsid w:val="604E0E15"/>
    <w:rsid w:val="61230043"/>
    <w:rsid w:val="614943A1"/>
    <w:rsid w:val="61E40DCA"/>
    <w:rsid w:val="630618AD"/>
    <w:rsid w:val="63C04243"/>
    <w:rsid w:val="649C01C7"/>
    <w:rsid w:val="65F16292"/>
    <w:rsid w:val="65F16E66"/>
    <w:rsid w:val="66631899"/>
    <w:rsid w:val="66E50823"/>
    <w:rsid w:val="68197B79"/>
    <w:rsid w:val="68892BBD"/>
    <w:rsid w:val="68AD2322"/>
    <w:rsid w:val="6901214A"/>
    <w:rsid w:val="69100910"/>
    <w:rsid w:val="699A3F60"/>
    <w:rsid w:val="69C91D4F"/>
    <w:rsid w:val="6A0A2FC5"/>
    <w:rsid w:val="6B5A06C5"/>
    <w:rsid w:val="6B686E2F"/>
    <w:rsid w:val="6BA162F4"/>
    <w:rsid w:val="6C4120D4"/>
    <w:rsid w:val="6D226951"/>
    <w:rsid w:val="6D71562B"/>
    <w:rsid w:val="6D9F19D6"/>
    <w:rsid w:val="6E073C23"/>
    <w:rsid w:val="6F2652AD"/>
    <w:rsid w:val="6FB57F38"/>
    <w:rsid w:val="6FC5553B"/>
    <w:rsid w:val="70414D53"/>
    <w:rsid w:val="711E5986"/>
    <w:rsid w:val="7246229F"/>
    <w:rsid w:val="725254BD"/>
    <w:rsid w:val="727A07B2"/>
    <w:rsid w:val="72902E62"/>
    <w:rsid w:val="72E40AE0"/>
    <w:rsid w:val="73C61104"/>
    <w:rsid w:val="75F77CDD"/>
    <w:rsid w:val="763924BA"/>
    <w:rsid w:val="76695E57"/>
    <w:rsid w:val="774262A3"/>
    <w:rsid w:val="776452EA"/>
    <w:rsid w:val="78BD186F"/>
    <w:rsid w:val="78D94BA1"/>
    <w:rsid w:val="793D3E17"/>
    <w:rsid w:val="7A316609"/>
    <w:rsid w:val="7AA33B56"/>
    <w:rsid w:val="7BF176B5"/>
    <w:rsid w:val="7CBB49B2"/>
    <w:rsid w:val="7DC663B9"/>
    <w:rsid w:val="7E2E13DA"/>
    <w:rsid w:val="7E3E54A7"/>
    <w:rsid w:val="7ED7568A"/>
    <w:rsid w:val="7FD21032"/>
    <w:rsid w:val="7FE376E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4"/>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paragraph" w:styleId="5">
    <w:name w:val="heading 4"/>
    <w:basedOn w:val="1"/>
    <w:next w:val="1"/>
    <w:link w:val="19"/>
    <w:qFormat/>
    <w:uiPriority w:val="99"/>
    <w:pPr>
      <w:keepNext/>
      <w:keepLines/>
      <w:spacing w:before="280" w:after="290" w:line="376" w:lineRule="auto"/>
      <w:outlineLvl w:val="3"/>
    </w:pPr>
    <w:rPr>
      <w:rFonts w:ascii="Calibri" w:hAnsi="Calibri"/>
      <w:b/>
      <w:bCs/>
      <w:sz w:val="28"/>
      <w:szCs w:val="28"/>
    </w:rPr>
  </w:style>
  <w:style w:type="character" w:default="1" w:styleId="15">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Date"/>
    <w:basedOn w:val="1"/>
    <w:next w:val="1"/>
    <w:link w:val="20"/>
    <w:semiHidden/>
    <w:qFormat/>
    <w:uiPriority w:val="99"/>
    <w:pPr>
      <w:ind w:left="100" w:leftChars="2500"/>
    </w:pPr>
  </w:style>
  <w:style w:type="paragraph" w:styleId="8">
    <w:name w:val="Balloon Text"/>
    <w:basedOn w:val="1"/>
    <w:link w:val="21"/>
    <w:semiHidden/>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rFonts w:ascii="Cambria" w:hAnsi="Cambria" w:eastAsia="黑体"/>
      <w:sz w:val="18"/>
      <w:szCs w:val="18"/>
    </w:rPr>
  </w:style>
  <w:style w:type="paragraph" w:styleId="10">
    <w:name w:val="header"/>
    <w:basedOn w:val="1"/>
    <w:link w:val="23"/>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1">
    <w:name w:val="Subtitle"/>
    <w:basedOn w:val="1"/>
    <w:next w:val="1"/>
    <w:link w:val="24"/>
    <w:qFormat/>
    <w:uiPriority w:val="99"/>
    <w:pPr>
      <w:widowControl/>
      <w:spacing w:after="200" w:line="276" w:lineRule="auto"/>
      <w:jc w:val="left"/>
    </w:pPr>
    <w:rPr>
      <w:rFonts w:ascii="Calibri" w:hAnsi="Calibri"/>
      <w:i/>
      <w:iCs/>
      <w:color w:val="F0A22E"/>
      <w:spacing w:val="15"/>
      <w:kern w:val="0"/>
      <w:sz w:val="24"/>
    </w:rPr>
  </w:style>
  <w:style w:type="paragraph" w:styleId="12">
    <w:name w:val="Title"/>
    <w:basedOn w:val="1"/>
    <w:next w:val="1"/>
    <w:link w:val="25"/>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4">
    <w:name w:val="Table Grid"/>
    <w:basedOn w:val="13"/>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Heading 1 Char"/>
    <w:basedOn w:val="15"/>
    <w:link w:val="2"/>
    <w:qFormat/>
    <w:locked/>
    <w:uiPriority w:val="99"/>
    <w:rPr>
      <w:rFonts w:ascii="Times New Roman" w:hAnsi="Times New Roman" w:eastAsia="宋体" w:cs="Times New Roman"/>
      <w:b/>
      <w:bCs/>
      <w:kern w:val="44"/>
      <w:sz w:val="44"/>
      <w:szCs w:val="44"/>
    </w:rPr>
  </w:style>
  <w:style w:type="character" w:customStyle="1" w:styleId="17">
    <w:name w:val="Heading 2 Char"/>
    <w:basedOn w:val="15"/>
    <w:link w:val="3"/>
    <w:qFormat/>
    <w:locked/>
    <w:uiPriority w:val="99"/>
    <w:rPr>
      <w:rFonts w:ascii="Calibri" w:hAnsi="Calibri" w:eastAsia="宋体" w:cs="Times New Roman"/>
      <w:b/>
      <w:bCs/>
      <w:sz w:val="32"/>
      <w:szCs w:val="32"/>
    </w:rPr>
  </w:style>
  <w:style w:type="character" w:customStyle="1" w:styleId="18">
    <w:name w:val="Heading 3 Char"/>
    <w:basedOn w:val="15"/>
    <w:link w:val="4"/>
    <w:qFormat/>
    <w:locked/>
    <w:uiPriority w:val="99"/>
    <w:rPr>
      <w:rFonts w:ascii="Times New Roman" w:hAnsi="Times New Roman" w:eastAsia="宋体" w:cs="Times New Roman"/>
      <w:b/>
      <w:bCs/>
      <w:sz w:val="32"/>
      <w:szCs w:val="32"/>
    </w:rPr>
  </w:style>
  <w:style w:type="character" w:customStyle="1" w:styleId="19">
    <w:name w:val="Heading 4 Char"/>
    <w:basedOn w:val="15"/>
    <w:link w:val="5"/>
    <w:qFormat/>
    <w:locked/>
    <w:uiPriority w:val="99"/>
    <w:rPr>
      <w:rFonts w:ascii="Calibri" w:hAnsi="Calibri" w:eastAsia="宋体" w:cs="Times New Roman"/>
      <w:b/>
      <w:bCs/>
      <w:sz w:val="28"/>
      <w:szCs w:val="28"/>
    </w:rPr>
  </w:style>
  <w:style w:type="character" w:customStyle="1" w:styleId="20">
    <w:name w:val="Date Char"/>
    <w:basedOn w:val="15"/>
    <w:link w:val="7"/>
    <w:semiHidden/>
    <w:qFormat/>
    <w:locked/>
    <w:uiPriority w:val="99"/>
    <w:rPr>
      <w:rFonts w:ascii="Times New Roman" w:hAnsi="Times New Roman" w:eastAsia="宋体" w:cs="Times New Roman"/>
      <w:sz w:val="24"/>
      <w:szCs w:val="24"/>
    </w:rPr>
  </w:style>
  <w:style w:type="character" w:customStyle="1" w:styleId="21">
    <w:name w:val="Balloon Text Char"/>
    <w:basedOn w:val="15"/>
    <w:link w:val="8"/>
    <w:semiHidden/>
    <w:qFormat/>
    <w:locked/>
    <w:uiPriority w:val="99"/>
    <w:rPr>
      <w:rFonts w:ascii="Times New Roman" w:hAnsi="Times New Roman" w:eastAsia="宋体" w:cs="Times New Roman"/>
      <w:sz w:val="18"/>
      <w:szCs w:val="18"/>
    </w:rPr>
  </w:style>
  <w:style w:type="character" w:customStyle="1" w:styleId="22">
    <w:name w:val="Footer Char"/>
    <w:basedOn w:val="15"/>
    <w:link w:val="9"/>
    <w:qFormat/>
    <w:locked/>
    <w:uiPriority w:val="99"/>
    <w:rPr>
      <w:rFonts w:cs="Times New Roman"/>
      <w:sz w:val="18"/>
      <w:szCs w:val="18"/>
    </w:rPr>
  </w:style>
  <w:style w:type="character" w:customStyle="1" w:styleId="23">
    <w:name w:val="Header Char"/>
    <w:basedOn w:val="15"/>
    <w:link w:val="10"/>
    <w:qFormat/>
    <w:locked/>
    <w:uiPriority w:val="99"/>
    <w:rPr>
      <w:rFonts w:cs="Times New Roman"/>
      <w:sz w:val="18"/>
      <w:szCs w:val="18"/>
    </w:rPr>
  </w:style>
  <w:style w:type="character" w:customStyle="1" w:styleId="24">
    <w:name w:val="Subtitle Char"/>
    <w:basedOn w:val="15"/>
    <w:link w:val="11"/>
    <w:qFormat/>
    <w:locked/>
    <w:uiPriority w:val="99"/>
    <w:rPr>
      <w:rFonts w:ascii="Calibri" w:hAnsi="Calibri" w:eastAsia="宋体" w:cs="Times New Roman"/>
      <w:i/>
      <w:iCs/>
      <w:color w:val="F0A22E"/>
      <w:spacing w:val="15"/>
      <w:kern w:val="0"/>
      <w:sz w:val="24"/>
      <w:szCs w:val="24"/>
    </w:rPr>
  </w:style>
  <w:style w:type="character" w:customStyle="1" w:styleId="25">
    <w:name w:val="Title Char"/>
    <w:basedOn w:val="15"/>
    <w:link w:val="12"/>
    <w:qFormat/>
    <w:locked/>
    <w:uiPriority w:val="99"/>
    <w:rPr>
      <w:rFonts w:ascii="Calibri" w:hAnsi="Calibri" w:eastAsia="宋体" w:cs="Times New Roman"/>
      <w:color w:val="3A2C24"/>
      <w:spacing w:val="5"/>
      <w:kern w:val="28"/>
      <w:sz w:val="52"/>
      <w:szCs w:val="52"/>
    </w:rPr>
  </w:style>
  <w:style w:type="paragraph" w:styleId="26">
    <w:name w:val="No Spacing"/>
    <w:link w:val="27"/>
    <w:qFormat/>
    <w:uiPriority w:val="99"/>
    <w:pPr>
      <w:spacing w:after="160" w:line="480" w:lineRule="auto"/>
    </w:pPr>
    <w:rPr>
      <w:rFonts w:ascii="Cambria" w:hAnsi="Cambria" w:eastAsia="黑体" w:cs="Times New Roman"/>
      <w:kern w:val="0"/>
      <w:sz w:val="22"/>
      <w:szCs w:val="22"/>
      <w:lang w:val="en-US" w:eastAsia="zh-CN" w:bidi="ar-SA"/>
    </w:rPr>
  </w:style>
  <w:style w:type="character" w:customStyle="1" w:styleId="27">
    <w:name w:val="No Spacing Char"/>
    <w:basedOn w:val="15"/>
    <w:link w:val="26"/>
    <w:qFormat/>
    <w:locked/>
    <w:uiPriority w:val="99"/>
    <w:rPr>
      <w:rFonts w:cs="Times New Roman"/>
      <w:sz w:val="22"/>
      <w:szCs w:val="22"/>
      <w:lang w:val="en-US" w:eastAsia="zh-CN" w:bidi="ar-SA"/>
    </w:rPr>
  </w:style>
  <w:style w:type="character" w:customStyle="1" w:styleId="28">
    <w:name w:val="Style1"/>
    <w:basedOn w:val="15"/>
    <w:qFormat/>
    <w:uiPriority w:val="99"/>
    <w:rPr>
      <w:rFonts w:ascii="Cambria" w:hAnsi="黑体" w:eastAsia="黑体" w:cs="Times New Roman"/>
      <w:sz w:val="22"/>
      <w:szCs w:val="22"/>
      <w:lang w:eastAsia="zh-CN"/>
    </w:rPr>
  </w:style>
  <w:style w:type="character" w:customStyle="1" w:styleId="29">
    <w:name w:val="Style2"/>
    <w:basedOn w:val="15"/>
    <w:qFormat/>
    <w:uiPriority w:val="99"/>
    <w:rPr>
      <w:rFonts w:ascii="Cambria" w:hAnsi="黑体" w:eastAsia="黑体" w:cs="Times New Roman"/>
      <w:sz w:val="22"/>
      <w:szCs w:val="22"/>
      <w:lang w:eastAsia="zh-CN"/>
    </w:rPr>
  </w:style>
  <w:style w:type="character" w:customStyle="1" w:styleId="30">
    <w:name w:val="Style3"/>
    <w:basedOn w:val="15"/>
    <w:qFormat/>
    <w:uiPriority w:val="99"/>
    <w:rPr>
      <w:rFonts w:ascii="Cambria" w:hAnsi="黑体" w:eastAsia="黑体" w:cs="Times New Roman"/>
      <w:sz w:val="22"/>
      <w:szCs w:val="22"/>
      <w:lang w:eastAsia="zh-CN"/>
    </w:rPr>
  </w:style>
  <w:style w:type="character" w:customStyle="1" w:styleId="31">
    <w:name w:val="Style4"/>
    <w:basedOn w:val="15"/>
    <w:qFormat/>
    <w:uiPriority w:val="99"/>
    <w:rPr>
      <w:rFonts w:ascii="Cambria" w:hAnsi="黑体" w:eastAsia="黑体" w:cs="Times New Roman"/>
      <w:sz w:val="22"/>
      <w:szCs w:val="22"/>
      <w:lang w:eastAsia="zh-CN"/>
    </w:rPr>
  </w:style>
  <w:style w:type="character" w:customStyle="1" w:styleId="32">
    <w:name w:val="Style5"/>
    <w:basedOn w:val="15"/>
    <w:qFormat/>
    <w:uiPriority w:val="99"/>
    <w:rPr>
      <w:rFonts w:ascii="Cambria" w:hAnsi="黑体" w:eastAsia="黑体" w:cs="Times New Roman"/>
      <w:sz w:val="22"/>
      <w:szCs w:val="22"/>
      <w:lang w:eastAsia="zh-CN"/>
    </w:rPr>
  </w:style>
  <w:style w:type="paragraph" w:styleId="33">
    <w:name w:val="List Paragraph"/>
    <w:basedOn w:val="1"/>
    <w:qFormat/>
    <w:uiPriority w:val="99"/>
    <w:pPr>
      <w:ind w:firstLine="420" w:firstLineChars="200"/>
    </w:pPr>
  </w:style>
  <w:style w:type="character" w:customStyle="1" w:styleId="34">
    <w:name w:val="NormalCharacter"/>
    <w:link w:val="1"/>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9"/>
    <customShpInfo spid="_x0000_s1030"/>
    <customShpInfo spid="_x0000_s1028"/>
    <customShpInfo spid="_x0000_s1032"/>
    <customShpInfo spid="_x0000_s1033"/>
    <customShpInfo spid="_x0000_s1031"/>
    <customShpInfo spid="_x0000_s1034"/>
    <customShpInfo spid="_x0000_s1035"/>
    <customShpInfo spid="_x0000_s1037"/>
    <customShpInfo spid="_x0000_s1038"/>
    <customShpInfo spid="_x0000_s1036"/>
    <customShpInfo spid="_x0000_s1039"/>
    <customShpInfo spid="_x0000_s1040"/>
    <customShpInfo spid="_x0000_s1042"/>
    <customShpInfo spid="_x0000_s1043"/>
    <customShpInfo spid="_x0000_s1041"/>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4"/>
    <customShpInfo spid="_x0000_s1055"/>
    <customShpInfo spid="_x0000_s1053"/>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6"/>
    <customShpInfo spid="_x0000_s1067"/>
    <customShpInfo spid="_x0000_s1065"/>
    <customShpInfo spid="_x0000_s1069"/>
    <customShpInfo spid="_x0000_s1070"/>
    <customShpInfo spid="_x0000_s1068"/>
    <customShpInfo spid="_x0000_s1071"/>
    <customShpInfo spid="_x0000_s1072"/>
    <customShpInfo spid="_x0000_s1074"/>
    <customShpInfo spid="_x0000_s1075"/>
    <customShpInfo spid="_x0000_s1073"/>
    <customShpInfo spid="_x0000_s1137"/>
    <customShpInfo spid="_x0000_s1138"/>
    <customShpInfo spid="_x0000_s1136"/>
    <customShpInfo spid="_x0000_s1155"/>
    <customShpInfo spid="_x0000_s1146"/>
    <customShpInfo spid="_x0000_s1147"/>
    <customShpInfo spid="_x0000_s1145"/>
    <customShpInfo spid="_x0000_s1149"/>
    <customShpInfo spid="_x0000_s1150"/>
    <customShpInfo spid="_x0000_s1148"/>
    <customShpInfo spid="_x0000_s1152"/>
    <customShpInfo spid="_x0000_s1153"/>
    <customShpInfo spid="_x0000_s1151"/>
    <customShpInfo spid="_x0000_s1118"/>
    <customShpInfo spid="_x0000_s1119"/>
    <customShpInfo spid="_x0000_s1121"/>
    <customShpInfo spid="_x0000_s1122"/>
    <customShpInfo spid="_x0000_s1120"/>
    <customShpInfo spid="_x0000_s1124"/>
    <customShpInfo spid="_x0000_s1125"/>
    <customShpInfo spid="_x0000_s1123"/>
    <customShpInfo spid="_x0000_s1127"/>
    <customShpInfo spid="_x0000_s1128"/>
    <customShpInfo spid="_x0000_s1126"/>
    <customShpInfo spid="_x0000_s11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33</Pages>
  <Words>1623</Words>
  <Characters>9257</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2021-05-28T08:43:00Z</cp:lastPrinted>
  <dcterms:modified xsi:type="dcterms:W3CDTF">2021-06-23T06:21:45Z</dcterms:modified>
  <dc:subject>石家庄市xxx部门</dc:subject>
  <dc:title>2017年度部门决算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EBA040097D4F45239DBB139A08CC08D2</vt:lpwstr>
  </property>
</Properties>
</file>