
<file path=[Content_Types].xml><?xml version="1.0" encoding="utf-8"?>
<Types xmlns="http://schemas.openxmlformats.org/package/2006/content-types">
  <Default Extension="xml" ContentType="application/xml"/>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黑体" w:eastAsia="黑体"/>
          <w:b/>
          <w:sz w:val="72"/>
          <w:szCs w:val="72"/>
        </w:rPr>
      </w:pPr>
      <w:r>
        <w:drawing>
          <wp:anchor distT="0" distB="0" distL="114300" distR="114300" simplePos="0" relativeHeight="251659264" behindDoc="1" locked="0" layoutInCell="1" allowOverlap="1">
            <wp:simplePos x="0" y="0"/>
            <wp:positionH relativeFrom="column">
              <wp:posOffset>-1000125</wp:posOffset>
            </wp:positionH>
            <wp:positionV relativeFrom="paragraph">
              <wp:posOffset>-1355090</wp:posOffset>
            </wp:positionV>
            <wp:extent cx="7576820" cy="10796905"/>
            <wp:effectExtent l="19050" t="0" r="5080" b="0"/>
            <wp:wrapNone/>
            <wp:docPr id="2" name="图片 7" descr="wc 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descr="wc ga"/>
                    <pic:cNvPicPr>
                      <a:picLocks noChangeAspect="1" noChangeArrowheads="1"/>
                    </pic:cNvPicPr>
                  </pic:nvPicPr>
                  <pic:blipFill>
                    <a:blip r:embed="rId12"/>
                    <a:srcRect/>
                    <a:stretch>
                      <a:fillRect/>
                    </a:stretch>
                  </pic:blipFill>
                  <pic:spPr>
                    <a:xfrm>
                      <a:off x="0" y="0"/>
                      <a:ext cx="7576820" cy="10796905"/>
                    </a:xfrm>
                    <a:prstGeom prst="rect">
                      <a:avLst/>
                    </a:prstGeom>
                    <a:noFill/>
                  </pic:spPr>
                </pic:pic>
              </a:graphicData>
            </a:graphic>
          </wp:anchor>
        </w:drawing>
      </w:r>
    </w:p>
    <w:p>
      <w:pPr>
        <w:widowControl/>
        <w:jc w:val="center"/>
        <w:rPr>
          <w:rFonts w:ascii="黑体" w:hAnsi="宋体" w:eastAsia="黑体"/>
          <w:color w:val="002060"/>
          <w:sz w:val="72"/>
          <w:szCs w:val="72"/>
        </w:rPr>
      </w:pPr>
      <w:r>
        <w:pict>
          <v:shape id="文本框 8" o:spid="_x0000_s1027" o:spt="202" type="#_x0000_t202" style="position:absolute;left:0pt;margin-left:-83.1pt;margin-top:43.25pt;height:166.25pt;width:596.2pt;z-index:251665408;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阜平县档案局</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w:t>
                  </w:r>
                </w:p>
                <w:p>
                  <w:pPr>
                    <w:rPr>
                      <w:color w:val="FDEFBE"/>
                      <w:sz w:val="96"/>
                      <w:szCs w:val="96"/>
                    </w:rPr>
                  </w:pPr>
                </w:p>
              </w:txbxContent>
            </v:textbox>
          </v:shape>
        </w:pict>
      </w: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ind w:firstLine="3092" w:firstLineChars="700"/>
        <w:rPr>
          <w:rFonts w:ascii="楷体" w:hAnsi="楷体" w:eastAsia="楷体" w:cs="楷体"/>
          <w:b/>
          <w:sz w:val="44"/>
          <w:szCs w:val="44"/>
        </w:rPr>
      </w:pPr>
      <w:r>
        <w:rPr>
          <w:rFonts w:hint="eastAsia" w:ascii="楷体" w:hAnsi="楷体" w:eastAsia="楷体" w:cs="楷体"/>
          <w:b/>
          <w:sz w:val="44"/>
          <w:szCs w:val="44"/>
        </w:rPr>
        <w:t>阜平县档案局</w:t>
      </w:r>
    </w:p>
    <w:p>
      <w:pPr>
        <w:widowControl/>
        <w:ind w:firstLine="2871" w:firstLineChars="650"/>
        <w:rPr>
          <w:rFonts w:ascii="楷体" w:hAnsi="楷体" w:eastAsia="楷体" w:cs="楷体"/>
          <w:b/>
          <w:sz w:val="44"/>
          <w:szCs w:val="44"/>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992" w:gutter="0"/>
          <w:cols w:space="425" w:num="1"/>
          <w:docGrid w:type="lines" w:linePitch="312" w:charSpace="0"/>
        </w:sectPr>
      </w:pPr>
      <w:r>
        <w:rPr>
          <w:rFonts w:hint="eastAsia" w:ascii="楷体" w:hAnsi="楷体" w:eastAsia="楷体" w:cs="楷体"/>
          <w:b/>
          <w:sz w:val="44"/>
          <w:szCs w:val="44"/>
        </w:rPr>
        <w:t>二〇一九年九月</w:t>
      </w:r>
    </w:p>
    <w:p>
      <w:pPr>
        <w:spacing w:beforeLines="200" w:after="0" w:line="1000" w:lineRule="exact"/>
        <w:jc w:val="center"/>
        <w:rPr>
          <w:rFonts w:ascii="黑体" w:eastAsia="黑体"/>
          <w:sz w:val="48"/>
          <w:szCs w:val="48"/>
        </w:rPr>
      </w:pPr>
      <w:r>
        <w:pict>
          <v:group id="组合 179" o:spid="_x0000_s1028" o:spt="203" style="position:absolute;left:0pt;margin-left:-80.8pt;margin-top:39.95pt;height:46.7pt;width:250.05pt;mso-position-vertical-relative:page;z-index:251673600;mso-width-relative:page;mso-height-relative:page;" coordorigin="4551,52615" coordsize="8546,-2147483648" o:allowoverlap="f">
            <o:lock v:ext="edit"/>
            <v:rect id="矩形 13" o:spid="_x0000_s1029" o:spt="1" style="position:absolute;left:4551;top:52615;height:1175;width:8546;v-text-anchor:middle;" fillcolor="#96DA9D" filled="t" stroked="f" coordsize="21600,21600">
              <v:path/>
              <v:fill on="t" focussize="0,0"/>
              <v:stroke on="f" weight="2pt"/>
              <v:imagedata o:title=""/>
              <o:lock v:ext="edit"/>
            </v:rect>
            <v:rect id="矩形 14" o:spid="_x0000_s1030"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6"/>
                        <w:szCs w:val="36"/>
                      </w:rPr>
                    </w:pPr>
                    <w:r>
                      <w:rPr>
                        <w:rFonts w:ascii="楷体" w:hAnsi="楷体" w:eastAsia="楷体" w:cs="楷体"/>
                        <w:b/>
                        <w:bCs/>
                        <w:color w:val="FDEFBE"/>
                        <w:kern w:val="0"/>
                        <w:sz w:val="36"/>
                        <w:szCs w:val="36"/>
                      </w:rPr>
                      <w:t>2018</w:t>
                    </w:r>
                    <w:r>
                      <w:rPr>
                        <w:rFonts w:hint="eastAsia" w:ascii="楷体" w:hAnsi="楷体" w:eastAsia="楷体" w:cs="楷体"/>
                        <w:b/>
                        <w:bCs/>
                        <w:color w:val="FDEFBE"/>
                        <w:kern w:val="0"/>
                        <w:sz w:val="36"/>
                        <w:szCs w:val="36"/>
                      </w:rPr>
                      <w:t>年度部门决算</w:t>
                    </w:r>
                    <w:r>
                      <w:rPr>
                        <w:rFonts w:hint="eastAsia" w:ascii="MS Gothic" w:hAnsi="MS Gothic" w:eastAsia="MS Gothic" w:cs="MS Gothic"/>
                        <w:b/>
                        <w:bCs/>
                        <w:color w:val="FDEFBE"/>
                        <w:kern w:val="0"/>
                        <w:sz w:val="36"/>
                        <w:szCs w:val="36"/>
                      </w:rPr>
                      <w:t>☞</w:t>
                    </w:r>
                    <w:r>
                      <w:rPr>
                        <w:rFonts w:hint="eastAsia" w:ascii="楷体" w:hAnsi="楷体" w:eastAsia="楷体" w:cs="楷体"/>
                        <w:b/>
                        <w:bCs/>
                        <w:color w:val="FDEFBE"/>
                        <w:kern w:val="0"/>
                        <w:sz w:val="36"/>
                        <w:szCs w:val="36"/>
                      </w:rPr>
                      <w:t>目录</w:t>
                    </w:r>
                  </w:p>
                  <w:p>
                    <w:pPr>
                      <w:jc w:val="center"/>
                    </w:pPr>
                  </w:p>
                </w:txbxContent>
              </v:textbox>
            </v:rect>
            <w10:anchorlock/>
          </v:group>
        </w:pict>
      </w:r>
      <w:r>
        <w:rPr>
          <w:rFonts w:hint="eastAsia" w:ascii="黑体" w:eastAsia="黑体"/>
          <w:sz w:val="48"/>
          <w:szCs w:val="48"/>
        </w:rPr>
        <w:t>目录</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仿宋_GB2312"/>
          <w:sz w:val="24"/>
          <w:szCs w:val="32"/>
        </w:rPr>
      </w:pPr>
      <w:r>
        <w:rPr>
          <w:rFonts w:hint="eastAsia" w:eastAsia="黑体"/>
          <w:sz w:val="32"/>
          <w:szCs w:val="32"/>
        </w:rPr>
        <w:t>第一部分部门概况</w:t>
      </w:r>
    </w:p>
    <w:p>
      <w:pPr>
        <w:widowControl/>
        <w:spacing w:line="580" w:lineRule="exact"/>
        <w:ind w:firstLine="1273" w:firstLineChars="398"/>
        <w:rPr>
          <w:rFonts w:eastAsia="仿宋_GB2312"/>
          <w:sz w:val="32"/>
          <w:szCs w:val="32"/>
        </w:rPr>
      </w:pPr>
      <w:r>
        <w:rPr>
          <w:rFonts w:hint="eastAsia" w:eastAsia="仿宋_GB2312"/>
          <w:sz w:val="32"/>
          <w:szCs w:val="32"/>
        </w:rPr>
        <w:t>一、部门职责</w:t>
      </w:r>
    </w:p>
    <w:p>
      <w:pPr>
        <w:widowControl/>
        <w:spacing w:line="580" w:lineRule="exact"/>
        <w:ind w:firstLine="1273" w:firstLineChars="398"/>
        <w:rPr>
          <w:rFonts w:eastAsia="仿宋_GB2312"/>
          <w:sz w:val="32"/>
          <w:szCs w:val="32"/>
        </w:rPr>
      </w:pPr>
      <w:r>
        <w:rPr>
          <w:rFonts w:hint="eastAsia" w:eastAsia="仿宋_GB2312"/>
          <w:sz w:val="32"/>
          <w:szCs w:val="32"/>
        </w:rPr>
        <w:t>二、机构设置</w:t>
      </w:r>
    </w:p>
    <w:p>
      <w:pPr>
        <w:widowControl/>
        <w:spacing w:line="580" w:lineRule="exact"/>
        <w:ind w:firstLine="640" w:firstLineChars="200"/>
        <w:rPr>
          <w:rFonts w:eastAsia="仿宋_GB2312"/>
          <w:sz w:val="20"/>
          <w:szCs w:val="32"/>
        </w:rPr>
      </w:pPr>
      <w:r>
        <w:rPr>
          <w:rFonts w:hint="eastAsia" w:eastAsia="黑体"/>
          <w:sz w:val="32"/>
          <w:szCs w:val="32"/>
        </w:rPr>
        <w:t>第二部分</w:t>
      </w:r>
      <w:r>
        <w:rPr>
          <w:rFonts w:eastAsia="黑体"/>
          <w:sz w:val="32"/>
          <w:szCs w:val="32"/>
        </w:rPr>
        <w:t xml:space="preserve">   2018</w:t>
      </w:r>
      <w:r>
        <w:rPr>
          <w:rFonts w:hint="eastAsia" w:eastAsia="黑体"/>
          <w:sz w:val="32"/>
          <w:szCs w:val="32"/>
        </w:rPr>
        <w:t>年度部门决算报表</w: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二、收入决算表</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六、一般公共预算财政拨款基本支出决算表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七、一般公共预算财政拨款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八、政府性基金预算财政拨款收入支出决算表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九、国有资本经营预算财政拨款支出决算表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十、政府采购情况表</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r>
        <w:rPr>
          <w:rFonts w:hint="eastAsia" w:eastAsia="黑体"/>
          <w:sz w:val="32"/>
          <w:szCs w:val="32"/>
        </w:rPr>
        <w:t>第三部分阜平县档案局</w:t>
      </w:r>
      <w:r>
        <w:rPr>
          <w:rFonts w:eastAsia="黑体"/>
          <w:sz w:val="32"/>
          <w:szCs w:val="32"/>
        </w:rPr>
        <w:t>2018</w:t>
      </w:r>
      <w:r>
        <w:rPr>
          <w:rFonts w:hint="eastAsia" w:eastAsia="黑体"/>
          <w:sz w:val="32"/>
          <w:szCs w:val="32"/>
        </w:rPr>
        <w:t>年部门决算情况说明</w:t>
      </w:r>
      <w:r>
        <w:pict>
          <v:group id="组合 176" o:spid="_x0000_s1031" o:spt="203" style="position:absolute;left:0pt;margin-left:-80.8pt;margin-top:38.95pt;height:46.7pt;width:222.8pt;mso-position-vertical-relative:page;z-index:251672576;mso-width-relative:page;mso-height-relative:page;" coordorigin="4551,52615" coordsize="8546,-2147483648">
            <o:lock v:ext="edit"/>
            <v:rect id="矩形 13" o:spid="_x0000_s1032" o:spt="1" style="position:absolute;left:4551;top:52615;height:1175;width:8546;v-text-anchor:middle;" fillcolor="#96DA9D" filled="t" stroked="f" coordsize="21600,21600">
              <v:path/>
              <v:fill on="t" focussize="0,0"/>
              <v:stroke on="f" weight="2pt"/>
              <v:imagedata o:title=""/>
              <o:lock v:ext="edit"/>
            </v:rect>
            <v:rect id="矩形 14" o:spid="_x0000_s103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目录</w:t>
                    </w:r>
                  </w:p>
                  <w:p>
                    <w:pPr>
                      <w:jc w:val="center"/>
                    </w:pPr>
                  </w:p>
                </w:txbxContent>
              </v:textbox>
            </v:rect>
            <w10:anchorlock/>
          </v:group>
        </w:pic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一、收入支出决算总体情况说明</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六、预算绩效情况说明</w:t>
      </w:r>
    </w:p>
    <w:p>
      <w:pPr>
        <w:widowControl/>
        <w:spacing w:line="580" w:lineRule="exact"/>
        <w:ind w:left="640" w:firstLine="640" w:firstLineChars="200"/>
        <w:rPr>
          <w:rFonts w:eastAsia="仿宋_GB2312"/>
          <w:sz w:val="32"/>
          <w:szCs w:val="32"/>
        </w:rPr>
      </w:pPr>
      <w:r>
        <w:rPr>
          <w:rFonts w:hint="eastAsia" w:eastAsia="仿宋_GB2312"/>
          <w:sz w:val="32"/>
          <w:szCs w:val="32"/>
        </w:rPr>
        <w:t>七、其他重要事项的说明</w:t>
      </w:r>
    </w:p>
    <w:p>
      <w:pPr>
        <w:widowControl/>
        <w:spacing w:line="580" w:lineRule="exact"/>
        <w:ind w:firstLine="640" w:firstLineChars="200"/>
        <w:rPr>
          <w:rFonts w:eastAsia="黑体"/>
          <w:sz w:val="32"/>
          <w:szCs w:val="32"/>
        </w:rPr>
      </w:pPr>
      <w:r>
        <w:rPr>
          <w:rFonts w:hint="eastAsia" w:eastAsia="黑体"/>
          <w:sz w:val="32"/>
          <w:szCs w:val="32"/>
        </w:rPr>
        <w:t>第四部分名词解释</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br w:type="page"/>
      </w:r>
    </w:p>
    <w:p>
      <w:r>
        <w:drawing>
          <wp:anchor distT="0" distB="0" distL="114300" distR="114300" simplePos="0" relativeHeight="251660288" behindDoc="1" locked="0" layoutInCell="1" allowOverlap="1">
            <wp:simplePos x="0" y="0"/>
            <wp:positionH relativeFrom="column">
              <wp:posOffset>-1024890</wp:posOffset>
            </wp:positionH>
            <wp:positionV relativeFrom="paragraph">
              <wp:posOffset>-1351915</wp:posOffset>
            </wp:positionV>
            <wp:extent cx="7585710" cy="10727055"/>
            <wp:effectExtent l="19050" t="0" r="0" b="0"/>
            <wp:wrapNone/>
            <wp:docPr id="10"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descr="2"/>
                    <pic:cNvPicPr>
                      <a:picLocks noChangeAspect="1" noChangeArrowheads="1"/>
                    </pic:cNvPicPr>
                  </pic:nvPicPr>
                  <pic:blipFill>
                    <a:blip r:embed="rId13"/>
                    <a:srcRect/>
                    <a:stretch>
                      <a:fillRect/>
                    </a:stretch>
                  </pic:blipFill>
                  <pic:spPr>
                    <a:xfrm>
                      <a:off x="0" y="0"/>
                      <a:ext cx="7585710" cy="10727055"/>
                    </a:xfrm>
                    <a:prstGeom prst="rect">
                      <a:avLst/>
                    </a:prstGeom>
                    <a:noFill/>
                  </pic:spPr>
                </pic:pic>
              </a:graphicData>
            </a:graphic>
          </wp:anchor>
        </w:drawing>
      </w:r>
      <w:r>
        <w:pict>
          <v:shape id="文本框 118" o:spid="_x0000_s1035" o:spt="202" type="#_x0000_t202" style="position:absolute;left:0pt;margin-left:-97.3pt;margin-top:259.1pt;height:81.7pt;width:613.65pt;z-index:251670528;mso-width-relative:page;mso-height-relative:page;" filled="f" stroked="f" coordsize="21600,21600">
            <v:path/>
            <v:fill on="f" focussize="0,0"/>
            <v:stroke on="f" weight="0.5pt" joinstyle="miter"/>
            <v:imagedata o:title=""/>
            <o:lock v:ext="edit"/>
            <v:textbox>
              <w:txbxContent>
                <w:p>
                  <w:pPr>
                    <w:widowControl/>
                    <w:jc w:val="center"/>
                    <w:rPr>
                      <w:color w:val="FDEFBE"/>
                      <w:sz w:val="96"/>
                      <w:szCs w:val="96"/>
                    </w:rPr>
                  </w:pPr>
                  <w:r>
                    <w:rPr>
                      <w:rFonts w:hint="eastAsia" w:ascii="黑体" w:hAnsi="宋体" w:eastAsia="黑体"/>
                      <w:color w:val="FDEFBE"/>
                      <w:sz w:val="96"/>
                      <w:szCs w:val="96"/>
                    </w:rPr>
                    <w:t>第一部分部门概况</w:t>
                  </w:r>
                </w:p>
              </w:txbxContent>
            </v:textbox>
          </v:shape>
        </w:pict>
      </w:r>
    </w:p>
    <w:p/>
    <w:p/>
    <w:p/>
    <w:p/>
    <w:p/>
    <w:p/>
    <w:p/>
    <w:p/>
    <w:p/>
    <w:p/>
    <w:p/>
    <w:p/>
    <w:p/>
    <w:p/>
    <w:p/>
    <w:p>
      <w:pPr>
        <w:pStyle w:val="2"/>
        <w:spacing w:before="0" w:after="0" w:line="600" w:lineRule="exact"/>
        <w:jc w:val="left"/>
        <w:rPr>
          <w:rFonts w:ascii="黑体" w:hAnsi="Cambria" w:eastAsia="黑体" w:cs="黑体"/>
          <w:b w:val="0"/>
          <w:bCs w:val="0"/>
          <w:kern w:val="0"/>
          <w:sz w:val="32"/>
          <w:szCs w:val="32"/>
        </w:rPr>
      </w:pPr>
      <w:r>
        <w:pict>
          <v:group id="组合 15" o:spid="_x0000_s1036" o:spt="203" style="position:absolute;left:0pt;margin-left:-80.8pt;margin-top:39.5pt;height:46.7pt;width:245.25pt;mso-position-vertical-relative:page;z-index:251666432;mso-width-relative:page;mso-height-relative:page;" coordorigin="4551,52615" coordsize="8546,-2147483648">
            <o:lock v:ext="edit"/>
            <v:rect id="_x0000_s1037" o:spid="_x0000_s1037" o:spt="1" style="position:absolute;left:4551;top:52615;height:1175;width:8546;v-text-anchor:middle;" fillcolor="#96DA9D" filled="t" stroked="f" coordsize="21600,21600">
              <v:path/>
              <v:fill on="t" focussize="0,0"/>
              <v:stroke on="f" weight="2pt"/>
              <v:imagedata o:title=""/>
              <o:lock v:ext="edit"/>
            </v:rect>
            <v:rect id="_x0000_s1038" o:spid="_x0000_s103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部门概况</w:t>
                    </w:r>
                  </w:p>
                  <w:p>
                    <w:pPr>
                      <w:jc w:val="center"/>
                    </w:pPr>
                  </w:p>
                </w:txbxContent>
              </v:textbox>
            </v:rect>
            <w10:anchorlock/>
          </v:group>
        </w:pict>
      </w:r>
      <w:r>
        <w:rPr>
          <w:rFonts w:hint="eastAsia" w:ascii="黑体" w:hAnsi="Cambria" w:eastAsia="黑体" w:cs="黑体"/>
          <w:b w:val="0"/>
          <w:bCs w:val="0"/>
          <w:kern w:val="0"/>
          <w:sz w:val="32"/>
          <w:szCs w:val="32"/>
        </w:rPr>
        <w:t>一、部门职责</w:t>
      </w:r>
    </w:p>
    <w:p>
      <w:pPr>
        <w:pStyle w:val="33"/>
        <w:widowControl/>
        <w:spacing w:line="60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根据阜平县人民政府办公室《关于印发阜平县人民政府办公室主要职责内设机构和人员编制规定的通知》（阜政办[2010]49号），现将我局部门概况说明如下：</w:t>
      </w:r>
    </w:p>
    <w:p>
      <w:pPr>
        <w:pStyle w:val="33"/>
        <w:widowControl/>
        <w:spacing w:line="600" w:lineRule="exact"/>
        <w:ind w:firstLine="640" w:firstLineChars="200"/>
        <w:jc w:val="both"/>
        <w:rPr>
          <w:rFonts w:ascii="仿宋_GB2312" w:eastAsia="仿宋_GB2312"/>
          <w:sz w:val="32"/>
          <w:szCs w:val="32"/>
        </w:rPr>
      </w:pPr>
      <w:r>
        <w:rPr>
          <w:rFonts w:hint="eastAsia" w:ascii="仿宋_GB2312" w:eastAsia="仿宋_GB2312"/>
          <w:sz w:val="32"/>
          <w:szCs w:val="32"/>
        </w:rPr>
        <w:t>（一）对全县档案事业实行宏观管理。依据有关法律、法规进行档案执行。</w:t>
      </w:r>
    </w:p>
    <w:p>
      <w:pPr>
        <w:pStyle w:val="33"/>
        <w:widowControl/>
        <w:spacing w:line="60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（二）负责集中统一管理县直机关及乡镇的重要档案资料；保存党和国家的机密，维护档案的完整，确保档案资料的安全；负责调查、收集散存在外的本县档案资料和与本县有关的史料。</w:t>
      </w:r>
    </w:p>
    <w:p>
      <w:pPr>
        <w:pStyle w:val="33"/>
        <w:widowControl/>
        <w:spacing w:line="60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（三）组织档案科学技术和理论研究，推进本县档案工作的科学化管理和现代化管理。</w:t>
      </w:r>
    </w:p>
    <w:p>
      <w:pPr>
        <w:pStyle w:val="33"/>
        <w:widowControl/>
        <w:spacing w:line="60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（四）拟订本县档案工作人员队伍建设规划，组织档案专业教育和档案干部培训工作。</w:t>
      </w:r>
    </w:p>
    <w:p>
      <w:pPr>
        <w:pStyle w:val="33"/>
        <w:widowControl/>
        <w:spacing w:line="60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（五）负责全县档案宣传工作，统一管理全县档案资料的对外交流，协调全县档案工作的外事活动。</w:t>
      </w:r>
    </w:p>
    <w:p>
      <w:pPr>
        <w:pStyle w:val="33"/>
        <w:widowControl/>
        <w:spacing w:line="60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（六）负责全县档案信息开发、规划与管理，发挥档案信息资源作用，为社会各方面提供服务。</w:t>
      </w:r>
    </w:p>
    <w:p>
      <w:pPr>
        <w:pStyle w:val="33"/>
        <w:widowControl/>
        <w:spacing w:line="60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（七）承办县委、县政府、县国防动员委员会交办的其他事项。</w:t>
      </w:r>
    </w:p>
    <w:p>
      <w:pPr>
        <w:pStyle w:val="2"/>
        <w:spacing w:before="0" w:after="0" w:line="600" w:lineRule="exact"/>
        <w:jc w:val="left"/>
        <w:rPr>
          <w:rFonts w:ascii="黑体" w:hAnsi="Cambria" w:eastAsia="黑体" w:cs="黑体"/>
          <w:b w:val="0"/>
          <w:bCs w:val="0"/>
          <w:kern w:val="0"/>
          <w:sz w:val="32"/>
          <w:szCs w:val="32"/>
        </w:rPr>
      </w:pPr>
      <w:r>
        <w:rPr>
          <w:rFonts w:hint="eastAsia" w:ascii="黑体" w:hAnsi="Cambria" w:eastAsia="黑体" w:cs="黑体"/>
          <w:b w:val="0"/>
          <w:bCs w:val="0"/>
          <w:kern w:val="0"/>
          <w:sz w:val="32"/>
          <w:szCs w:val="32"/>
        </w:rPr>
        <w:t>二、机构设置</w:t>
      </w:r>
    </w:p>
    <w:p>
      <w:pPr>
        <w:spacing w:after="0" w:line="560" w:lineRule="exact"/>
        <w:rPr>
          <w:rFonts w:ascii="仿宋_GB2312" w:hAnsi="Cambria" w:eastAsia="仿宋_GB2312" w:cs="ArialUnicodeMS"/>
          <w:kern w:val="0"/>
          <w:sz w:val="32"/>
          <w:szCs w:val="32"/>
        </w:rPr>
      </w:pPr>
      <w:r>
        <w:rPr>
          <w:rFonts w:hint="eastAsia" w:ascii="仿宋_GB2312" w:hAnsi="Cambria" w:eastAsia="仿宋_GB2312" w:cs="ArialUnicodeMS"/>
          <w:kern w:val="0"/>
          <w:sz w:val="32"/>
          <w:szCs w:val="32"/>
        </w:rPr>
        <w:t xml:space="preserve">    从决算编报单位构成看，纳入</w:t>
      </w:r>
      <w:r>
        <w:rPr>
          <w:rFonts w:ascii="仿宋_GB2312" w:hAnsi="Cambria" w:eastAsia="仿宋_GB2312" w:cs="ArialUnicodeMS"/>
          <w:kern w:val="0"/>
          <w:sz w:val="32"/>
          <w:szCs w:val="32"/>
        </w:rPr>
        <w:t xml:space="preserve">2018 </w:t>
      </w:r>
      <w:r>
        <w:rPr>
          <w:rFonts w:hint="eastAsia" w:ascii="仿宋_GB2312" w:hAnsi="Cambria" w:eastAsia="仿宋_GB2312" w:cs="ArialUnicodeMS"/>
          <w:kern w:val="0"/>
          <w:sz w:val="32"/>
          <w:szCs w:val="32"/>
        </w:rPr>
        <w:t>年度本部门决算汇编范围的独立核算单位（以下简称“单位”）共1个，具体情况如下：</w:t>
      </w:r>
    </w:p>
    <w:tbl>
      <w:tblPr>
        <w:tblStyle w:val="12"/>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2384"/>
        <w:gridCol w:w="2693"/>
        <w:gridCol w:w="35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1" w:hRule="atLeast"/>
          <w:jc w:val="center"/>
        </w:trPr>
        <w:tc>
          <w:tcPr>
            <w:tcW w:w="9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序号</w:t>
            </w:r>
          </w:p>
        </w:tc>
        <w:tc>
          <w:tcPr>
            <w:tcW w:w="2384"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单位名称</w:t>
            </w:r>
          </w:p>
        </w:tc>
        <w:tc>
          <w:tcPr>
            <w:tcW w:w="2693"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单位基本性质</w:t>
            </w:r>
          </w:p>
        </w:tc>
        <w:tc>
          <w:tcPr>
            <w:tcW w:w="3518"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6" w:hRule="atLeast"/>
          <w:jc w:val="center"/>
        </w:trPr>
        <w:tc>
          <w:tcPr>
            <w:tcW w:w="985" w:type="dxa"/>
          </w:tcPr>
          <w:p>
            <w:pPr>
              <w:spacing w:after="0" w:line="560" w:lineRule="exact"/>
              <w:jc w:val="center"/>
              <w:rPr>
                <w:rFonts w:ascii="仿宋_GB2312" w:hAnsi="Cambria" w:eastAsia="仿宋_GB2312" w:cs="ArialUnicodeMS"/>
                <w:kern w:val="0"/>
                <w:sz w:val="28"/>
                <w:szCs w:val="28"/>
              </w:rPr>
            </w:pPr>
            <w:r>
              <w:rPr>
                <w:rFonts w:ascii="仿宋_GB2312" w:hAnsi="Cambria" w:eastAsia="仿宋_GB2312" w:cs="ArialUnicodeMS"/>
                <w:kern w:val="0"/>
                <w:sz w:val="28"/>
                <w:szCs w:val="28"/>
              </w:rPr>
              <w:t>1</w:t>
            </w:r>
          </w:p>
        </w:tc>
        <w:tc>
          <w:tcPr>
            <w:tcW w:w="2384" w:type="dxa"/>
          </w:tcPr>
          <w:p>
            <w:pPr>
              <w:spacing w:after="0" w:line="560" w:lineRule="exact"/>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阜平县档案局</w:t>
            </w:r>
          </w:p>
        </w:tc>
        <w:tc>
          <w:tcPr>
            <w:tcW w:w="2693" w:type="dxa"/>
          </w:tcPr>
          <w:p>
            <w:pPr>
              <w:spacing w:after="0"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财政补助事业单位</w:t>
            </w:r>
          </w:p>
        </w:tc>
        <w:tc>
          <w:tcPr>
            <w:tcW w:w="3518" w:type="dxa"/>
          </w:tcPr>
          <w:p>
            <w:pPr>
              <w:spacing w:after="0"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财政性资金基本保证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6" w:hRule="atLeast"/>
          <w:jc w:val="center"/>
        </w:trPr>
        <w:tc>
          <w:tcPr>
            <w:tcW w:w="9580" w:type="dxa"/>
            <w:gridSpan w:val="4"/>
            <w:tcBorders>
              <w:left w:val="nil"/>
              <w:bottom w:val="nil"/>
              <w:right w:val="nil"/>
            </w:tcBorders>
          </w:tcPr>
          <w:p>
            <w:pPr>
              <w:spacing w:after="0" w:line="560" w:lineRule="exact"/>
              <w:ind w:firstLine="560" w:firstLineChars="200"/>
              <w:jc w:val="left"/>
              <w:rPr>
                <w:rFonts w:ascii="仿宋_GB2312" w:hAnsi="Cambria" w:eastAsia="仿宋_GB2312" w:cs="ArialUnicodeMS"/>
                <w:kern w:val="0"/>
                <w:sz w:val="28"/>
                <w:szCs w:val="28"/>
              </w:rPr>
            </w:pPr>
          </w:p>
        </w:tc>
      </w:tr>
    </w:tbl>
    <w:p>
      <w:pPr>
        <w:spacing w:after="0" w:line="560" w:lineRule="exact"/>
        <w:rPr>
          <w:rFonts w:ascii="仿宋_GB2312" w:hAnsi="Cambria" w:eastAsia="仿宋_GB2312" w:cs="ArialUnicodeMS"/>
          <w:kern w:val="0"/>
          <w:sz w:val="32"/>
          <w:szCs w:val="32"/>
        </w:rPr>
      </w:pP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sectPr>
          <w:pgSz w:w="11906" w:h="16838"/>
          <w:pgMar w:top="2098" w:right="1474" w:bottom="1984" w:left="1588" w:header="851" w:footer="992" w:gutter="0"/>
          <w:cols w:space="0" w:num="1"/>
          <w:docGrid w:type="lines" w:linePitch="312" w:charSpace="0"/>
        </w:sectPr>
      </w:pPr>
    </w:p>
    <w:p>
      <w:pPr>
        <w:widowControl/>
        <w:spacing w:line="560" w:lineRule="exact"/>
        <w:jc w:val="center"/>
        <w:rPr>
          <w:rFonts w:ascii="黑体" w:hAnsi="Cambria" w:eastAsia="黑体" w:cs="MS-UIGothic,Bold"/>
          <w:bCs/>
          <w:kern w:val="0"/>
          <w:sz w:val="52"/>
          <w:szCs w:val="52"/>
        </w:rPr>
      </w:pPr>
      <w:r>
        <w:drawing>
          <wp:anchor distT="0" distB="0" distL="114300" distR="114300" simplePos="0" relativeHeight="251661312" behindDoc="1" locked="0" layoutInCell="1" allowOverlap="1">
            <wp:simplePos x="0" y="0"/>
            <wp:positionH relativeFrom="column">
              <wp:posOffset>-1023620</wp:posOffset>
            </wp:positionH>
            <wp:positionV relativeFrom="paragraph">
              <wp:posOffset>-1327150</wp:posOffset>
            </wp:positionV>
            <wp:extent cx="7571105" cy="10680065"/>
            <wp:effectExtent l="19050" t="0" r="0" b="0"/>
            <wp:wrapNone/>
            <wp:docPr id="15" name="图片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6" descr="2"/>
                    <pic:cNvPicPr>
                      <a:picLocks noChangeAspect="1" noChangeArrowheads="1"/>
                    </pic:cNvPicPr>
                  </pic:nvPicPr>
                  <pic:blipFill>
                    <a:blip r:embed="rId13"/>
                    <a:srcRect/>
                    <a:stretch>
                      <a:fillRect/>
                    </a:stretch>
                  </pic:blipFill>
                  <pic:spPr>
                    <a:xfrm>
                      <a:off x="0" y="0"/>
                      <a:ext cx="7571105" cy="10680065"/>
                    </a:xfrm>
                    <a:prstGeom prst="rect">
                      <a:avLst/>
                    </a:prstGeom>
                    <a:noFill/>
                  </pic:spPr>
                </pic:pic>
              </a:graphicData>
            </a:graphic>
          </wp:anchor>
        </w:drawing>
      </w:r>
    </w:p>
    <w:p>
      <w:pPr>
        <w:widowControl/>
        <w:spacing w:line="560" w:lineRule="exact"/>
        <w:jc w:val="center"/>
        <w:rPr>
          <w:rFonts w:ascii="黑体" w:hAnsi="Cambria" w:eastAsia="黑体" w:cs="MS-UIGothic,Bold"/>
          <w:bCs/>
          <w:kern w:val="0"/>
          <w:sz w:val="52"/>
          <w:szCs w:val="52"/>
        </w:rPr>
      </w:pPr>
    </w:p>
    <w:p>
      <w:pPr>
        <w:rPr>
          <w:rFonts w:ascii="宋体" w:cs="ArialUnicodeMS"/>
          <w:color w:val="000000"/>
          <w:kern w:val="0"/>
        </w:r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文本框 17" o:spid="_x0000_s1040" o:spt="202" type="#_x0000_t202" style="position:absolute;left:0pt;margin-left:-74.2pt;margin-top:120.3pt;height:159.1pt;width:596.2pt;z-index:251667456;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第二部分</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年度部门决算报表</w:t>
                  </w:r>
                </w:p>
              </w:txbxContent>
            </v:textbox>
          </v:shape>
        </w:pict>
      </w:r>
    </w:p>
    <w:p>
      <w:pPr>
        <w:sectPr>
          <w:pgSz w:w="11906" w:h="16838"/>
          <w:pgMar w:top="2098" w:right="1474" w:bottom="1984" w:left="1588" w:header="851" w:footer="992" w:gutter="0"/>
          <w:cols w:space="0" w:num="1"/>
          <w:docGrid w:type="lines" w:linePitch="312" w:charSpace="0"/>
        </w:sectPr>
      </w:pPr>
      <w:r>
        <w:pict>
          <v:group id="组合 10" o:spid="_x0000_s1129" o:spt="203" style="position:absolute;left:0pt;margin-left:-80.9pt;margin-top:23.8pt;height:41.2pt;width:243.2pt;mso-position-vertical-relative:page;z-index:251677696;mso-width-relative:page;mso-height-relative:page;" coordorigin="4551,52615" coordsize="8546,-2147483648">
            <o:lock v:ext="edit"/>
            <v:rect id="矩形 13" o:spid="_x0000_s1130" o:spt="1" style="position:absolute;left:4551;top:52615;height:1175;width:8546;v-text-anchor:middle;" fillcolor="#96DA9D" filled="t" stroked="f" coordsize="21600,21600">
              <v:path/>
              <v:fill on="t" focussize="0,0"/>
              <v:stroke on="f" weight="2pt"/>
              <v:imagedata o:title=""/>
              <o:lock v:ext="edit"/>
            </v:rect>
            <v:rect id="矩形 14" o:spid="_x0000_s1131"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drawing>
          <wp:inline distT="0" distB="0" distL="114300" distR="114300">
            <wp:extent cx="5609590" cy="4081780"/>
            <wp:effectExtent l="0" t="0" r="10160"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609590" cy="4081780"/>
                    </a:xfrm>
                    <a:prstGeom prst="rect">
                      <a:avLst/>
                    </a:prstGeom>
                    <a:noFill/>
                    <a:ln>
                      <a:noFill/>
                    </a:ln>
                  </pic:spPr>
                </pic:pic>
              </a:graphicData>
            </a:graphic>
          </wp:inline>
        </w:drawing>
      </w:r>
    </w:p>
    <w:p>
      <w:pPr>
        <w:sectPr>
          <w:pgSz w:w="11906" w:h="16838"/>
          <w:pgMar w:top="2098" w:right="1474" w:bottom="1984" w:left="1588" w:header="851" w:footer="992" w:gutter="0"/>
          <w:cols w:space="0" w:num="1"/>
          <w:docGrid w:type="lines" w:linePitch="312" w:charSpace="0"/>
        </w:sectPr>
      </w:pPr>
      <w:r>
        <w:pict>
          <v:group id="_x0000_s1132" o:spid="_x0000_s1132" o:spt="203" style="position:absolute;left:0pt;margin-left:-80.9pt;margin-top:23.8pt;height:41.2pt;width:243.2pt;mso-position-vertical-relative:page;z-index:251678720;mso-width-relative:page;mso-height-relative:page;" coordorigin="4551,52615" coordsize="8546,-2147483648">
            <o:lock v:ext="edit"/>
            <v:rect id="矩形 13" o:spid="_x0000_s1133" o:spt="1" style="position:absolute;left:4551;top:52615;height:1175;width:8546;v-text-anchor:middle;" fillcolor="#96DA9D" filled="t" stroked="f" coordsize="21600,21600">
              <v:path/>
              <v:fill on="t" focussize="0,0"/>
              <v:stroke on="f" weight="2pt"/>
              <v:imagedata o:title=""/>
              <o:lock v:ext="edit"/>
            </v:rect>
            <v:rect id="矩形 14" o:spid="_x0000_s1134"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drawing>
          <wp:inline distT="0" distB="0" distL="114300" distR="114300">
            <wp:extent cx="5611495" cy="2227580"/>
            <wp:effectExtent l="0" t="0" r="8255" b="12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5"/>
                    <a:stretch>
                      <a:fillRect/>
                    </a:stretch>
                  </pic:blipFill>
                  <pic:spPr>
                    <a:xfrm>
                      <a:off x="0" y="0"/>
                      <a:ext cx="5611495" cy="2227580"/>
                    </a:xfrm>
                    <a:prstGeom prst="rect">
                      <a:avLst/>
                    </a:prstGeom>
                    <a:noFill/>
                    <a:ln>
                      <a:noFill/>
                    </a:ln>
                  </pic:spPr>
                </pic:pic>
              </a:graphicData>
            </a:graphic>
          </wp:inline>
        </w:drawing>
      </w:r>
    </w:p>
    <w:p>
      <w:pPr>
        <w:sectPr>
          <w:pgSz w:w="11906" w:h="16838"/>
          <w:pgMar w:top="2098" w:right="1474" w:bottom="1984" w:left="1588" w:header="851" w:footer="992" w:gutter="0"/>
          <w:cols w:space="0" w:num="1"/>
          <w:docGrid w:type="lines" w:linePitch="312" w:charSpace="0"/>
        </w:sectPr>
      </w:pPr>
      <w:r>
        <w:pict>
          <v:group id="_x0000_s1135" o:spid="_x0000_s1135" o:spt="203" style="position:absolute;left:0pt;margin-left:-80.9pt;margin-top:23.8pt;height:41.2pt;width:243.2pt;mso-position-vertical-relative:page;z-index:251679744;mso-width-relative:page;mso-height-relative:page;" coordorigin="4551,52615" coordsize="8546,-2147483648">
            <o:lock v:ext="edit"/>
            <v:rect id="矩形 13" o:spid="_x0000_s1136" o:spt="1" style="position:absolute;left:4551;top:52615;height:1175;width:8546;v-text-anchor:middle;" fillcolor="#96DA9D" filled="t" stroked="f" coordsize="21600,21600">
              <v:path/>
              <v:fill on="t" focussize="0,0"/>
              <v:stroke on="f" weight="2pt"/>
              <v:imagedata o:title=""/>
              <o:lock v:ext="edit"/>
            </v:rect>
            <v:rect id="矩形 14" o:spid="_x0000_s1137"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drawing>
          <wp:inline distT="0" distB="0" distL="114300" distR="114300">
            <wp:extent cx="5611495" cy="2483485"/>
            <wp:effectExtent l="0" t="0" r="8255" b="1206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6"/>
                    <a:stretch>
                      <a:fillRect/>
                    </a:stretch>
                  </pic:blipFill>
                  <pic:spPr>
                    <a:xfrm>
                      <a:off x="0" y="0"/>
                      <a:ext cx="5611495" cy="2483485"/>
                    </a:xfrm>
                    <a:prstGeom prst="rect">
                      <a:avLst/>
                    </a:prstGeom>
                    <a:noFill/>
                    <a:ln>
                      <a:noFill/>
                    </a:ln>
                  </pic:spPr>
                </pic:pic>
              </a:graphicData>
            </a:graphic>
          </wp:inline>
        </w:drawing>
      </w:r>
    </w:p>
    <w:p>
      <w:pPr>
        <w:sectPr>
          <w:pgSz w:w="11906" w:h="16838"/>
          <w:pgMar w:top="2098" w:right="1474" w:bottom="1984" w:left="1588" w:header="851" w:footer="992" w:gutter="0"/>
          <w:cols w:space="0" w:num="1"/>
          <w:docGrid w:type="lines" w:linePitch="312" w:charSpace="0"/>
        </w:sectPr>
      </w:pPr>
      <w:r>
        <w:pict>
          <v:group id="_x0000_s1138" o:spid="_x0000_s1138" o:spt="203" style="position:absolute;left:0pt;margin-left:-80.9pt;margin-top:23.8pt;height:41.2pt;width:243.2pt;mso-position-vertical-relative:page;z-index:251680768;mso-width-relative:page;mso-height-relative:page;" coordorigin="4551,52615" coordsize="8546,-2147483648">
            <o:lock v:ext="edit"/>
            <v:rect id="矩形 13" o:spid="_x0000_s1139" o:spt="1" style="position:absolute;left:4551;top:52615;height:1175;width:8546;v-text-anchor:middle;" fillcolor="#96DA9D" filled="t" stroked="f" coordsize="21600,21600">
              <v:path/>
              <v:fill on="t" focussize="0,0"/>
              <v:stroke on="f" weight="2pt"/>
              <v:imagedata o:title=""/>
              <o:lock v:ext="edit"/>
            </v:rect>
            <v:rect id="矩形 14" o:spid="_x0000_s1140"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drawing>
          <wp:inline distT="0" distB="0" distL="114300" distR="114300">
            <wp:extent cx="5615940" cy="4141470"/>
            <wp:effectExtent l="0" t="0" r="3810" b="1143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7"/>
                    <a:stretch>
                      <a:fillRect/>
                    </a:stretch>
                  </pic:blipFill>
                  <pic:spPr>
                    <a:xfrm>
                      <a:off x="0" y="0"/>
                      <a:ext cx="5615940" cy="4141470"/>
                    </a:xfrm>
                    <a:prstGeom prst="rect">
                      <a:avLst/>
                    </a:prstGeom>
                    <a:noFill/>
                    <a:ln>
                      <a:noFill/>
                    </a:ln>
                  </pic:spPr>
                </pic:pic>
              </a:graphicData>
            </a:graphic>
          </wp:inline>
        </w:drawing>
      </w:r>
    </w:p>
    <w:p>
      <w:pPr>
        <w:sectPr>
          <w:pgSz w:w="11906" w:h="16838"/>
          <w:pgMar w:top="2098" w:right="1474" w:bottom="1984" w:left="1588" w:header="851" w:footer="992" w:gutter="0"/>
          <w:cols w:space="0" w:num="1"/>
          <w:docGrid w:type="lines" w:linePitch="312" w:charSpace="0"/>
        </w:sectPr>
      </w:pPr>
      <w:r>
        <w:pict>
          <v:group id="_x0000_s1141" o:spid="_x0000_s1141" o:spt="203" style="position:absolute;left:0pt;margin-left:-80.9pt;margin-top:23.8pt;height:41.2pt;width:243.2pt;mso-position-vertical-relative:page;z-index:251681792;mso-width-relative:page;mso-height-relative:page;" coordorigin="4551,52615" coordsize="8546,-2147483648">
            <o:lock v:ext="edit"/>
            <v:rect id="矩形 13" o:spid="_x0000_s1142" o:spt="1" style="position:absolute;left:4551;top:52615;height:1175;width:8546;v-text-anchor:middle;" fillcolor="#96DA9D" filled="t" stroked="f" coordsize="21600,21600">
              <v:path/>
              <v:fill on="t" focussize="0,0"/>
              <v:stroke on="f" weight="2pt"/>
              <v:imagedata o:title=""/>
              <o:lock v:ext="edit"/>
            </v:rect>
            <v:rect id="矩形 14" o:spid="_x0000_s114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drawing>
          <wp:inline distT="0" distB="0" distL="114300" distR="114300">
            <wp:extent cx="5608955" cy="3188970"/>
            <wp:effectExtent l="0" t="0" r="10795" b="1143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8"/>
                    <a:stretch>
                      <a:fillRect/>
                    </a:stretch>
                  </pic:blipFill>
                  <pic:spPr>
                    <a:xfrm>
                      <a:off x="0" y="0"/>
                      <a:ext cx="5608955" cy="3188970"/>
                    </a:xfrm>
                    <a:prstGeom prst="rect">
                      <a:avLst/>
                    </a:prstGeom>
                    <a:noFill/>
                    <a:ln>
                      <a:noFill/>
                    </a:ln>
                  </pic:spPr>
                </pic:pic>
              </a:graphicData>
            </a:graphic>
          </wp:inline>
        </w:drawing>
      </w:r>
    </w:p>
    <w:p>
      <w:pPr>
        <w:sectPr>
          <w:pgSz w:w="11906" w:h="16838"/>
          <w:pgMar w:top="2098" w:right="1474" w:bottom="1984" w:left="1588" w:header="851" w:footer="992" w:gutter="0"/>
          <w:cols w:space="0" w:num="1"/>
          <w:docGrid w:type="lines" w:linePitch="312" w:charSpace="0"/>
        </w:sectPr>
      </w:pPr>
      <w:r>
        <w:pict>
          <v:group id="_x0000_s1144" o:spid="_x0000_s1144" o:spt="203" style="position:absolute;left:0pt;margin-left:-80.9pt;margin-top:23.8pt;height:41.2pt;width:243.2pt;mso-position-vertical-relative:page;z-index:251682816;mso-width-relative:page;mso-height-relative:page;" coordorigin="4551,52615" coordsize="8546,-2147483648">
            <o:lock v:ext="edit"/>
            <v:rect id="矩形 13" o:spid="_x0000_s1145" o:spt="1" style="position:absolute;left:4551;top:52615;height:1175;width:8546;v-text-anchor:middle;" fillcolor="#96DA9D" filled="t" stroked="f" coordsize="21600,21600">
              <v:path/>
              <v:fill on="t" focussize="0,0"/>
              <v:stroke on="f" weight="2pt"/>
              <v:imagedata o:title=""/>
              <o:lock v:ext="edit"/>
            </v:rect>
            <v:rect id="矩形 14" o:spid="_x0000_s1146"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drawing>
          <wp:inline distT="0" distB="0" distL="114300" distR="114300">
            <wp:extent cx="5611495" cy="3213735"/>
            <wp:effectExtent l="0" t="0" r="8255" b="571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9"/>
                    <a:stretch>
                      <a:fillRect/>
                    </a:stretch>
                  </pic:blipFill>
                  <pic:spPr>
                    <a:xfrm>
                      <a:off x="0" y="0"/>
                      <a:ext cx="5611495" cy="3213735"/>
                    </a:xfrm>
                    <a:prstGeom prst="rect">
                      <a:avLst/>
                    </a:prstGeom>
                    <a:noFill/>
                    <a:ln>
                      <a:noFill/>
                    </a:ln>
                  </pic:spPr>
                </pic:pic>
              </a:graphicData>
            </a:graphic>
          </wp:inline>
        </w:drawing>
      </w:r>
    </w:p>
    <w:p>
      <w:pPr>
        <w:sectPr>
          <w:pgSz w:w="11906" w:h="16838"/>
          <w:pgMar w:top="2098" w:right="1474" w:bottom="1984" w:left="1588" w:header="851" w:footer="992" w:gutter="0"/>
          <w:cols w:space="0" w:num="1"/>
          <w:docGrid w:type="lines" w:linePitch="312" w:charSpace="0"/>
        </w:sectPr>
      </w:pPr>
      <w:r>
        <w:pict>
          <v:group id="_x0000_s1147" o:spid="_x0000_s1147" o:spt="203" style="position:absolute;left:0pt;margin-left:-80.9pt;margin-top:23.8pt;height:41.2pt;width:243.2pt;mso-position-vertical-relative:page;z-index:251683840;mso-width-relative:page;mso-height-relative:page;" coordorigin="4551,52615" coordsize="8546,-2147483648">
            <o:lock v:ext="edit"/>
            <v:rect id="矩形 13" o:spid="_x0000_s1148" o:spt="1" style="position:absolute;left:4551;top:52615;height:1175;width:8546;v-text-anchor:middle;" fillcolor="#96DA9D" filled="t" stroked="f" coordsize="21600,21600">
              <v:path/>
              <v:fill on="t" focussize="0,0"/>
              <v:stroke on="f" weight="2pt"/>
              <v:imagedata o:title=""/>
              <o:lock v:ext="edit"/>
            </v:rect>
            <v:rect id="矩形 14" o:spid="_x0000_s1149"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drawing>
          <wp:inline distT="0" distB="0" distL="114300" distR="114300">
            <wp:extent cx="5611495" cy="1162685"/>
            <wp:effectExtent l="0" t="0" r="8255" b="1841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20"/>
                    <a:stretch>
                      <a:fillRect/>
                    </a:stretch>
                  </pic:blipFill>
                  <pic:spPr>
                    <a:xfrm>
                      <a:off x="0" y="0"/>
                      <a:ext cx="5611495" cy="1162685"/>
                    </a:xfrm>
                    <a:prstGeom prst="rect">
                      <a:avLst/>
                    </a:prstGeom>
                    <a:noFill/>
                    <a:ln>
                      <a:noFill/>
                    </a:ln>
                  </pic:spPr>
                </pic:pic>
              </a:graphicData>
            </a:graphic>
          </wp:inline>
        </w:drawing>
      </w:r>
    </w:p>
    <w:p>
      <w:pPr>
        <w:sectPr>
          <w:pgSz w:w="11906" w:h="16838"/>
          <w:pgMar w:top="2098" w:right="1474" w:bottom="1984" w:left="1588" w:header="851" w:footer="992" w:gutter="0"/>
          <w:cols w:space="0" w:num="1"/>
          <w:docGrid w:type="lines" w:linePitch="312" w:charSpace="0"/>
        </w:sectPr>
      </w:pPr>
      <w:r>
        <w:pict>
          <v:group id="_x0000_s1150" o:spid="_x0000_s1150" o:spt="203" style="position:absolute;left:0pt;margin-left:-80.9pt;margin-top:23.8pt;height:41.2pt;width:243.2pt;mso-position-vertical-relative:page;z-index:251684864;mso-width-relative:page;mso-height-relative:page;" coordorigin="4551,52615" coordsize="8546,-2147483648">
            <o:lock v:ext="edit"/>
            <v:rect id="矩形 13" o:spid="_x0000_s1151" o:spt="1" style="position:absolute;left:4551;top:52615;height:1175;width:8546;v-text-anchor:middle;" fillcolor="#96DA9D" filled="t" stroked="f" coordsize="21600,21600">
              <v:path/>
              <v:fill on="t" focussize="0,0"/>
              <v:stroke on="f" weight="2pt"/>
              <v:imagedata o:title=""/>
              <o:lock v:ext="edit"/>
            </v:rect>
            <v:rect id="矩形 14" o:spid="_x0000_s115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drawing>
          <wp:inline distT="0" distB="0" distL="114300" distR="114300">
            <wp:extent cx="5611495" cy="1704340"/>
            <wp:effectExtent l="0" t="0" r="8255" b="1016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21"/>
                    <a:stretch>
                      <a:fillRect/>
                    </a:stretch>
                  </pic:blipFill>
                  <pic:spPr>
                    <a:xfrm>
                      <a:off x="0" y="0"/>
                      <a:ext cx="5611495" cy="1704340"/>
                    </a:xfrm>
                    <a:prstGeom prst="rect">
                      <a:avLst/>
                    </a:prstGeom>
                    <a:noFill/>
                    <a:ln>
                      <a:noFill/>
                    </a:ln>
                  </pic:spPr>
                </pic:pic>
              </a:graphicData>
            </a:graphic>
          </wp:inline>
        </w:drawing>
      </w:r>
    </w:p>
    <w:p>
      <w:pPr>
        <w:sectPr>
          <w:pgSz w:w="11906" w:h="16838"/>
          <w:pgMar w:top="2098" w:right="1474" w:bottom="1984" w:left="1588" w:header="851" w:footer="992" w:gutter="0"/>
          <w:cols w:space="0" w:num="1"/>
          <w:docGrid w:type="lines" w:linePitch="312" w:charSpace="0"/>
        </w:sectPr>
      </w:pPr>
      <w:r>
        <w:pict>
          <v:group id="_x0000_s1153" o:spid="_x0000_s1153" o:spt="203" style="position:absolute;left:0pt;margin-left:-80.9pt;margin-top:23.8pt;height:41.2pt;width:243.2pt;mso-position-vertical-relative:page;z-index:251685888;mso-width-relative:page;mso-height-relative:page;" coordorigin="4551,52615" coordsize="8546,-2147483648">
            <o:lock v:ext="edit"/>
            <v:rect id="矩形 13" o:spid="_x0000_s1154" o:spt="1" style="position:absolute;left:4551;top:52615;height:1175;width:8546;v-text-anchor:middle;" fillcolor="#96DA9D" filled="t" stroked="f" coordsize="21600,21600">
              <v:path/>
              <v:fill on="t" focussize="0,0"/>
              <v:stroke on="f" weight="2pt"/>
              <v:imagedata o:title=""/>
              <o:lock v:ext="edit"/>
            </v:rect>
            <v:rect id="矩形 14" o:spid="_x0000_s115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drawing>
          <wp:inline distT="0" distB="0" distL="114300" distR="114300">
            <wp:extent cx="5609590" cy="2037080"/>
            <wp:effectExtent l="0" t="0" r="10160" b="1270"/>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22"/>
                    <a:stretch>
                      <a:fillRect/>
                    </a:stretch>
                  </pic:blipFill>
                  <pic:spPr>
                    <a:xfrm>
                      <a:off x="0" y="0"/>
                      <a:ext cx="5609590" cy="2037080"/>
                    </a:xfrm>
                    <a:prstGeom prst="rect">
                      <a:avLst/>
                    </a:prstGeom>
                    <a:noFill/>
                    <a:ln>
                      <a:noFill/>
                    </a:ln>
                  </pic:spPr>
                </pic:pic>
              </a:graphicData>
            </a:graphic>
          </wp:inline>
        </w:drawing>
      </w:r>
    </w:p>
    <w:p>
      <w:r>
        <w:pict>
          <v:group id="_x0000_s1156" o:spid="_x0000_s1156" o:spt="203" style="position:absolute;left:0pt;margin-left:-80.9pt;margin-top:23.8pt;height:41.2pt;width:243.2pt;mso-position-vertical-relative:page;z-index:251686912;mso-width-relative:page;mso-height-relative:page;" coordorigin="4551,52615" coordsize="8546,-2147483648">
            <o:lock v:ext="edit"/>
            <v:rect id="矩形 13" o:spid="_x0000_s1157" o:spt="1" style="position:absolute;left:4551;top:52615;height:1175;width:8546;v-text-anchor:middle;" fillcolor="#96DA9D" filled="t" stroked="f" coordsize="21600,21600">
              <v:path/>
              <v:fill on="t" focussize="0,0"/>
              <v:stroke on="f" weight="2pt"/>
              <v:imagedata o:title=""/>
              <o:lock v:ext="edit"/>
            </v:rect>
            <v:rect id="矩形 14" o:spid="_x0000_s115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drawing>
          <wp:inline distT="0" distB="0" distL="114300" distR="114300">
            <wp:extent cx="5611495" cy="2276475"/>
            <wp:effectExtent l="0" t="0" r="8255" b="9525"/>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23"/>
                    <a:stretch>
                      <a:fillRect/>
                    </a:stretch>
                  </pic:blipFill>
                  <pic:spPr>
                    <a:xfrm>
                      <a:off x="0" y="0"/>
                      <a:ext cx="5611495" cy="2276475"/>
                    </a:xfrm>
                    <a:prstGeom prst="rect">
                      <a:avLst/>
                    </a:prstGeom>
                    <a:noFill/>
                    <a:ln>
                      <a:noFill/>
                    </a:ln>
                  </pic:spPr>
                </pic:pic>
              </a:graphicData>
            </a:graphic>
          </wp:inline>
        </w:drawing>
      </w:r>
    </w:p>
    <w:p/>
    <w:p/>
    <w:p/>
    <w:p/>
    <w:p>
      <w:pPr>
        <w:tabs>
          <w:tab w:val="left" w:pos="1086"/>
        </w:tabs>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tab/>
      </w: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62336" behindDoc="1" locked="0" layoutInCell="1" allowOverlap="1">
            <wp:simplePos x="0" y="0"/>
            <wp:positionH relativeFrom="column">
              <wp:posOffset>-1009015</wp:posOffset>
            </wp:positionH>
            <wp:positionV relativeFrom="paragraph">
              <wp:posOffset>-1337945</wp:posOffset>
            </wp:positionV>
            <wp:extent cx="7550150" cy="10680065"/>
            <wp:effectExtent l="19050" t="0" r="0" b="0"/>
            <wp:wrapNone/>
            <wp:docPr id="47"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 descr="2"/>
                    <pic:cNvPicPr>
                      <a:picLocks noChangeAspect="1" noChangeArrowheads="1"/>
                    </pic:cNvPicPr>
                  </pic:nvPicPr>
                  <pic:blipFill>
                    <a:blip r:embed="rId13"/>
                    <a:srcRect/>
                    <a:stretch>
                      <a:fillRect/>
                    </a:stretch>
                  </pic:blipFill>
                  <pic:spPr>
                    <a:xfrm>
                      <a:off x="0" y="0"/>
                      <a:ext cx="7550150" cy="10680065"/>
                    </a:xfrm>
                    <a:prstGeom prst="rect">
                      <a:avLst/>
                    </a:prstGeom>
                    <a:noFill/>
                  </pic:spPr>
                </pic:pic>
              </a:graphicData>
            </a:graphic>
          </wp:anchor>
        </w:drawing>
      </w:r>
      <w:r>
        <w:pict>
          <v:shape id="文本框 5" o:spid="_x0000_s1072" o:spt="202" type="#_x0000_t202" style="position:absolute;left:0pt;margin-left:-78.7pt;margin-top:232.8pt;height:159.1pt;width:596.2pt;z-index:251668480;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第三部分</w:t>
                  </w:r>
                </w:p>
                <w:p>
                  <w:pPr>
                    <w:widowControl/>
                    <w:spacing w:line="1200" w:lineRule="exact"/>
                    <w:jc w:val="center"/>
                    <w:rPr>
                      <w:color w:val="FDEFBE"/>
                      <w:sz w:val="96"/>
                      <w:szCs w:val="96"/>
                    </w:rPr>
                  </w:pPr>
                  <w:r>
                    <w:rPr>
                      <w:rFonts w:hint="eastAsia" w:ascii="黑体" w:hAnsi="宋体" w:eastAsia="黑体"/>
                      <w:color w:val="FDEFBE"/>
                      <w:sz w:val="96"/>
                      <w:szCs w:val="96"/>
                    </w:rPr>
                    <w:t>部门决算情况说明</w:t>
                  </w:r>
                </w:p>
              </w:txbxContent>
            </v:textbox>
          </v:shape>
        </w:pict>
      </w:r>
    </w:p>
    <w:p>
      <w:pPr>
        <w:pStyle w:val="3"/>
        <w:spacing w:before="0" w:after="0" w:line="580" w:lineRule="exact"/>
        <w:ind w:firstLine="640" w:firstLineChars="200"/>
        <w:rPr>
          <w:rFonts w:ascii="黑体" w:eastAsia="黑体"/>
          <w:b w:val="0"/>
          <w:bCs w:val="0"/>
        </w:rPr>
      </w:pPr>
      <w:r>
        <w:rPr>
          <w:rFonts w:hint="eastAsia" w:ascii="黑体" w:eastAsia="黑体"/>
          <w:b w:val="0"/>
          <w:bCs w:val="0"/>
        </w:rPr>
        <w:t>一、收入</w:t>
      </w:r>
      <w:r>
        <w:rPr>
          <w:rFonts w:hint="eastAsia" w:ascii="黑体" w:hAnsi="Cambria" w:eastAsia="黑体" w:cs="黑体"/>
          <w:b w:val="0"/>
          <w:bCs w:val="0"/>
          <w:kern w:val="0"/>
        </w:rPr>
        <w:t>支</w:t>
      </w:r>
      <w:r>
        <w:pict>
          <v:group id="组合 18" o:spid="_x0000_s1073" o:spt="203" style="position:absolute;left:0pt;margin-left:-79.5pt;margin-top:29.3pt;height:43.95pt;width:301.85pt;mso-position-vertical-relative:page;z-index:251691008;mso-width-relative:page;mso-height-relative:page;" coordorigin="4551,52615" coordsize="8546,-2147483648">
            <o:lock v:ext="edit"/>
            <v:rect id="矩形 13" o:spid="_x0000_s1074" o:spt="1" style="position:absolute;left:4551;top:52615;height:1175;width:8546;v-text-anchor:middle;" fillcolor="#96DA9D" filled="t" stroked="f" coordsize="21600,21600">
              <v:path/>
              <v:fill on="t" focussize="0,0"/>
              <v:stroke on="f" weight="2pt"/>
              <v:imagedata o:title=""/>
              <o:lock v:ext="edit"/>
            </v:rect>
            <v:rect id="矩形 14" o:spid="_x0000_s107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黑体" w:hAnsi="Cambria" w:eastAsia="黑体" w:cs="黑体"/>
          <w:b w:val="0"/>
          <w:bCs w:val="0"/>
          <w:kern w:val="0"/>
        </w:rPr>
        <w:t>出</w:t>
      </w:r>
      <w:r>
        <w:rPr>
          <w:rFonts w:hint="eastAsia" w:ascii="黑体" w:eastAsia="黑体"/>
          <w:b w:val="0"/>
          <w:bCs w:val="0"/>
        </w:rPr>
        <w:t>决算总体情况说明</w:t>
      </w:r>
    </w:p>
    <w:p>
      <w:pPr>
        <w:adjustRightInd w:val="0"/>
        <w:snapToGrid w:val="0"/>
        <w:spacing w:after="0" w:line="580" w:lineRule="exact"/>
        <w:ind w:firstLine="640" w:firstLineChars="200"/>
        <w:rPr>
          <w:rFonts w:ascii="仿宋" w:hAnsi="仿宋" w:eastAsia="仿宋" w:cs="仿宋"/>
          <w:sz w:val="32"/>
          <w:szCs w:val="32"/>
        </w:rPr>
      </w:pPr>
      <w:r>
        <w:rPr>
          <w:rFonts w:hint="eastAsia" w:ascii="仿宋" w:hAnsi="仿宋" w:eastAsia="仿宋" w:cs="仿宋"/>
          <w:sz w:val="32"/>
          <w:szCs w:val="32"/>
        </w:rPr>
        <w:t>本部门2018年度收入总计（含结转和结余）109.97万元。与2017年度决算相比，收入减少</w:t>
      </w:r>
      <w:r>
        <w:rPr>
          <w:rFonts w:hint="eastAsia" w:ascii="仿宋" w:hAnsi="仿宋" w:eastAsia="仿宋" w:cs="仿宋"/>
          <w:bCs/>
          <w:spacing w:val="12"/>
          <w:sz w:val="32"/>
        </w:rPr>
        <w:t>43.24</w:t>
      </w:r>
      <w:r>
        <w:rPr>
          <w:rFonts w:hint="eastAsia" w:ascii="仿宋" w:hAnsi="仿宋" w:eastAsia="仿宋" w:cs="仿宋"/>
          <w:sz w:val="32"/>
          <w:szCs w:val="32"/>
        </w:rPr>
        <w:t>万元，下降</w:t>
      </w:r>
      <w:r>
        <w:rPr>
          <w:rFonts w:hint="eastAsia" w:ascii="仿宋" w:hAnsi="仿宋" w:eastAsia="仿宋" w:cs="仿宋"/>
          <w:bCs/>
          <w:spacing w:val="12"/>
          <w:sz w:val="32"/>
        </w:rPr>
        <w:t>28.22</w:t>
      </w:r>
      <w:r>
        <w:rPr>
          <w:rFonts w:hint="eastAsia" w:ascii="仿宋" w:hAnsi="仿宋" w:eastAsia="仿宋" w:cs="仿宋"/>
          <w:sz w:val="32"/>
          <w:szCs w:val="32"/>
        </w:rPr>
        <w:t>%，主要原因是</w:t>
      </w:r>
      <w:r>
        <w:rPr>
          <w:rFonts w:hint="eastAsia" w:ascii="仿宋" w:hAnsi="仿宋" w:eastAsia="仿宋" w:cs="仿宋"/>
          <w:bCs/>
          <w:spacing w:val="12"/>
          <w:sz w:val="32"/>
        </w:rPr>
        <w:t>按照上级要求压减一般性支出</w:t>
      </w:r>
      <w:r>
        <w:rPr>
          <w:rFonts w:hint="eastAsia" w:ascii="仿宋" w:hAnsi="仿宋" w:eastAsia="仿宋" w:cs="仿宋"/>
          <w:sz w:val="32"/>
          <w:szCs w:val="32"/>
        </w:rPr>
        <w:t>。本部门2018年度支出总计（含结转和结余）109.97万元。与2017年度决算相比，支出各减少</w:t>
      </w:r>
      <w:r>
        <w:rPr>
          <w:rFonts w:hint="eastAsia" w:ascii="仿宋" w:hAnsi="仿宋" w:eastAsia="仿宋" w:cs="仿宋"/>
          <w:bCs/>
          <w:spacing w:val="12"/>
          <w:sz w:val="32"/>
        </w:rPr>
        <w:t>43.24</w:t>
      </w:r>
      <w:r>
        <w:rPr>
          <w:rFonts w:hint="eastAsia" w:ascii="仿宋" w:hAnsi="仿宋" w:eastAsia="仿宋" w:cs="仿宋"/>
          <w:sz w:val="32"/>
          <w:szCs w:val="32"/>
        </w:rPr>
        <w:t>万元，下降</w:t>
      </w:r>
      <w:r>
        <w:rPr>
          <w:rFonts w:hint="eastAsia" w:ascii="仿宋" w:hAnsi="仿宋" w:eastAsia="仿宋" w:cs="仿宋"/>
          <w:bCs/>
          <w:spacing w:val="12"/>
          <w:sz w:val="32"/>
        </w:rPr>
        <w:t>28.22</w:t>
      </w:r>
      <w:r>
        <w:rPr>
          <w:rFonts w:hint="eastAsia" w:ascii="仿宋" w:hAnsi="仿宋" w:eastAsia="仿宋" w:cs="仿宋"/>
          <w:sz w:val="32"/>
          <w:szCs w:val="32"/>
        </w:rPr>
        <w:t>%，主要原因是</w:t>
      </w:r>
      <w:r>
        <w:rPr>
          <w:rFonts w:hint="eastAsia" w:ascii="仿宋" w:hAnsi="仿宋" w:eastAsia="仿宋" w:cs="仿宋"/>
          <w:bCs/>
          <w:spacing w:val="12"/>
          <w:sz w:val="32"/>
        </w:rPr>
        <w:t>按照上级要求压减一般性支出。</w:t>
      </w:r>
    </w:p>
    <w:p>
      <w:pPr>
        <w:pStyle w:val="3"/>
        <w:spacing w:before="0" w:after="0" w:line="580" w:lineRule="exact"/>
        <w:ind w:firstLine="640" w:firstLineChars="200"/>
        <w:rPr>
          <w:rFonts w:ascii="黑体" w:eastAsia="黑体"/>
          <w:b w:val="0"/>
          <w:bCs w:val="0"/>
        </w:rPr>
      </w:pPr>
      <w:r>
        <w:rPr>
          <w:rFonts w:hint="eastAsia" w:ascii="黑体" w:eastAsia="黑体"/>
          <w:b w:val="0"/>
          <w:bCs w:val="0"/>
        </w:rPr>
        <w:t>二、收入决算情况说明</w:t>
      </w:r>
    </w:p>
    <w:p>
      <w:pPr>
        <w:adjustRightInd w:val="0"/>
        <w:snapToGrid w:val="0"/>
        <w:spacing w:after="0" w:line="580" w:lineRule="exact"/>
        <w:ind w:firstLine="640" w:firstLineChars="200"/>
        <w:rPr>
          <w:rFonts w:ascii="黑体" w:eastAsia="黑体"/>
          <w:b/>
          <w:bCs/>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年度本年收入合计</w:t>
      </w:r>
      <w:r>
        <w:rPr>
          <w:rFonts w:hint="eastAsia" w:ascii="仿宋_GB2312" w:hAnsi="黑体" w:eastAsia="仿宋_GB2312"/>
          <w:sz w:val="32"/>
          <w:szCs w:val="32"/>
        </w:rPr>
        <w:t>109.97</w:t>
      </w:r>
      <w:r>
        <w:rPr>
          <w:rFonts w:hint="eastAsia" w:ascii="仿宋_GB2312" w:eastAsia="仿宋_GB2312" w:cs="DengXian-Regular"/>
          <w:sz w:val="32"/>
          <w:szCs w:val="32"/>
        </w:rPr>
        <w:t>万元，其中：财政拨款收入</w:t>
      </w:r>
      <w:r>
        <w:rPr>
          <w:rFonts w:hint="eastAsia" w:ascii="仿宋_GB2312" w:hAnsi="黑体" w:eastAsia="仿宋_GB2312"/>
          <w:sz w:val="32"/>
          <w:szCs w:val="32"/>
        </w:rPr>
        <w:t>109.97</w:t>
      </w:r>
      <w:r>
        <w:rPr>
          <w:rFonts w:hint="eastAsia" w:ascii="仿宋_GB2312" w:eastAsia="仿宋_GB2312" w:cs="DengXian-Regular"/>
          <w:sz w:val="32"/>
          <w:szCs w:val="32"/>
        </w:rPr>
        <w:t>万元，占100</w:t>
      </w:r>
      <w:r>
        <w:rPr>
          <w:rFonts w:ascii="仿宋_GB2312" w:eastAsia="仿宋_GB2312" w:cs="DengXian-Regular"/>
          <w:sz w:val="32"/>
          <w:szCs w:val="32"/>
        </w:rPr>
        <w:t>%</w:t>
      </w:r>
      <w:r>
        <w:rPr>
          <w:rFonts w:hint="eastAsia" w:ascii="仿宋_GB2312" w:eastAsia="仿宋_GB2312" w:cs="DengXian-Regular"/>
          <w:sz w:val="32"/>
          <w:szCs w:val="32"/>
        </w:rPr>
        <w:t>；事业收入0万元，占0</w:t>
      </w:r>
      <w:r>
        <w:rPr>
          <w:rFonts w:ascii="仿宋_GB2312" w:eastAsia="仿宋_GB2312" w:cs="DengXian-Regular"/>
          <w:sz w:val="32"/>
          <w:szCs w:val="32"/>
        </w:rPr>
        <w:t>%</w:t>
      </w:r>
      <w:r>
        <w:rPr>
          <w:rFonts w:hint="eastAsia" w:ascii="仿宋_GB2312" w:eastAsia="仿宋_GB2312" w:cs="DengXian-Regular"/>
          <w:sz w:val="32"/>
          <w:szCs w:val="32"/>
        </w:rPr>
        <w:t>；经营收入0万元，占0</w:t>
      </w:r>
      <w:r>
        <w:rPr>
          <w:rFonts w:ascii="仿宋_GB2312" w:eastAsia="仿宋_GB2312" w:cs="DengXian-Regular"/>
          <w:sz w:val="32"/>
          <w:szCs w:val="32"/>
        </w:rPr>
        <w:t>%</w:t>
      </w:r>
      <w:r>
        <w:rPr>
          <w:rFonts w:hint="eastAsia" w:ascii="仿宋_GB2312" w:eastAsia="仿宋_GB2312" w:cs="DengXian-Regular"/>
          <w:sz w:val="32"/>
          <w:szCs w:val="32"/>
        </w:rPr>
        <w:t>；其他收入0万元，占0</w:t>
      </w:r>
      <w:r>
        <w:rPr>
          <w:rFonts w:ascii="仿宋_GB2312" w:eastAsia="仿宋_GB2312" w:cs="DengXian-Regular"/>
          <w:sz w:val="32"/>
          <w:szCs w:val="32"/>
        </w:rPr>
        <w:t>%</w:t>
      </w:r>
      <w:r>
        <w:rPr>
          <w:rFonts w:hint="eastAsia" w:ascii="仿宋_GB2312" w:eastAsia="仿宋_GB2312" w:cs="DengXian-Regular"/>
          <w:sz w:val="32"/>
          <w:szCs w:val="32"/>
        </w:rPr>
        <w:t>。</w:t>
      </w:r>
    </w:p>
    <w:p>
      <w:pPr>
        <w:pStyle w:val="3"/>
        <w:spacing w:before="0" w:after="0" w:line="580" w:lineRule="exact"/>
        <w:ind w:firstLine="640" w:firstLineChars="200"/>
        <w:rPr>
          <w:rFonts w:ascii="黑体" w:eastAsia="黑体"/>
          <w:b w:val="0"/>
          <w:bCs w:val="0"/>
        </w:rPr>
      </w:pPr>
      <w:r>
        <w:rPr>
          <w:rFonts w:hint="eastAsia" w:ascii="黑体" w:eastAsia="黑体"/>
          <w:b w:val="0"/>
          <w:bCs w:val="0"/>
        </w:rPr>
        <w:t>三、支出决算情况说明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年度本年支出合计</w:t>
      </w:r>
      <w:r>
        <w:rPr>
          <w:rFonts w:hint="eastAsia" w:ascii="仿宋_GB2312" w:hAnsi="黑体" w:eastAsia="仿宋_GB2312"/>
          <w:sz w:val="32"/>
          <w:szCs w:val="32"/>
        </w:rPr>
        <w:t>109.97</w:t>
      </w:r>
      <w:r>
        <w:rPr>
          <w:rFonts w:hint="eastAsia" w:ascii="仿宋_GB2312" w:eastAsia="仿宋_GB2312" w:cs="DengXian-Regular"/>
          <w:sz w:val="32"/>
          <w:szCs w:val="32"/>
        </w:rPr>
        <w:t>万元，其中：基本支出</w:t>
      </w:r>
      <w:r>
        <w:rPr>
          <w:rFonts w:hint="eastAsia" w:ascii="仿宋_GB2312" w:hAnsi="黑体" w:eastAsia="仿宋_GB2312"/>
          <w:sz w:val="32"/>
          <w:szCs w:val="32"/>
        </w:rPr>
        <w:t>18.44</w:t>
      </w:r>
      <w:r>
        <w:rPr>
          <w:rFonts w:hint="eastAsia" w:ascii="仿宋_GB2312" w:eastAsia="仿宋_GB2312" w:cs="DengXian-Regular"/>
          <w:sz w:val="32"/>
          <w:szCs w:val="32"/>
        </w:rPr>
        <w:t>万元，占16.77</w:t>
      </w:r>
      <w:r>
        <w:rPr>
          <w:rFonts w:ascii="仿宋_GB2312" w:eastAsia="仿宋_GB2312" w:cs="DengXian-Regular"/>
          <w:sz w:val="32"/>
          <w:szCs w:val="32"/>
        </w:rPr>
        <w:t>%</w:t>
      </w:r>
      <w:r>
        <w:rPr>
          <w:rFonts w:hint="eastAsia" w:ascii="仿宋_GB2312" w:eastAsia="仿宋_GB2312" w:cs="DengXian-Regular"/>
          <w:sz w:val="32"/>
          <w:szCs w:val="32"/>
        </w:rPr>
        <w:t>；项目支出</w:t>
      </w:r>
      <w:r>
        <w:rPr>
          <w:rFonts w:hint="eastAsia" w:ascii="仿宋_GB2312" w:hAnsi="黑体" w:eastAsia="仿宋_GB2312"/>
          <w:sz w:val="32"/>
          <w:szCs w:val="32"/>
        </w:rPr>
        <w:t>91.53</w:t>
      </w:r>
      <w:r>
        <w:rPr>
          <w:rFonts w:hint="eastAsia" w:ascii="仿宋_GB2312" w:eastAsia="仿宋_GB2312" w:cs="DengXian-Regular"/>
          <w:sz w:val="32"/>
          <w:szCs w:val="32"/>
        </w:rPr>
        <w:t>万元，占83.23</w:t>
      </w:r>
      <w:r>
        <w:rPr>
          <w:rFonts w:ascii="仿宋_GB2312" w:eastAsia="仿宋_GB2312" w:cs="DengXian-Regular"/>
          <w:sz w:val="32"/>
          <w:szCs w:val="32"/>
        </w:rPr>
        <w:t>%</w:t>
      </w:r>
      <w:r>
        <w:rPr>
          <w:rFonts w:hint="eastAsia" w:ascii="仿宋_GB2312" w:eastAsia="仿宋_GB2312" w:cs="DengXian-Regular"/>
          <w:sz w:val="32"/>
          <w:szCs w:val="32"/>
        </w:rPr>
        <w:t>；经营支出0万元，占0</w:t>
      </w:r>
      <w:r>
        <w:rPr>
          <w:rFonts w:ascii="仿宋_GB2312" w:eastAsia="仿宋_GB2312" w:cs="DengXian-Regular"/>
          <w:sz w:val="32"/>
          <w:szCs w:val="32"/>
        </w:rPr>
        <w:t>%</w:t>
      </w:r>
      <w:r>
        <w:rPr>
          <w:rFonts w:hint="eastAsia" w:ascii="仿宋_GB2312" w:eastAsia="仿宋_GB2312" w:cs="DengXian-Regular"/>
          <w:sz w:val="32"/>
          <w:szCs w:val="32"/>
        </w:rPr>
        <w:t>。</w:t>
      </w:r>
      <w:r>
        <w:pict>
          <v:group id="组合 70" o:spid="_x0000_s1082" o:spt="203" style="position:absolute;left:0pt;margin-left:-79.5pt;margin-top:29.3pt;height:43.95pt;width:301.85pt;mso-position-vertical-relative:page;z-index:251674624;mso-width-relative:page;mso-height-relative:page;" coordorigin="4551,52615" coordsize="8546,-2147483648">
            <o:lock v:ext="edit"/>
            <v:rect id="矩形 13" o:spid="_x0000_s1083" o:spt="1" style="position:absolute;left:4551;top:52615;height:1175;width:8546;v-text-anchor:middle;" fillcolor="#96DA9D" filled="t" stroked="f" coordsize="21600,21600">
              <v:path/>
              <v:fill on="t" focussize="0,0"/>
              <v:stroke on="f" weight="2pt"/>
              <v:imagedata o:title=""/>
              <o:lock v:ext="edit"/>
            </v:rect>
            <v:rect id="矩形 14" o:spid="_x0000_s1084"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p>
    <w:p>
      <w:pPr>
        <w:adjustRightInd w:val="0"/>
        <w:snapToGrid w:val="0"/>
        <w:spacing w:after="0" w:line="580" w:lineRule="exact"/>
        <w:ind w:firstLine="640" w:firstLineChars="200"/>
        <w:rPr>
          <w:rFonts w:ascii="黑体" w:eastAsia="黑体"/>
          <w:b/>
          <w:bCs/>
          <w:sz w:val="32"/>
          <w:szCs w:val="32"/>
        </w:rPr>
      </w:pPr>
      <w:r>
        <w:rPr>
          <w:rFonts w:hint="eastAsia" w:ascii="黑体" w:eastAsia="黑体"/>
          <w:sz w:val="32"/>
          <w:szCs w:val="32"/>
        </w:rPr>
        <w:t>四、</w:t>
      </w:r>
      <w:r>
        <w:rPr>
          <w:rFonts w:hint="eastAsia" w:ascii="黑体" w:hAnsi="Cambria" w:eastAsia="黑体" w:cs="黑体"/>
          <w:kern w:val="0"/>
          <w:sz w:val="32"/>
          <w:szCs w:val="32"/>
        </w:rPr>
        <w:t>财政</w:t>
      </w:r>
      <w:r>
        <w:rPr>
          <w:rFonts w:hint="eastAsia" w:ascii="黑体" w:eastAsia="黑体"/>
          <w:sz w:val="32"/>
          <w:szCs w:val="32"/>
        </w:rPr>
        <w:t>拨款收入支出决算情况说明</w:t>
      </w:r>
    </w:p>
    <w:p>
      <w:pPr>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（一）财政拨款收支与</w:t>
      </w:r>
      <w:r>
        <w:rPr>
          <w:rFonts w:ascii="楷体_GB2312" w:eastAsia="楷体_GB2312" w:cs="DengXian-Bold"/>
          <w:b/>
          <w:bCs/>
          <w:sz w:val="32"/>
          <w:szCs w:val="32"/>
        </w:rPr>
        <w:t xml:space="preserve">2017 </w:t>
      </w:r>
      <w:r>
        <w:rPr>
          <w:rFonts w:hint="eastAsia" w:ascii="楷体_GB2312" w:eastAsia="楷体_GB2312" w:cs="DengXian-Bold"/>
          <w:b/>
          <w:bCs/>
          <w:sz w:val="32"/>
          <w:szCs w:val="32"/>
        </w:rPr>
        <w:t>年度决算对比情况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年度形成的财政拨款收支均为一般公共预算财政拨款，其中一般公共预算财政拨款本年收入</w:t>
      </w:r>
      <w:r>
        <w:rPr>
          <w:rFonts w:hint="eastAsia" w:ascii="仿宋_GB2312" w:hAnsi="黑体" w:eastAsia="仿宋_GB2312"/>
          <w:sz w:val="32"/>
          <w:szCs w:val="32"/>
        </w:rPr>
        <w:t>109.97</w:t>
      </w:r>
      <w:r>
        <w:rPr>
          <w:rFonts w:hint="eastAsia" w:ascii="仿宋_GB2312" w:eastAsia="仿宋_GB2312" w:cs="DengXian-Regular"/>
          <w:sz w:val="32"/>
          <w:szCs w:val="32"/>
        </w:rPr>
        <w:t>万元</w:t>
      </w:r>
      <w:r>
        <w:rPr>
          <w:rFonts w:ascii="仿宋_GB2312" w:eastAsia="仿宋_GB2312" w:cs="DengXian-Regular"/>
          <w:sz w:val="32"/>
          <w:szCs w:val="32"/>
        </w:rPr>
        <w:t>,</w:t>
      </w:r>
      <w:r>
        <w:rPr>
          <w:rFonts w:hint="eastAsia" w:ascii="仿宋_GB2312" w:eastAsia="仿宋_GB2312" w:cs="DengXian-Regular"/>
          <w:sz w:val="32"/>
          <w:szCs w:val="32"/>
        </w:rPr>
        <w:t>比</w:t>
      </w:r>
      <w:r>
        <w:rPr>
          <w:rFonts w:ascii="仿宋_GB2312" w:eastAsia="仿宋_GB2312" w:cs="DengXian-Regular"/>
          <w:sz w:val="32"/>
          <w:szCs w:val="32"/>
        </w:rPr>
        <w:t>2017</w:t>
      </w:r>
      <w:r>
        <w:rPr>
          <w:rFonts w:hint="eastAsia" w:ascii="仿宋_GB2312" w:eastAsia="仿宋_GB2312" w:cs="DengXian-Regular"/>
          <w:sz w:val="32"/>
          <w:szCs w:val="32"/>
        </w:rPr>
        <w:t>年度减少</w:t>
      </w:r>
      <w:r>
        <w:rPr>
          <w:rFonts w:hint="eastAsia" w:ascii="仿宋" w:hAnsi="仿宋" w:eastAsia="仿宋" w:cs="仿宋"/>
          <w:bCs/>
          <w:spacing w:val="12"/>
          <w:sz w:val="32"/>
        </w:rPr>
        <w:t>43.24</w:t>
      </w:r>
      <w:r>
        <w:rPr>
          <w:rFonts w:hint="eastAsia" w:ascii="仿宋_GB2312" w:eastAsia="仿宋_GB2312" w:cs="DengXian-Regular"/>
          <w:sz w:val="32"/>
          <w:szCs w:val="32"/>
        </w:rPr>
        <w:t>万元，降低</w:t>
      </w:r>
      <w:r>
        <w:rPr>
          <w:rFonts w:hint="eastAsia" w:ascii="仿宋" w:hAnsi="仿宋" w:eastAsia="仿宋" w:cs="仿宋"/>
          <w:bCs/>
          <w:spacing w:val="12"/>
          <w:sz w:val="32"/>
        </w:rPr>
        <w:t>28.22</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 w:hAnsi="仿宋" w:eastAsia="仿宋" w:cs="仿宋"/>
          <w:bCs/>
          <w:spacing w:val="12"/>
          <w:sz w:val="32"/>
        </w:rPr>
        <w:t>按照上级要求压减一般性支出</w:t>
      </w:r>
      <w:r>
        <w:rPr>
          <w:rFonts w:hint="eastAsia" w:ascii="仿宋_GB2312" w:eastAsia="仿宋_GB2312" w:cs="DengXian-Regular"/>
          <w:sz w:val="32"/>
          <w:szCs w:val="32"/>
        </w:rPr>
        <w:t>；本年支出</w:t>
      </w:r>
      <w:r>
        <w:rPr>
          <w:rFonts w:hint="eastAsia" w:ascii="仿宋_GB2312" w:hAnsi="黑体" w:eastAsia="仿宋_GB2312"/>
          <w:sz w:val="32"/>
          <w:szCs w:val="32"/>
        </w:rPr>
        <w:t>109.97</w:t>
      </w:r>
      <w:r>
        <w:rPr>
          <w:rFonts w:hint="eastAsia" w:ascii="仿宋_GB2312" w:eastAsia="仿宋_GB2312" w:cs="DengXian-Regular"/>
          <w:sz w:val="32"/>
          <w:szCs w:val="32"/>
        </w:rPr>
        <w:t>万元，减少</w:t>
      </w:r>
      <w:r>
        <w:rPr>
          <w:rFonts w:hint="eastAsia" w:ascii="仿宋" w:hAnsi="仿宋" w:eastAsia="仿宋" w:cs="仿宋"/>
          <w:bCs/>
          <w:spacing w:val="12"/>
          <w:sz w:val="32"/>
        </w:rPr>
        <w:t>43.24</w:t>
      </w:r>
      <w:r>
        <w:rPr>
          <w:rFonts w:hint="eastAsia" w:ascii="仿宋_GB2312" w:eastAsia="仿宋_GB2312" w:cs="DengXian-Regular"/>
          <w:sz w:val="32"/>
          <w:szCs w:val="32"/>
        </w:rPr>
        <w:t>万元，降低</w:t>
      </w:r>
      <w:r>
        <w:rPr>
          <w:rFonts w:hint="eastAsia" w:ascii="仿宋" w:hAnsi="仿宋" w:eastAsia="仿宋" w:cs="仿宋"/>
          <w:bCs/>
          <w:spacing w:val="12"/>
          <w:sz w:val="32"/>
        </w:rPr>
        <w:t>28.22</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 w:hAnsi="仿宋" w:eastAsia="仿宋" w:cs="仿宋"/>
          <w:bCs/>
          <w:spacing w:val="12"/>
          <w:sz w:val="32"/>
        </w:rPr>
        <w:t>按照上级要求压减一般性支出</w:t>
      </w:r>
      <w:r>
        <w:rPr>
          <w:rFonts w:hint="eastAsia" w:ascii="仿宋_GB2312" w:eastAsia="仿宋_GB2312" w:cs="DengXian-Regular"/>
          <w:sz w:val="32"/>
          <w:szCs w:val="32"/>
        </w:rPr>
        <w:t>。</w:t>
      </w:r>
    </w:p>
    <w:p>
      <w:pPr>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（二）财政拨款收支与年初预算数对比情况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年度一般公共预算财政拨款收入</w:t>
      </w:r>
      <w:r>
        <w:rPr>
          <w:rFonts w:hint="eastAsia" w:ascii="仿宋_GB2312" w:hAnsi="黑体" w:eastAsia="仿宋_GB2312"/>
          <w:sz w:val="32"/>
          <w:szCs w:val="32"/>
        </w:rPr>
        <w:t>109.97</w:t>
      </w:r>
      <w:r>
        <w:rPr>
          <w:rFonts w:hint="eastAsia" w:ascii="仿宋_GB2312" w:eastAsia="仿宋_GB2312" w:cs="DengXian-Regular"/>
          <w:sz w:val="32"/>
          <w:szCs w:val="32"/>
        </w:rPr>
        <w:t>万元，完成年初预算的</w:t>
      </w:r>
      <w:r>
        <w:rPr>
          <w:rFonts w:hint="eastAsia" w:ascii="仿宋_GB2312" w:hAnsi="黑体" w:eastAsia="仿宋_GB2312"/>
          <w:sz w:val="32"/>
          <w:szCs w:val="32"/>
        </w:rPr>
        <w:t>112.91</w:t>
      </w:r>
      <w:r>
        <w:rPr>
          <w:rFonts w:ascii="仿宋_GB2312" w:eastAsia="仿宋_GB2312" w:cs="DengXian-Regular"/>
          <w:sz w:val="32"/>
          <w:szCs w:val="32"/>
        </w:rPr>
        <w:t>%,</w:t>
      </w:r>
      <w:r>
        <w:rPr>
          <w:rFonts w:hint="eastAsia" w:ascii="仿宋_GB2312" w:eastAsia="仿宋_GB2312" w:cs="DengXian-Regular"/>
          <w:sz w:val="32"/>
          <w:szCs w:val="32"/>
        </w:rPr>
        <w:t>比年初预算增加12.57万元</w:t>
      </w:r>
      <w:r>
        <w:rPr>
          <w:rFonts w:hint="eastAsia" w:ascii="仿宋_GB2312" w:eastAsia="仿宋_GB2312" w:cs="DengXian-Regular"/>
          <w:color w:val="FF0000"/>
          <w:sz w:val="32"/>
          <w:szCs w:val="32"/>
        </w:rPr>
        <w:t>，</w:t>
      </w:r>
      <w:r>
        <w:rPr>
          <w:rFonts w:hint="eastAsia" w:ascii="仿宋_GB2312" w:eastAsia="仿宋_GB2312" w:cs="DengXian-Regular"/>
          <w:sz w:val="32"/>
          <w:szCs w:val="32"/>
        </w:rPr>
        <w:t>增长12.91%，决算数大于预算数主要原因是</w:t>
      </w:r>
      <w:r>
        <w:rPr>
          <w:rFonts w:hint="eastAsia" w:ascii="仿宋" w:hAnsi="仿宋" w:eastAsia="仿宋" w:cs="仿宋"/>
          <w:bCs/>
          <w:spacing w:val="12"/>
          <w:sz w:val="32"/>
        </w:rPr>
        <w:t>《晋察冀边区阜平县红色档案丛书》（第四套）出版管理费及印刷费用增加</w:t>
      </w:r>
      <w:r>
        <w:rPr>
          <w:rFonts w:hint="eastAsia" w:ascii="仿宋_GB2312" w:eastAsia="仿宋_GB2312" w:cs="DengXian-Regular"/>
          <w:sz w:val="32"/>
          <w:szCs w:val="32"/>
        </w:rPr>
        <w:t>；本年支出</w:t>
      </w:r>
      <w:r>
        <w:rPr>
          <w:rFonts w:hint="eastAsia" w:ascii="仿宋_GB2312" w:hAnsi="黑体" w:eastAsia="仿宋_GB2312"/>
          <w:sz w:val="32"/>
          <w:szCs w:val="32"/>
        </w:rPr>
        <w:t>109.97</w:t>
      </w:r>
      <w:r>
        <w:rPr>
          <w:rFonts w:hint="eastAsia" w:ascii="仿宋_GB2312" w:eastAsia="仿宋_GB2312" w:cs="DengXian-Regular"/>
          <w:sz w:val="32"/>
          <w:szCs w:val="32"/>
        </w:rPr>
        <w:t>万元，完成年初预算的</w:t>
      </w:r>
      <w:r>
        <w:rPr>
          <w:rFonts w:hint="eastAsia" w:ascii="仿宋_GB2312" w:hAnsi="黑体" w:eastAsia="仿宋_GB2312"/>
          <w:sz w:val="32"/>
          <w:szCs w:val="32"/>
        </w:rPr>
        <w:t>112.91</w:t>
      </w:r>
      <w:r>
        <w:rPr>
          <w:rFonts w:ascii="仿宋_GB2312" w:eastAsia="仿宋_GB2312" w:cs="DengXian-Regular"/>
          <w:sz w:val="32"/>
          <w:szCs w:val="32"/>
        </w:rPr>
        <w:t>%,</w:t>
      </w:r>
      <w:r>
        <w:rPr>
          <w:rFonts w:hint="eastAsia" w:ascii="仿宋_GB2312" w:eastAsia="仿宋_GB2312" w:cs="DengXian-Regular"/>
          <w:sz w:val="32"/>
          <w:szCs w:val="32"/>
        </w:rPr>
        <w:t>比年初预算增加12.57万元，增长12.91%，决算数大于预算数主要原因是</w:t>
      </w:r>
      <w:r>
        <w:rPr>
          <w:rFonts w:hint="eastAsia" w:ascii="仿宋" w:hAnsi="仿宋" w:eastAsia="仿宋" w:cs="仿宋"/>
          <w:bCs/>
          <w:spacing w:val="12"/>
          <w:sz w:val="32"/>
        </w:rPr>
        <w:t>《晋察冀边区阜平县红色档案丛书》（第四套）出版管理费及印刷费用增加</w:t>
      </w:r>
      <w:r>
        <w:rPr>
          <w:rFonts w:hint="eastAsia" w:ascii="仿宋_GB2312" w:eastAsia="仿宋_GB2312" w:cs="DengXian-Regular"/>
          <w:sz w:val="32"/>
          <w:szCs w:val="32"/>
        </w:rPr>
        <w:t>。</w:t>
      </w:r>
    </w:p>
    <w:p>
      <w:pPr>
        <w:numPr>
          <w:ilvl w:val="0"/>
          <w:numId w:val="1"/>
        </w:numPr>
        <w:adjustRightInd w:val="0"/>
        <w:snapToGrid w:val="0"/>
        <w:spacing w:after="0" w:line="580" w:lineRule="exact"/>
        <w:ind w:left="420" w:leftChars="200"/>
        <w:rPr>
          <w:rFonts w:ascii="楷体_GB2312" w:eastAsia="楷体_GB2312" w:cs="DengXian-Bold"/>
          <w:b/>
          <w:bCs/>
          <w:sz w:val="32"/>
          <w:szCs w:val="32"/>
        </w:rPr>
      </w:pPr>
      <w:r>
        <w:rPr>
          <w:rFonts w:hint="eastAsia" w:ascii="楷体_GB2312" w:eastAsia="楷体_GB2312" w:cs="DengXian-Bold"/>
          <w:b/>
          <w:bCs/>
          <w:sz w:val="32"/>
          <w:szCs w:val="32"/>
        </w:rPr>
        <w:t>财政拨款支出决算结构情况。</w:t>
      </w:r>
    </w:p>
    <w:p>
      <w:pPr>
        <w:adjustRightInd w:val="0"/>
        <w:snapToGrid w:val="0"/>
        <w:spacing w:after="0" w:line="580" w:lineRule="exact"/>
        <w:ind w:firstLine="640" w:firstLineChars="200"/>
        <w:rPr>
          <w:rFonts w:ascii="楷体_GB2312" w:eastAsia="楷体_GB2312" w:cs="DengXian-Bold"/>
          <w:b/>
          <w:bCs/>
          <w:sz w:val="32"/>
          <w:szCs w:val="32"/>
        </w:rPr>
      </w:pPr>
      <w:r>
        <w:rPr>
          <w:rFonts w:ascii="仿宋_GB2312" w:eastAsia="仿宋_GB2312" w:cs="DengXian-Regular"/>
          <w:sz w:val="32"/>
          <w:szCs w:val="32"/>
        </w:rPr>
        <w:t xml:space="preserve">2018 </w:t>
      </w:r>
      <w:r>
        <w:rPr>
          <w:rFonts w:hint="eastAsia" w:ascii="仿宋_GB2312" w:eastAsia="仿宋_GB2312" w:cs="DengXian-Regular"/>
          <w:sz w:val="32"/>
          <w:szCs w:val="32"/>
        </w:rPr>
        <w:t>年度财政拨款支出</w:t>
      </w:r>
      <w:r>
        <w:rPr>
          <w:rFonts w:hint="eastAsia" w:ascii="仿宋_GB2312" w:hAnsi="黑体" w:eastAsia="仿宋_GB2312"/>
          <w:sz w:val="32"/>
          <w:szCs w:val="32"/>
        </w:rPr>
        <w:t>109.97</w:t>
      </w:r>
      <w:r>
        <w:rPr>
          <w:rFonts w:hint="eastAsia" w:ascii="仿宋_GB2312" w:eastAsia="仿宋_GB2312" w:cs="DengXian-Regular"/>
          <w:sz w:val="32"/>
          <w:szCs w:val="32"/>
        </w:rPr>
        <w:t>万元，主要用于以下方面:一般公共服务支出</w:t>
      </w:r>
      <w:r>
        <w:rPr>
          <w:rFonts w:hint="eastAsia" w:ascii="仿宋_GB2312" w:hAnsi="黑体" w:eastAsia="仿宋_GB2312"/>
          <w:sz w:val="32"/>
          <w:szCs w:val="32"/>
        </w:rPr>
        <w:t>104.01</w:t>
      </w:r>
      <w:r>
        <w:rPr>
          <w:rFonts w:hint="eastAsia" w:ascii="仿宋_GB2312" w:eastAsia="仿宋_GB2312" w:cs="DengXian-Regular"/>
          <w:sz w:val="32"/>
          <w:szCs w:val="32"/>
        </w:rPr>
        <w:t>万元，占94.58</w:t>
      </w:r>
      <w:r>
        <w:rPr>
          <w:rFonts w:ascii="仿宋_GB2312" w:eastAsia="仿宋_GB2312" w:cs="DengXian-Regular"/>
          <w:sz w:val="32"/>
          <w:szCs w:val="32"/>
        </w:rPr>
        <w:t>%</w:t>
      </w:r>
      <w:r>
        <w:rPr>
          <w:rFonts w:hint="eastAsia" w:ascii="仿宋_GB2312" w:eastAsia="仿宋_GB2312" w:cs="DengXian-Regular"/>
          <w:sz w:val="32"/>
          <w:szCs w:val="32"/>
        </w:rPr>
        <w:t>；社会保障和就业支出</w:t>
      </w:r>
      <w:r>
        <w:rPr>
          <w:rFonts w:hint="eastAsia" w:ascii="仿宋_GB2312" w:hAnsi="黑体" w:eastAsia="仿宋_GB2312"/>
          <w:sz w:val="32"/>
          <w:szCs w:val="32"/>
        </w:rPr>
        <w:t>4.82</w:t>
      </w:r>
      <w:r>
        <w:rPr>
          <w:rFonts w:hint="eastAsia" w:ascii="仿宋_GB2312" w:eastAsia="仿宋_GB2312" w:cs="DengXian-Regular"/>
          <w:sz w:val="32"/>
          <w:szCs w:val="32"/>
        </w:rPr>
        <w:t>万元，占4.38</w:t>
      </w:r>
      <w:r>
        <w:rPr>
          <w:rFonts w:ascii="仿宋_GB2312" w:eastAsia="仿宋_GB2312" w:cs="DengXian-Regular"/>
          <w:sz w:val="32"/>
          <w:szCs w:val="32"/>
        </w:rPr>
        <w:t>%</w:t>
      </w:r>
      <w:r>
        <w:rPr>
          <w:rFonts w:hint="eastAsia" w:ascii="仿宋_GB2312" w:eastAsia="仿宋_GB2312" w:cs="DengXian-Regular"/>
          <w:sz w:val="32"/>
          <w:szCs w:val="32"/>
        </w:rPr>
        <w:t>；</w:t>
      </w:r>
      <w:r>
        <w:rPr>
          <w:rFonts w:hint="eastAsia" w:ascii="仿宋_GB2312" w:hAnsi="黑体" w:eastAsia="仿宋_GB2312"/>
          <w:sz w:val="32"/>
          <w:szCs w:val="32"/>
        </w:rPr>
        <w:t>医疗卫生与计划生育支出0.46万元，占0.42%；</w:t>
      </w:r>
      <w:r>
        <w:rPr>
          <w:rFonts w:hint="eastAsia" w:ascii="仿宋_GB2312" w:eastAsia="仿宋_GB2312" w:cs="DengXian-Regular"/>
          <w:sz w:val="32"/>
          <w:szCs w:val="32"/>
        </w:rPr>
        <w:t>住房保障支出0.68万元，占0.62</w:t>
      </w:r>
      <w:r>
        <w:rPr>
          <w:rFonts w:ascii="仿宋_GB2312" w:eastAsia="仿宋_GB2312" w:cs="DengXian-Regular"/>
          <w:sz w:val="32"/>
          <w:szCs w:val="32"/>
        </w:rPr>
        <w:t>%;</w:t>
      </w:r>
      <w:r>
        <w:rPr>
          <w:rFonts w:hint="eastAsia" w:ascii="仿宋_GB2312" w:eastAsia="仿宋_GB2312" w:cs="DengXian-Regular"/>
          <w:sz w:val="32"/>
          <w:szCs w:val="32"/>
        </w:rPr>
        <w:t>。</w:t>
      </w:r>
    </w:p>
    <w:p>
      <w:pPr>
        <w:adjustRightInd w:val="0"/>
        <w:snapToGrid w:val="0"/>
        <w:spacing w:after="0" w:line="580" w:lineRule="exact"/>
        <w:ind w:left="420" w:leftChars="200"/>
        <w:rPr>
          <w:rFonts w:ascii="楷体_GB2312" w:eastAsia="楷体_GB2312" w:cs="DengXian-Bold"/>
          <w:b/>
          <w:bCs/>
          <w:sz w:val="32"/>
          <w:szCs w:val="32"/>
        </w:rPr>
      </w:pPr>
      <w:r>
        <w:pict>
          <v:group id="组合 79" o:spid="_x0000_s1100" o:spt="203" style="position:absolute;left:0pt;margin-left:-79.5pt;margin-top:29.3pt;height:43.95pt;width:301.85pt;mso-position-vertical-relative:page;z-index:251675648;mso-width-relative:page;mso-height-relative:page;" coordorigin="4551,52615" coordsize="8546,-2147483648">
            <o:lock v:ext="edit"/>
            <v:rect id="矩形 13" o:spid="_x0000_s1101" o:spt="1" style="position:absolute;left:4551;top:52615;height:1175;width:8546;v-text-anchor:middle;" fillcolor="#96DA9D" filled="t" stroked="f" coordsize="21600,21600">
              <v:path/>
              <v:fill on="t" focussize="0,0"/>
              <v:stroke on="f" weight="2pt"/>
              <v:imagedata o:title=""/>
              <o:lock v:ext="edit"/>
            </v:rect>
            <v:rect id="矩形 14" o:spid="_x0000_s110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（四）一般公共预算财政拨款基本支出决算情况说明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 xml:space="preserve">2018 </w:t>
      </w:r>
      <w:r>
        <w:rPr>
          <w:rFonts w:hint="eastAsia" w:ascii="仿宋_GB2312" w:eastAsia="仿宋_GB2312" w:cs="DengXian-Regular"/>
          <w:sz w:val="32"/>
          <w:szCs w:val="32"/>
        </w:rPr>
        <w:t>年度一般公共预算财政拨款基本支出</w:t>
      </w:r>
      <w:r>
        <w:rPr>
          <w:rFonts w:hint="eastAsia" w:ascii="仿宋_GB2312" w:hAnsi="黑体" w:eastAsia="仿宋_GB2312"/>
          <w:sz w:val="32"/>
          <w:szCs w:val="32"/>
        </w:rPr>
        <w:t>18.44</w:t>
      </w:r>
      <w:r>
        <w:rPr>
          <w:rFonts w:hint="eastAsia" w:ascii="仿宋_GB2312" w:eastAsia="仿宋_GB2312" w:cs="DengXian-Regular"/>
          <w:sz w:val="32"/>
          <w:szCs w:val="32"/>
        </w:rPr>
        <w:t>万元，其中：人员经费</w:t>
      </w:r>
      <w:r>
        <w:rPr>
          <w:rFonts w:hint="eastAsia" w:ascii="仿宋_GB2312" w:hAnsi="黑体" w:eastAsia="仿宋_GB2312"/>
          <w:sz w:val="32"/>
          <w:szCs w:val="32"/>
        </w:rPr>
        <w:t>16.22</w:t>
      </w:r>
      <w:r>
        <w:rPr>
          <w:rFonts w:hint="eastAsia" w:ascii="仿宋_GB2312" w:eastAsia="仿宋_GB2312" w:cs="DengXian-Regular"/>
          <w:sz w:val="32"/>
          <w:szCs w:val="32"/>
        </w:rPr>
        <w:t>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w:t>
      </w:r>
      <w:r>
        <w:rPr>
          <w:rFonts w:hint="eastAsia" w:ascii="仿宋_GB2312" w:hAnsi="黑体" w:eastAsia="仿宋_GB2312"/>
          <w:sz w:val="32"/>
          <w:szCs w:val="32"/>
        </w:rPr>
        <w:t>2.22</w:t>
      </w:r>
      <w:r>
        <w:rPr>
          <w:rFonts w:hint="eastAsia" w:ascii="仿宋_GB2312" w:eastAsia="仿宋_GB2312" w:cs="DengXian-Regular"/>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pStyle w:val="3"/>
        <w:spacing w:before="0" w:after="0" w:line="580" w:lineRule="exact"/>
        <w:ind w:firstLine="640" w:firstLineChars="200"/>
        <w:rPr>
          <w:rFonts w:ascii="黑体" w:eastAsia="黑体"/>
          <w:b w:val="0"/>
          <w:bCs w:val="0"/>
        </w:rPr>
      </w:pPr>
      <w:r>
        <w:rPr>
          <w:rFonts w:hint="eastAsia" w:ascii="黑体" w:eastAsia="黑体"/>
          <w:b w:val="0"/>
          <w:bCs w:val="0"/>
        </w:rPr>
        <w:t>五、一般公共预算财政拨款“三公”经费支出决算情况说明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年度“三公”经费支出共计0万元，与年初预算相比增加0万元，增</w:t>
      </w:r>
      <w:r>
        <w:rPr>
          <w:rFonts w:hint="eastAsia" w:ascii="宋体" w:hAnsi="宋体" w:cs="宋体"/>
          <w:sz w:val="32"/>
          <w:szCs w:val="32"/>
        </w:rPr>
        <w:t>长</w:t>
      </w:r>
      <w:r>
        <w:rPr>
          <w:rFonts w:hint="eastAsia" w:ascii="仿宋_GB2312" w:eastAsia="仿宋_GB2312" w:cs="DengXian-Regular"/>
          <w:sz w:val="32"/>
          <w:szCs w:val="32"/>
        </w:rPr>
        <w:t>0%。</w:t>
      </w:r>
      <w:r>
        <w:rPr>
          <w:rFonts w:hint="eastAsia" w:ascii="仿宋" w:hAnsi="仿宋" w:eastAsia="仿宋" w:cs="仿宋"/>
          <w:bCs/>
          <w:spacing w:val="12"/>
          <w:sz w:val="32"/>
        </w:rPr>
        <w:t>较2017年度减少0.08万元，减少100%，主要原因是认真贯彻落实党中央、国务院厉行节约精神，切实采取严格措施控制和压缩</w:t>
      </w:r>
      <w:r>
        <w:rPr>
          <w:rFonts w:hint="eastAsia" w:ascii="仿宋_GB2312" w:hAnsi="黑体" w:eastAsia="仿宋_GB2312"/>
          <w:sz w:val="32"/>
          <w:szCs w:val="32"/>
        </w:rPr>
        <w:t>“三公”经费支出.</w:t>
      </w:r>
      <w:r>
        <w:rPr>
          <w:rFonts w:hint="eastAsia" w:ascii="仿宋_GB2312" w:eastAsia="仿宋_GB2312" w:cs="DengXian-Regular"/>
          <w:sz w:val="32"/>
          <w:szCs w:val="32"/>
        </w:rPr>
        <w:t>具体情况如下：</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w:t>
      </w:r>
      <w:r>
        <w:pict>
          <v:group id="_x0000_s1106" o:spid="_x0000_s1106" o:spt="203" style="position:absolute;left:0pt;margin-left:-79.5pt;margin-top:29.3pt;height:43.95pt;width:301.85pt;mso-position-vertical-relative:page;z-index:251675648;mso-width-relative:page;mso-height-relative:page;" coordorigin="4551,52615" coordsize="8546,-2147483648">
            <o:lock v:ext="edit"/>
            <v:rect id="矩形 13" o:spid="_x0000_s1107" o:spt="1" style="position:absolute;left:4551;top:52615;height:1175;width:8546;v-text-anchor:middle;" fillcolor="#96DA9D" filled="t" stroked="f" coordsize="21600,21600">
              <v:path/>
              <v:fill on="t" focussize="0,0"/>
              <v:stroke on="f" weight="2pt"/>
              <v:imagedata o:title=""/>
              <o:lock v:ext="edit"/>
            </v:rect>
            <v:rect id="矩形 14" o:spid="_x0000_s110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一）因公出国（境）费支出0万元。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年度因公出国（境）团组0个、共0人</w:t>
      </w:r>
      <w:r>
        <w:rPr>
          <w:rFonts w:ascii="仿宋_GB2312" w:eastAsia="仿宋_GB2312" w:cs="DengXian-Regular"/>
          <w:sz w:val="32"/>
          <w:szCs w:val="32"/>
        </w:rPr>
        <w:t>/</w:t>
      </w:r>
      <w:r>
        <w:rPr>
          <w:rFonts w:hint="eastAsia" w:ascii="仿宋_GB2312" w:eastAsia="仿宋_GB2312" w:cs="DengXian-Regular"/>
          <w:sz w:val="32"/>
          <w:szCs w:val="32"/>
        </w:rPr>
        <w:t>参加其他单位组织的因公出国（境）团组0个、共0人</w:t>
      </w:r>
      <w:r>
        <w:rPr>
          <w:rFonts w:ascii="仿宋_GB2312" w:eastAsia="仿宋_GB2312" w:cs="DengXian-Regular"/>
          <w:sz w:val="32"/>
          <w:szCs w:val="32"/>
        </w:rPr>
        <w:t>/</w:t>
      </w:r>
      <w:r>
        <w:rPr>
          <w:rFonts w:hint="eastAsia" w:ascii="仿宋_GB2312" w:eastAsia="仿宋_GB2312" w:cs="DengXian-Regular"/>
          <w:sz w:val="32"/>
          <w:szCs w:val="32"/>
        </w:rPr>
        <w:t>无本单位组织的出国（境）团组。因公出国（境）费支出较年初预算增加0万元，增长0</w:t>
      </w:r>
      <w:r>
        <w:rPr>
          <w:rFonts w:ascii="仿宋_GB2312" w:eastAsia="仿宋_GB2312" w:cs="DengXian-Regular"/>
          <w:sz w:val="32"/>
          <w:szCs w:val="32"/>
        </w:rPr>
        <w:t>%,</w:t>
      </w:r>
      <w:r>
        <w:rPr>
          <w:rFonts w:hint="eastAsia" w:ascii="仿宋_GB2312" w:eastAsia="仿宋_GB2312" w:cs="DengXian-Regular"/>
          <w:sz w:val="32"/>
          <w:szCs w:val="32"/>
        </w:rPr>
        <w:t>与上年决算相比增加0万元，增</w:t>
      </w:r>
      <w:r>
        <w:rPr>
          <w:rFonts w:hint="eastAsia" w:ascii="宋体" w:hAnsi="宋体" w:cs="宋体"/>
          <w:sz w:val="32"/>
          <w:szCs w:val="32"/>
        </w:rPr>
        <w:t>长</w:t>
      </w:r>
      <w:r>
        <w:rPr>
          <w:rFonts w:hint="eastAsia" w:ascii="仿宋_GB2312" w:eastAsia="仿宋_GB2312" w:cs="DengXian-Regular"/>
          <w:sz w:val="32"/>
          <w:szCs w:val="32"/>
        </w:rPr>
        <w:t>0%。主要是认真贯彻落实中央“八项规定”精神和厉行节约要求，从严控制“三公”经费开支。</w:t>
      </w:r>
    </w:p>
    <w:p>
      <w:pPr>
        <w:adjustRightInd w:val="0"/>
        <w:snapToGrid w:val="0"/>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（二）公务用车购置及运行维护费支出0万元。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年度公务用车购置及运行维护费较年初预算相比增加0万元，增</w:t>
      </w:r>
      <w:r>
        <w:rPr>
          <w:rFonts w:hint="eastAsia" w:ascii="宋体" w:hAnsi="宋体" w:cs="宋体"/>
          <w:sz w:val="32"/>
          <w:szCs w:val="32"/>
        </w:rPr>
        <w:t>长</w:t>
      </w:r>
      <w:r>
        <w:rPr>
          <w:rFonts w:hint="eastAsia" w:ascii="仿宋_GB2312" w:eastAsia="仿宋_GB2312" w:cs="DengXian-Regular"/>
          <w:sz w:val="32"/>
          <w:szCs w:val="32"/>
        </w:rPr>
        <w:t>0%</w:t>
      </w:r>
      <w:r>
        <w:rPr>
          <w:rFonts w:ascii="仿宋_GB2312" w:eastAsia="仿宋_GB2312" w:cs="DengXian-Regular"/>
          <w:sz w:val="32"/>
          <w:szCs w:val="32"/>
        </w:rPr>
        <w:t>,</w:t>
      </w:r>
      <w:r>
        <w:rPr>
          <w:rFonts w:hint="eastAsia" w:ascii="仿宋_GB2312" w:eastAsia="仿宋_GB2312" w:cs="DengXian-Regular"/>
          <w:sz w:val="32"/>
          <w:szCs w:val="32"/>
        </w:rPr>
        <w:t>与上年决算相比增加0万元，增长0</w:t>
      </w:r>
      <w:r>
        <w:rPr>
          <w:rFonts w:ascii="仿宋_GB2312" w:eastAsia="仿宋_GB2312" w:cs="DengXian-Regular"/>
          <w:sz w:val="32"/>
          <w:szCs w:val="32"/>
        </w:rPr>
        <w:t>%</w:t>
      </w:r>
      <w:r>
        <w:rPr>
          <w:rFonts w:hint="eastAsia" w:ascii="仿宋_GB2312" w:eastAsia="仿宋_GB2312" w:cs="DengXian-Regular"/>
          <w:sz w:val="32"/>
          <w:szCs w:val="32"/>
        </w:rPr>
        <w:t>。主要是认真贯彻落实中央“八项规定”精神和厉行节约要求，从严控制“三公”经费开支。</w:t>
      </w:r>
      <w:r>
        <w:rPr>
          <w:rFonts w:hint="eastAsia" w:ascii="仿宋_GB2312" w:eastAsia="仿宋_GB2312" w:cs="DengXian-Bold"/>
          <w:b/>
          <w:bCs/>
          <w:sz w:val="32"/>
          <w:szCs w:val="32"/>
        </w:rPr>
        <w:t>其中：</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仿宋_GB2312" w:eastAsia="仿宋_GB2312" w:cs="DengXian-Regular"/>
          <w:b/>
          <w:sz w:val="32"/>
          <w:szCs w:val="32"/>
        </w:rPr>
        <w:t>公务用车购置费</w:t>
      </w:r>
      <w:r>
        <w:rPr>
          <w:rFonts w:hint="eastAsia" w:ascii="楷体_GB2312" w:eastAsia="楷体_GB2312" w:cs="DengXian-Bold"/>
          <w:b/>
          <w:bCs/>
          <w:sz w:val="32"/>
          <w:szCs w:val="32"/>
        </w:rPr>
        <w:t>0万元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年度公务用车购置量0辆，发生“公务用车购置”经费支出0万元。公务用车购置费支出较年初预算增加0万元，增长0</w:t>
      </w:r>
      <w:r>
        <w:rPr>
          <w:rFonts w:ascii="仿宋_GB2312" w:eastAsia="仿宋_GB2312" w:cs="DengXian-Regular"/>
          <w:sz w:val="32"/>
          <w:szCs w:val="32"/>
        </w:rPr>
        <w:t>%,</w:t>
      </w:r>
      <w:r>
        <w:rPr>
          <w:rFonts w:hint="eastAsia" w:ascii="仿宋_GB2312" w:eastAsia="仿宋_GB2312" w:cs="DengXian-Regular"/>
          <w:sz w:val="32"/>
          <w:szCs w:val="32"/>
        </w:rPr>
        <w:t>与上年决算相比增加0万元，增</w:t>
      </w:r>
      <w:r>
        <w:rPr>
          <w:rFonts w:hint="eastAsia" w:ascii="宋体" w:hAnsi="宋体" w:cs="宋体"/>
          <w:sz w:val="32"/>
          <w:szCs w:val="32"/>
        </w:rPr>
        <w:t>长</w:t>
      </w:r>
      <w:r>
        <w:rPr>
          <w:rFonts w:hint="eastAsia" w:ascii="仿宋_GB2312" w:eastAsia="仿宋_GB2312" w:cs="DengXian-Regular"/>
          <w:sz w:val="32"/>
          <w:szCs w:val="32"/>
        </w:rPr>
        <w:t>0%。主要是认真贯彻落实中央“八项规定”精神和厉行节约要求，从严控制“三公”经费开支。</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仿宋_GB2312" w:eastAsia="仿宋_GB2312" w:cs="DengXian-Regular"/>
          <w:b/>
          <w:sz w:val="32"/>
          <w:szCs w:val="32"/>
        </w:rPr>
        <w:t>公务用车运行维护费</w:t>
      </w:r>
      <w:r>
        <w:rPr>
          <w:rFonts w:hint="eastAsia" w:ascii="楷体_GB2312" w:eastAsia="楷体_GB2312" w:cs="DengXian-Bold"/>
          <w:b/>
          <w:bCs/>
          <w:sz w:val="32"/>
          <w:szCs w:val="32"/>
        </w:rPr>
        <w:t>0万元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年度单位公务用车保有量0辆。公车运行维护费支出较年初预算增加0万元，增长0</w:t>
      </w:r>
      <w:r>
        <w:rPr>
          <w:rFonts w:ascii="仿宋_GB2312" w:eastAsia="仿宋_GB2312" w:cs="DengXian-Regular"/>
          <w:sz w:val="32"/>
          <w:szCs w:val="32"/>
        </w:rPr>
        <w:t>%,</w:t>
      </w:r>
      <w:r>
        <w:rPr>
          <w:rFonts w:hint="eastAsia" w:ascii="仿宋_GB2312" w:eastAsia="仿宋_GB2312" w:cs="DengXian-Regular"/>
          <w:sz w:val="32"/>
          <w:szCs w:val="32"/>
        </w:rPr>
        <w:t>与上年决算相比增加0万元，增</w:t>
      </w:r>
      <w:r>
        <w:rPr>
          <w:rFonts w:hint="eastAsia" w:ascii="宋体" w:hAnsi="宋体" w:cs="宋体"/>
          <w:sz w:val="32"/>
          <w:szCs w:val="32"/>
        </w:rPr>
        <w:t>长</w:t>
      </w:r>
      <w:r>
        <w:rPr>
          <w:rFonts w:hint="eastAsia" w:ascii="仿宋_GB2312" w:eastAsia="仿宋_GB2312" w:cs="DengXian-Regular"/>
          <w:sz w:val="32"/>
          <w:szCs w:val="32"/>
        </w:rPr>
        <w:t>0%。主要是认真贯彻落实中央“八项规定”精神和厉行节约要求，从严控制“三公”经费开支。</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（三）公务接待费支出0万元。</w:t>
      </w:r>
      <w:r>
        <w:pict>
          <v:group id="_x0000_s1109" o:spid="_x0000_s1109" o:spt="203" style="position:absolute;left:0pt;margin-left:-79.5pt;margin-top:29.3pt;height:43.95pt;width:301.85pt;mso-position-vertical-relative:page;z-index:251676672;mso-width-relative:page;mso-height-relative:page;" coordorigin="4551,52615" coordsize="8546,-2147483648">
            <o:lock v:ext="edit"/>
            <v:rect id="矩形 13" o:spid="_x0000_s1110" o:spt="1" style="position:absolute;left:4551;top:52615;height:1175;width:8546;v-text-anchor:middle;" fillcolor="#96DA9D" filled="t" stroked="f" coordsize="21600,21600">
              <v:path/>
              <v:fill on="t" focussize="0,0"/>
              <v:stroke on="f" weight="2pt"/>
              <v:imagedata o:title=""/>
              <o:lock v:ext="edit"/>
            </v:rect>
            <v:rect id="矩形 14" o:spid="_x0000_s1111"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年度公务接待共0批次、0人次。公务接待费支出较年初预算增加0万元，增长0</w:t>
      </w:r>
      <w:r>
        <w:rPr>
          <w:rFonts w:ascii="仿宋_GB2312" w:eastAsia="仿宋_GB2312" w:cs="DengXian-Regular"/>
          <w:sz w:val="32"/>
          <w:szCs w:val="32"/>
        </w:rPr>
        <w:t>%,</w:t>
      </w:r>
      <w:r>
        <w:rPr>
          <w:rFonts w:hint="eastAsia" w:ascii="仿宋_GB2312" w:eastAsia="仿宋_GB2312" w:cs="DengXian-Regular"/>
          <w:sz w:val="32"/>
          <w:szCs w:val="32"/>
        </w:rPr>
        <w:t>主要是认真贯彻落实中央“八项规定”精神和厉行节约要求，从严控制“三公”经费开支。</w:t>
      </w:r>
      <w:r>
        <w:rPr>
          <w:rFonts w:hint="eastAsia" w:ascii="仿宋" w:hAnsi="仿宋" w:eastAsia="仿宋" w:cs="仿宋"/>
          <w:bCs/>
          <w:spacing w:val="12"/>
          <w:sz w:val="32"/>
        </w:rPr>
        <w:t>较2017年度决算相比减少0.08万元，减少100%，主要原因是认真贯彻落实党中央、国务院厉行节约精神，切实采取严格措施控制和压缩</w:t>
      </w:r>
      <w:r>
        <w:rPr>
          <w:rFonts w:hint="eastAsia" w:ascii="仿宋_GB2312" w:hAnsi="黑体" w:eastAsia="仿宋_GB2312"/>
          <w:sz w:val="32"/>
          <w:szCs w:val="32"/>
        </w:rPr>
        <w:t>“三公”经费支出.</w:t>
      </w:r>
    </w:p>
    <w:p>
      <w:pPr>
        <w:adjustRightInd w:val="0"/>
        <w:snapToGrid w:val="0"/>
        <w:spacing w:after="0" w:line="580" w:lineRule="exact"/>
        <w:ind w:firstLine="640" w:firstLineChars="200"/>
        <w:rPr>
          <w:rFonts w:ascii="黑体" w:eastAsia="黑体"/>
          <w:sz w:val="32"/>
          <w:szCs w:val="40"/>
        </w:rPr>
      </w:pPr>
      <w:r>
        <w:rPr>
          <w:rFonts w:hint="eastAsia" w:ascii="黑体" w:eastAsia="黑体"/>
          <w:sz w:val="32"/>
          <w:szCs w:val="40"/>
        </w:rPr>
        <w:t>六、预算绩效情况说明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（一）预算绩效管理工作开展情况。</w:t>
      </w:r>
    </w:p>
    <w:p>
      <w:pPr>
        <w:widowControl/>
        <w:spacing w:line="540" w:lineRule="exact"/>
        <w:ind w:firstLine="561"/>
        <w:rPr>
          <w:rFonts w:ascii="仿宋" w:hAnsi="仿宋" w:eastAsia="仿宋" w:cs="仿宋"/>
          <w:sz w:val="32"/>
          <w:szCs w:val="32"/>
        </w:rPr>
      </w:pPr>
      <w:r>
        <w:rPr>
          <w:rFonts w:hint="eastAsia" w:ascii="仿宋" w:hAnsi="仿宋" w:eastAsia="仿宋" w:cs="仿宋"/>
          <w:sz w:val="32"/>
          <w:szCs w:val="32"/>
        </w:rPr>
        <w:t>按照河北省财政厅《关于做好省直部门绩效评价工作的通知》的部署和要求，我局的预算绩效目标包括：1、保管利用：接收本行政区域内各立档单位到期档案进馆，进行科学排序、制作检索工具等，确保馆藏档案安全，提供开发档案信息。2、业务指导：监督指导本行政区域内各立档单位的档案收集、整理。3、办公室：传达上级文件精神，起草本单位的业务性文件及发展规划，协调各股室工作，接待外单位来访人员。根据</w:t>
      </w:r>
      <w:bookmarkStart w:id="0" w:name="_Toc477179486"/>
      <w:r>
        <w:rPr>
          <w:rFonts w:hint="eastAsia" w:ascii="仿宋" w:hAnsi="仿宋" w:eastAsia="仿宋" w:cs="仿宋"/>
          <w:sz w:val="32"/>
          <w:szCs w:val="32"/>
        </w:rPr>
        <w:t>部门职责-工作活动绩效目标</w:t>
      </w:r>
      <w:bookmarkEnd w:id="0"/>
      <w:r>
        <w:rPr>
          <w:rFonts w:hint="eastAsia" w:ascii="仿宋" w:hAnsi="仿宋" w:eastAsia="仿宋" w:cs="仿宋"/>
          <w:sz w:val="32"/>
          <w:szCs w:val="32"/>
        </w:rPr>
        <w:t>评分，部门整体支出绩效为“优秀”，取得了较好的成果，较好实现了预算项目绩效目标。</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（二）项目绩效自评结果。</w:t>
      </w:r>
    </w:p>
    <w:p>
      <w:pPr>
        <w:widowControl/>
        <w:spacing w:line="540" w:lineRule="exact"/>
        <w:ind w:firstLine="561"/>
        <w:rPr>
          <w:rFonts w:ascii="仿宋" w:hAnsi="仿宋" w:eastAsia="仿宋"/>
          <w:kern w:val="0"/>
          <w:sz w:val="32"/>
          <w:szCs w:val="32"/>
        </w:rPr>
      </w:pPr>
      <w:r>
        <w:rPr>
          <w:rFonts w:hint="eastAsia" w:ascii="仿宋" w:hAnsi="仿宋" w:eastAsia="仿宋" w:cs="仿宋"/>
          <w:sz w:val="32"/>
          <w:szCs w:val="32"/>
        </w:rPr>
        <w:t>1、馆库安全、查阅服务等方面全面提升。在库房安</w:t>
      </w:r>
      <w:r>
        <w:rPr>
          <w:rFonts w:ascii="仿宋" w:hAnsi="仿宋" w:eastAsia="仿宋"/>
          <w:kern w:val="0"/>
          <w:sz w:val="32"/>
          <w:szCs w:val="32"/>
        </w:rPr>
        <w:t>全方面，我馆始终坚持“以防为主”，严格落实“七防”措施和安全工作制度，提前排查隐患问题。年初投资1万多元对库安装了空调，提换了全部防虫药，增加10支灭火器，安装了2个防盗门。通过对“七防”设施进行了维护和部分更换，切实做到了档案管理安全无事故。在提高服务水平上，立足改善服务态度，熟悉藏内容，努力提高档案工作服务群众、服务社会经济发展的能力和水平。特别是为挖掘阜平红色历史，传承革命优良传统及利用寄存中心为下岗失业人员交纳养老金及时提供档案依据，受到了一致好评</w:t>
      </w:r>
      <w:r>
        <w:rPr>
          <w:rFonts w:hint="eastAsia" w:ascii="仿宋" w:hAnsi="仿宋" w:eastAsia="仿宋"/>
          <w:kern w:val="0"/>
          <w:sz w:val="32"/>
          <w:szCs w:val="32"/>
        </w:rPr>
        <w:t>，绩效综合等级为优</w:t>
      </w:r>
      <w:r>
        <w:rPr>
          <w:rFonts w:ascii="仿宋" w:hAnsi="仿宋" w:eastAsia="仿宋"/>
          <w:kern w:val="0"/>
          <w:sz w:val="32"/>
          <w:szCs w:val="32"/>
        </w:rPr>
        <w:t>。</w:t>
      </w:r>
      <w:r>
        <w:rPr>
          <w:rFonts w:hint="eastAsia" w:ascii="仿宋" w:hAnsi="仿宋" w:eastAsia="仿宋"/>
          <w:bCs/>
          <w:kern w:val="0"/>
          <w:sz w:val="32"/>
          <w:szCs w:val="32"/>
        </w:rPr>
        <w:t>2、</w:t>
      </w:r>
      <w:r>
        <w:rPr>
          <w:rFonts w:ascii="仿宋" w:hAnsi="仿宋" w:eastAsia="仿宋"/>
          <w:bCs/>
          <w:kern w:val="0"/>
          <w:sz w:val="32"/>
          <w:szCs w:val="32"/>
        </w:rPr>
        <w:t>档案编研成果显著。</w:t>
      </w:r>
      <w:r>
        <w:rPr>
          <w:rFonts w:ascii="仿宋" w:hAnsi="仿宋" w:eastAsia="仿宋"/>
          <w:kern w:val="0"/>
          <w:sz w:val="32"/>
          <w:szCs w:val="32"/>
        </w:rPr>
        <w:t>自201</w:t>
      </w:r>
      <w:r>
        <w:rPr>
          <w:rFonts w:hint="eastAsia" w:ascii="仿宋" w:hAnsi="仿宋" w:eastAsia="仿宋"/>
          <w:kern w:val="0"/>
          <w:sz w:val="32"/>
          <w:szCs w:val="32"/>
        </w:rPr>
        <w:t>7</w:t>
      </w:r>
      <w:r>
        <w:rPr>
          <w:rFonts w:ascii="仿宋" w:hAnsi="仿宋" w:eastAsia="仿宋"/>
          <w:kern w:val="0"/>
          <w:sz w:val="32"/>
          <w:szCs w:val="32"/>
        </w:rPr>
        <w:t>年下半年开始，经过近一年多时间的努力，我馆编写的第三套《晋察冀边区阜平县红色档案系列丛书》5部（8卷）500多万字已经完成定稿，印刷厂以出样书，中央文献出版社审核、印刷发行</w:t>
      </w:r>
      <w:r>
        <w:rPr>
          <w:rFonts w:hint="eastAsia" w:ascii="仿宋" w:hAnsi="仿宋" w:eastAsia="仿宋"/>
          <w:kern w:val="0"/>
          <w:sz w:val="32"/>
          <w:szCs w:val="32"/>
        </w:rPr>
        <w:t>，绩效综合等级为优</w:t>
      </w:r>
      <w:r>
        <w:rPr>
          <w:rFonts w:ascii="仿宋" w:hAnsi="仿宋" w:eastAsia="仿宋"/>
          <w:kern w:val="0"/>
          <w:sz w:val="32"/>
          <w:szCs w:val="32"/>
        </w:rPr>
        <w:t>。</w:t>
      </w:r>
      <w:r>
        <w:rPr>
          <w:rFonts w:hint="eastAsia" w:ascii="仿宋" w:hAnsi="仿宋" w:eastAsia="仿宋"/>
          <w:bCs/>
          <w:kern w:val="0"/>
          <w:sz w:val="32"/>
          <w:szCs w:val="32"/>
        </w:rPr>
        <w:t>3、</w:t>
      </w:r>
      <w:r>
        <w:rPr>
          <w:rFonts w:ascii="仿宋" w:hAnsi="仿宋" w:eastAsia="仿宋"/>
          <w:bCs/>
          <w:kern w:val="0"/>
          <w:sz w:val="32"/>
          <w:szCs w:val="32"/>
        </w:rPr>
        <w:t>档案数字化建设。</w:t>
      </w:r>
      <w:r>
        <w:rPr>
          <w:rFonts w:ascii="仿宋" w:hAnsi="仿宋" w:eastAsia="仿宋"/>
          <w:kern w:val="0"/>
          <w:sz w:val="32"/>
          <w:szCs w:val="32"/>
        </w:rPr>
        <w:t>档案的数字化是为了更快、更准确查阅档案，提供档案信息，保护档案原件的目的。</w:t>
      </w:r>
      <w:r>
        <w:rPr>
          <w:rFonts w:hint="eastAsia" w:ascii="仿宋" w:hAnsi="仿宋" w:eastAsia="仿宋"/>
          <w:kern w:val="0"/>
          <w:sz w:val="32"/>
          <w:szCs w:val="32"/>
        </w:rPr>
        <w:t>与第三方公司签订协方，扫描库存档案绩效综合等级为优</w:t>
      </w:r>
      <w:r>
        <w:rPr>
          <w:rFonts w:ascii="仿宋" w:hAnsi="仿宋" w:eastAsia="仿宋"/>
          <w:kern w:val="0"/>
          <w:sz w:val="32"/>
          <w:szCs w:val="32"/>
        </w:rPr>
        <w:t>。</w:t>
      </w:r>
    </w:p>
    <w:p>
      <w:pPr>
        <w:widowControl/>
        <w:spacing w:line="540" w:lineRule="exact"/>
        <w:ind w:firstLine="561"/>
        <w:rPr>
          <w:rFonts w:ascii="仿宋" w:hAnsi="仿宋" w:eastAsia="仿宋_GB2312"/>
          <w:kern w:val="0"/>
          <w:sz w:val="32"/>
          <w:szCs w:val="32"/>
        </w:rPr>
      </w:pPr>
      <w:r>
        <w:rPr>
          <w:rFonts w:hint="eastAsia" w:ascii="仿宋_GB2312" w:eastAsia="仿宋_GB2312" w:cs="DengXian-Regular"/>
          <w:sz w:val="32"/>
          <w:szCs w:val="32"/>
        </w:rPr>
        <w:t>（三）重点项目绩效评价结果:无。</w:t>
      </w:r>
    </w:p>
    <w:p>
      <w:pPr>
        <w:widowControl/>
        <w:spacing w:line="540" w:lineRule="exact"/>
        <w:ind w:firstLine="561"/>
        <w:rPr>
          <w:rFonts w:ascii="黑体" w:eastAsia="黑体"/>
          <w:b/>
          <w:bCs/>
          <w:sz w:val="32"/>
          <w:szCs w:val="32"/>
        </w:rPr>
      </w:pPr>
      <w:r>
        <w:rPr>
          <w:rFonts w:hint="eastAsia" w:ascii="黑体" w:eastAsia="黑体"/>
          <w:b/>
          <w:bCs/>
          <w:sz w:val="32"/>
          <w:szCs w:val="32"/>
        </w:rPr>
        <w:t>七、其他重要事项的说明</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（一）机关运行经费情况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阜平县档案局为财政补助事业单位,无机关运行经费</w:t>
      </w:r>
      <w:r>
        <w:rPr>
          <w:rFonts w:hint="eastAsia" w:ascii="仿宋_GB2312" w:eastAsia="仿宋_GB2312" w:cs="DengXian-Regular"/>
          <w:sz w:val="32"/>
          <w:szCs w:val="32"/>
          <w:lang w:val="en-US" w:eastAsia="zh-CN"/>
        </w:rPr>
        <w:t>。</w:t>
      </w:r>
      <w:r>
        <w:rPr>
          <w:rFonts w:hint="eastAsia" w:ascii="仿宋_GB2312" w:eastAsia="仿宋_GB2312" w:cs="DengXian-Regular"/>
          <w:sz w:val="32"/>
          <w:szCs w:val="32"/>
          <w:lang w:eastAsia="zh-CN"/>
        </w:rPr>
        <w:t>一般公共预算财政款支出</w:t>
      </w:r>
      <w:r>
        <w:rPr>
          <w:rFonts w:hint="eastAsia" w:ascii="仿宋_GB2312" w:eastAsia="仿宋_GB2312" w:cs="DengXian-Regular"/>
          <w:sz w:val="32"/>
          <w:szCs w:val="32"/>
          <w:lang w:val="en-US" w:eastAsia="zh-CN"/>
        </w:rPr>
        <w:t>2.22万元，其中办公费1.19万元，印刷费0.5万元，邮电费0,18万元，维修（护）费0.3万元，差旅费0.05万元。与年初预算相比增加0万元，增加0%，与上年决算相比增加0万元，增加0%。</w:t>
      </w:r>
      <w:bookmarkStart w:id="1" w:name="_GoBack"/>
      <w:bookmarkEnd w:id="1"/>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（二）政府采购情况</w:t>
      </w:r>
    </w:p>
    <w:p>
      <w:pPr>
        <w:widowControl/>
        <w:spacing w:after="0" w:line="58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年度政府采购支出总额50.56万元，从采购类型来看，</w:t>
      </w:r>
      <w:r>
        <w:rPr>
          <w:rFonts w:hint="eastAsia" w:ascii="仿宋_GB2312" w:hAnsi="仿宋_GB2312" w:eastAsia="仿宋_GB2312" w:cs="仿宋_GB2312"/>
          <w:color w:val="000000"/>
          <w:kern w:val="0"/>
          <w:sz w:val="32"/>
          <w:szCs w:val="32"/>
        </w:rPr>
        <w:t>政府采购货物支出0万元、政府采购工程支出0万元、政府采购服务支出50.56万元。授予中小企业合同金额50.56万元，占政府采购支出总额的100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w:t>
      </w:r>
      <w:r>
        <w:rPr>
          <w:rFonts w:hint="eastAsia" w:ascii="仿宋_GB2312" w:hAnsi="仿宋_GB2312" w:eastAsia="仿宋_GB2312" w:cs="仿宋_GB2312"/>
          <w:kern w:val="0"/>
          <w:sz w:val="32"/>
          <w:szCs w:val="32"/>
        </w:rPr>
        <w:t>额50.56万元，占政府采购支出总额的100</w:t>
      </w:r>
      <w:r>
        <w:rPr>
          <w:rFonts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（三）国有资产占用情况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截至</w:t>
      </w:r>
      <w:r>
        <w:rPr>
          <w:rFonts w:ascii="仿宋_GB2312" w:eastAsia="仿宋_GB2312" w:cs="DengXian-Regular"/>
          <w:sz w:val="32"/>
          <w:szCs w:val="32"/>
        </w:rPr>
        <w:t>2018</w:t>
      </w:r>
      <w:r>
        <w:rPr>
          <w:rFonts w:hint="eastAsia" w:ascii="仿宋_GB2312" w:eastAsia="仿宋_GB2312" w:cs="DengXian-Regular"/>
          <w:sz w:val="32"/>
          <w:szCs w:val="32"/>
        </w:rPr>
        <w:t>年</w:t>
      </w:r>
      <w:r>
        <w:rPr>
          <w:rFonts w:ascii="仿宋_GB2312" w:eastAsia="仿宋_GB2312" w:cs="DengXian-Regular"/>
          <w:sz w:val="32"/>
          <w:szCs w:val="32"/>
        </w:rPr>
        <w:t>12</w:t>
      </w:r>
      <w:r>
        <w:rPr>
          <w:rFonts w:hint="eastAsia" w:ascii="仿宋_GB2312" w:eastAsia="仿宋_GB2312" w:cs="DengXian-Regular"/>
          <w:sz w:val="32"/>
          <w:szCs w:val="32"/>
        </w:rPr>
        <w:t>月</w:t>
      </w:r>
      <w:r>
        <w:rPr>
          <w:rFonts w:ascii="仿宋_GB2312" w:eastAsia="仿宋_GB2312" w:cs="DengXian-Regular"/>
          <w:sz w:val="32"/>
          <w:szCs w:val="32"/>
        </w:rPr>
        <w:t>31</w:t>
      </w:r>
      <w:r>
        <w:rPr>
          <w:rFonts w:hint="eastAsia" w:ascii="仿宋_GB2312" w:eastAsia="仿宋_GB2312" w:cs="DengXian-Regular"/>
          <w:sz w:val="32"/>
          <w:szCs w:val="32"/>
        </w:rPr>
        <w:t>日，本部门共有车辆0辆，比上年增加（减少）0辆，主要是认真贯彻落实中央“八项规定”精神和厉行节约要求，从严控制“三公”经费开支。其中，副部（省）级及以上领导用车0辆，主要领导干部用车0辆，机要通信用车0辆，应急保障用车0辆，执法执勤用车0辆，特种专业技术用车0辆，离退休干部用车0辆，其他用车0辆，其他用车主要是认真贯彻落实中央“八项规定”精神和厉行节约要求，从严控制“三公”经费开支；单位价值</w:t>
      </w:r>
      <w:r>
        <w:rPr>
          <w:rFonts w:ascii="仿宋_GB2312" w:hAnsi="TimesNewRomanPSMT" w:eastAsia="仿宋_GB2312" w:cs="TimesNewRomanPSMT"/>
          <w:sz w:val="32"/>
          <w:szCs w:val="32"/>
        </w:rPr>
        <w:t>50</w:t>
      </w:r>
      <w:r>
        <w:rPr>
          <w:rFonts w:hint="eastAsia" w:ascii="仿宋_GB2312" w:eastAsia="仿宋_GB2312" w:cs="DengXian-Regular"/>
          <w:sz w:val="32"/>
          <w:szCs w:val="32"/>
        </w:rPr>
        <w:t>万元以上通用设备0台（套），比上年增加（减少）0套，主要是认真贯彻落实中央“八项规定”精神和厉行节约要求，从严控制“三公”经费开支，单位价值</w:t>
      </w:r>
      <w:r>
        <w:rPr>
          <w:rFonts w:ascii="仿宋_GB2312" w:hAnsi="TimesNewRomanPSMT" w:eastAsia="仿宋_GB2312" w:cs="TimesNewRomanPSMT"/>
          <w:sz w:val="32"/>
          <w:szCs w:val="32"/>
        </w:rPr>
        <w:t>100</w:t>
      </w:r>
      <w:r>
        <w:rPr>
          <w:rFonts w:hint="eastAsia" w:ascii="仿宋_GB2312" w:eastAsia="仿宋_GB2312" w:cs="DengXian-Regular"/>
          <w:sz w:val="32"/>
          <w:szCs w:val="32"/>
        </w:rPr>
        <w:t>万元以上专用设备0台（套）比上年增加（减少）0套</w:t>
      </w:r>
      <w:r>
        <w:rPr>
          <w:rFonts w:ascii="仿宋_GB2312" w:eastAsia="仿宋_GB2312" w:cs="DengXian-Regular"/>
          <w:sz w:val="32"/>
          <w:szCs w:val="32"/>
        </w:rPr>
        <w:t>,</w:t>
      </w:r>
      <w:r>
        <w:rPr>
          <w:rFonts w:hint="eastAsia" w:ascii="仿宋_GB2312" w:eastAsia="仿宋_GB2312" w:cs="DengXian-Regular"/>
          <w:sz w:val="32"/>
          <w:szCs w:val="32"/>
        </w:rPr>
        <w:t>主要是认真贯彻落实中央“八项规定”精神和厉行节约要求，从严控制“三公”经费开支。</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（四）其他需要说明的情况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1、本部门2018年度无一般公共预算财政拨款“三公”经费支出情况，故公开07表以空表列示。</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本部门2018年度无政府性基金预算财政拨款收入支出情况，故公开08表以空表列示。</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年度无国有资本经营预算财政拨款支出情况，故公开09表以空表列示。</w: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2</w:t>
      </w:r>
      <w:r>
        <w:rPr>
          <w:rFonts w:hint="eastAsia" w:ascii="仿宋_GB2312" w:eastAsia="仿宋_GB2312" w:cs="DengXian-Regular"/>
          <w:sz w:val="32"/>
          <w:szCs w:val="32"/>
        </w:rPr>
        <w:t>、由于决算公开表格中金额数值应当保留两位小数，公开数据为四舍五入计算结</w:t>
      </w:r>
      <w:r>
        <w:pict>
          <v:group id="_x0000_s1115" o:spid="_x0000_s1115" o:spt="203" style="position:absolute;left:0pt;margin-left:-79.5pt;margin-top:29.3pt;height:43.95pt;width:301.85pt;mso-position-vertical-relative:page;z-index:251687936;mso-width-relative:page;mso-height-relative:page;" coordorigin="4551,52615" coordsize="8546,-2147483648">
            <o:lock v:ext="edit"/>
            <v:rect id="矩形 13" o:spid="_x0000_s1116" o:spt="1" style="position:absolute;left:4551;top:52615;height:1175;width:8546;v-text-anchor:middle;" fillcolor="#96DA9D" filled="t" stroked="f" coordsize="21600,21600">
              <v:path/>
              <v:fill on="t" focussize="0,0"/>
              <v:stroke on="f" weight="2pt"/>
              <v:imagedata o:title=""/>
              <o:lock v:ext="edit"/>
            </v:rect>
            <v:rect id="矩形 14" o:spid="_x0000_s1117"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果，个别数据合计项与分项之和存在小数点后差额，特此说明。</w:t>
      </w:r>
    </w:p>
    <w:p>
      <w:pPr>
        <w:widowControl/>
        <w:spacing w:after="0" w:line="580" w:lineRule="exact"/>
        <w:ind w:firstLine="883" w:firstLineChars="200"/>
        <w:jc w:val="left"/>
        <w:rPr>
          <w:rFonts w:ascii="宋体" w:cs="MS-UIGothic,Bold"/>
          <w:b/>
          <w:bCs/>
          <w:kern w:val="0"/>
          <w:sz w:val="44"/>
          <w:szCs w:val="44"/>
        </w:rPr>
        <w:sectPr>
          <w:pgSz w:w="11906" w:h="16838"/>
          <w:pgMar w:top="2098" w:right="1474" w:bottom="1984" w:left="1588" w:header="851" w:footer="992" w:gutter="0"/>
          <w:cols w:space="0" w:num="1"/>
          <w:docGrid w:type="lines" w:linePitch="312" w:charSpace="0"/>
        </w:sect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63360" behindDoc="1" locked="0" layoutInCell="1" allowOverlap="1">
            <wp:simplePos x="0" y="0"/>
            <wp:positionH relativeFrom="column">
              <wp:posOffset>-1009015</wp:posOffset>
            </wp:positionH>
            <wp:positionV relativeFrom="paragraph">
              <wp:posOffset>-1337945</wp:posOffset>
            </wp:positionV>
            <wp:extent cx="7550150" cy="10680065"/>
            <wp:effectExtent l="19050" t="0" r="0" b="0"/>
            <wp:wrapNone/>
            <wp:docPr id="94" name="图片 2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21" descr="2"/>
                    <pic:cNvPicPr>
                      <a:picLocks noChangeAspect="1" noChangeArrowheads="1"/>
                    </pic:cNvPicPr>
                  </pic:nvPicPr>
                  <pic:blipFill>
                    <a:blip r:embed="rId13"/>
                    <a:srcRect/>
                    <a:stretch>
                      <a:fillRect/>
                    </a:stretch>
                  </pic:blipFill>
                  <pic:spPr>
                    <a:xfrm>
                      <a:off x="0" y="0"/>
                      <a:ext cx="7550150" cy="10680065"/>
                    </a:xfrm>
                    <a:prstGeom prst="rect">
                      <a:avLst/>
                    </a:prstGeom>
                    <a:noFill/>
                  </pic:spPr>
                </pic:pic>
              </a:graphicData>
            </a:graphic>
          </wp:anchor>
        </w:drawing>
      </w:r>
      <w:r>
        <w:pict>
          <v:shape id="文本框 22" o:spid="_x0000_s1119" o:spt="202" type="#_x0000_t202" style="position:absolute;left:0pt;margin-left:-78.7pt;margin-top:232.8pt;height:159.1pt;width:596.2pt;z-index:251669504;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第四部分</w:t>
                  </w:r>
                </w:p>
                <w:p>
                  <w:pPr>
                    <w:widowControl/>
                    <w:spacing w:line="1200" w:lineRule="exact"/>
                    <w:jc w:val="center"/>
                    <w:rPr>
                      <w:color w:val="FDEFBE"/>
                      <w:sz w:val="96"/>
                      <w:szCs w:val="96"/>
                    </w:rPr>
                  </w:pPr>
                  <w:r>
                    <w:rPr>
                      <w:rFonts w:hint="eastAsia" w:ascii="黑体" w:hAnsi="宋体" w:eastAsia="黑体"/>
                      <w:color w:val="FDEFBE"/>
                      <w:sz w:val="96"/>
                      <w:szCs w:val="96"/>
                    </w:rPr>
                    <w:t>名词解释</w:t>
                  </w:r>
                </w:p>
              </w:txbxContent>
            </v:textbox>
          </v:shape>
        </w:pic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w:t>
      </w:r>
      <w:r>
        <w:pict>
          <v:group id="组合 149" o:spid="_x0000_s1120" o:spt="203" style="position:absolute;left:0pt;margin-left:-81.05pt;margin-top:39.65pt;height:43.95pt;width:264.85pt;mso-position-vertical-relative:page;z-index:251671552;mso-width-relative:page;mso-height-relative:page;" coordorigin="4551,52615" coordsize="8546,-2147483648">
            <o:lock v:ext="edit"/>
            <v:rect id="矩形 13" o:spid="_x0000_s1121" o:spt="1" style="position:absolute;left:4551;top:52615;height:1175;width:8546;v-text-anchor:middle;" fillcolor="#96DA9D" filled="t" stroked="f" coordsize="21600,21600">
              <v:path/>
              <v:fill on="t" focussize="0,0"/>
              <v:stroke on="f" weight="2pt"/>
              <v:imagedata o:title=""/>
              <o:lock v:ext="edit"/>
            </v:rect>
            <v:rect id="矩形 14" o:spid="_x0000_s112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（十）资本性支出（基本建设）：</w:t>
      </w:r>
      <w:r>
        <w:rPr>
          <w:rFonts w:hint="eastAsia" w:ascii="仿宋_GB2312" w:hAnsi="宋体" w:eastAsia="仿宋_GB2312"/>
          <w:color w:val="000000"/>
          <w:kern w:val="0"/>
          <w:sz w:val="32"/>
          <w:szCs w:val="32"/>
        </w:rPr>
        <w:t>填列切块由发展改革部门安排的基本建设支出，对企业补助支出不在此科目反映。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（十一）资本性支出：</w:t>
      </w:r>
      <w:r>
        <w:rPr>
          <w:rFonts w:hint="eastAsia" w:ascii="仿宋_GB2312" w:hAnsi="宋体" w:eastAsia="仿宋_GB2312"/>
          <w:color w:val="000000"/>
          <w:kern w:val="0"/>
          <w:sz w:val="32"/>
          <w:szCs w:val="32"/>
        </w:rPr>
        <w:t>填列各单位安排的资本性支出。切块由发展改革部门安排的基本建设支出不在此科目反映。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w:t>
      </w:r>
      <w:r>
        <w:pict>
          <v:group id="组合 94" o:spid="_x0000_s1123" o:spt="203" style="position:absolute;left:0pt;margin-left:-81.05pt;margin-top:39.65pt;height:43.95pt;width:264.85pt;mso-position-vertical-relative:page;z-index:251688960;mso-width-relative:page;mso-height-relative:page;" coordorigin="4551,52615" coordsize="8546,-2147483648">
            <o:lock v:ext="edit"/>
            <v:rect id="矩形 13" o:spid="_x0000_s1124" o:spt="1" style="position:absolute;left:4551;top:52615;height:1175;width:8546;v-text-anchor:middle;" fillcolor="#96DA9D" filled="t" stroked="f" coordsize="21600,21600">
              <v:path/>
              <v:fill on="t" focussize="0,0"/>
              <v:stroke on="f" weight="2pt"/>
              <v:imagedata o:title=""/>
              <o:lock v:ext="edit"/>
            </v:rect>
            <v:rect id="矩形 14" o:spid="_x0000_s112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color w:val="000000"/>
          <w:kern w:val="0"/>
          <w:sz w:val="32"/>
          <w:szCs w:val="32"/>
        </w:rPr>
        <w:t>待费反映单位按规定开支的各类公务接待（含外宾接待）支出。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w:t>
      </w:r>
      <w:r>
        <w:pict>
          <v:group id="组合 97" o:spid="_x0000_s1126" o:spt="203" style="position:absolute;left:0pt;margin-left:-81.05pt;margin-top:39.65pt;height:43.95pt;width:264.85pt;mso-position-vertical-relative:page;z-index:251689984;mso-width-relative:page;mso-height-relative:page;" coordorigin="4551,52615" coordsize="8546,-2147483648">
            <o:lock v:ext="edit"/>
            <v:rect id="矩形 13" o:spid="_x0000_s1127" o:spt="1" style="position:absolute;left:4551;top:52615;height:1175;width:8546;v-text-anchor:middle;" fillcolor="#96DA9D" filled="t" stroked="f" coordsize="21600,21600">
              <v:path/>
              <v:fill on="t" focussize="0,0"/>
              <v:stroke on="f" weight="2pt"/>
              <v:imagedata o:title=""/>
              <o:lock v:ext="edit"/>
            </v:rect>
            <v:rect id="矩形 14" o:spid="_x0000_s112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填列单位除公务用车运行维护费以外的其他交通费用。如公务交通补贴、租车费用、出租车费用、飞机、船舶等的燃料费、维修费、保险费等。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widowControl/>
        <w:spacing w:after="0" w:line="560" w:lineRule="exact"/>
        <w:ind w:firstLine="643" w:firstLineChars="200"/>
        <w:rPr>
          <w:rFonts w:ascii="仿宋_GB2312" w:hAnsi="Cambria" w:eastAsia="仿宋_GB2312" w:cs="ArialUnicodeMS"/>
          <w:kern w:val="0"/>
          <w:sz w:val="32"/>
          <w:szCs w:val="32"/>
        </w:rPr>
        <w:sectPr>
          <w:pgSz w:w="11906" w:h="16838"/>
          <w:pgMar w:top="2098" w:right="1474" w:bottom="1985" w:left="1588" w:header="851" w:footer="992" w:gutter="0"/>
          <w:cols w:space="425" w:num="1"/>
          <w:docGrid w:type="lines" w:linePitch="312" w:charSpace="0"/>
        </w:sect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Pr>
        <w:widowControl/>
        <w:spacing w:after="0" w:line="560" w:lineRule="exact"/>
        <w:ind w:firstLine="420" w:firstLineChars="200"/>
        <w:rPr>
          <w:rFonts w:ascii="仿宋_GB2312" w:hAnsi="Cambria" w:eastAsia="仿宋_GB2312" w:cs="ArialUnicodeMS"/>
          <w:kern w:val="0"/>
          <w:sz w:val="32"/>
          <w:szCs w:val="32"/>
        </w:rPr>
      </w:pPr>
      <w:r>
        <w:drawing>
          <wp:anchor distT="0" distB="0" distL="114300" distR="114300" simplePos="0" relativeHeight="251664384" behindDoc="1" locked="0" layoutInCell="1" allowOverlap="1">
            <wp:simplePos x="0" y="0"/>
            <wp:positionH relativeFrom="column">
              <wp:posOffset>-990600</wp:posOffset>
            </wp:positionH>
            <wp:positionV relativeFrom="paragraph">
              <wp:posOffset>-1355090</wp:posOffset>
            </wp:positionV>
            <wp:extent cx="7590155" cy="10735945"/>
            <wp:effectExtent l="19050" t="0" r="0" b="0"/>
            <wp:wrapNone/>
            <wp:docPr id="105" name="图片 10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1" descr="3"/>
                    <pic:cNvPicPr>
                      <a:picLocks noChangeAspect="1" noChangeArrowheads="1"/>
                    </pic:cNvPicPr>
                  </pic:nvPicPr>
                  <pic:blipFill>
                    <a:blip r:embed="rId24"/>
                    <a:srcRect/>
                    <a:stretch>
                      <a:fillRect/>
                    </a:stretch>
                  </pic:blipFill>
                  <pic:spPr>
                    <a:xfrm>
                      <a:off x="0" y="0"/>
                      <a:ext cx="7590155" cy="10735945"/>
                    </a:xfrm>
                    <a:prstGeom prst="rect">
                      <a:avLst/>
                    </a:prstGeom>
                    <a:noFill/>
                  </pic:spPr>
                </pic:pic>
              </a:graphicData>
            </a:graphic>
          </wp:anchor>
        </w:drawing>
      </w:r>
    </w:p>
    <w:sectPr>
      <w:pgSz w:w="11906" w:h="16838"/>
      <w:pgMar w:top="2098" w:right="1474" w:bottom="1985"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3F71D71-0046-4E04-9FA1-D77AC024B5F8}"/>
  </w:font>
  <w:font w:name="Arial">
    <w:panose1 w:val="020B0604020202020204"/>
    <w:charset w:val="01"/>
    <w:family w:val="swiss"/>
    <w:pitch w:val="default"/>
    <w:sig w:usb0="E0002AFF" w:usb1="C0007843" w:usb2="00000009" w:usb3="00000000" w:csb0="400001FF" w:csb1="FFFF0000"/>
    <w:embedRegular r:id="rId2" w:fontKey="{63E08DB7-2699-4CAC-9F48-0A1E5F21DBFE}"/>
  </w:font>
  <w:font w:name="黑体">
    <w:panose1 w:val="02010609060101010101"/>
    <w:charset w:val="86"/>
    <w:family w:val="auto"/>
    <w:pitch w:val="default"/>
    <w:sig w:usb0="800002BF" w:usb1="38CF7CFA" w:usb2="00000016" w:usb3="00000000" w:csb0="00040001" w:csb1="00000000"/>
    <w:embedRegular r:id="rId3" w:fontKey="{21F70899-7558-425D-A8E7-1F1E474EAEEC}"/>
  </w:font>
  <w:font w:name="Courier New">
    <w:panose1 w:val="02070309020205020404"/>
    <w:charset w:val="01"/>
    <w:family w:val="modern"/>
    <w:pitch w:val="default"/>
    <w:sig w:usb0="E0002AFF" w:usb1="C0007843" w:usb2="00000009" w:usb3="00000000" w:csb0="400001FF" w:csb1="FFFF0000"/>
    <w:embedRegular r:id="rId4" w:fontKey="{3C25068C-C658-419F-AEFA-C66D80E6EB18}"/>
  </w:font>
  <w:font w:name="Symbol">
    <w:panose1 w:val="05050102010706020507"/>
    <w:charset w:val="02"/>
    <w:family w:val="roman"/>
    <w:pitch w:val="default"/>
    <w:sig w:usb0="00000000" w:usb1="00000000" w:usb2="00000000" w:usb3="00000000" w:csb0="80000000" w:csb1="00000000"/>
    <w:embedRegular r:id="rId5" w:fontKey="{79A44CCF-30A9-48E2-89A2-6DB2B713B060}"/>
  </w:font>
  <w:font w:name="Calibri">
    <w:panose1 w:val="020F0502020204030204"/>
    <w:charset w:val="00"/>
    <w:family w:val="swiss"/>
    <w:pitch w:val="default"/>
    <w:sig w:usb0="E00002FF" w:usb1="4000ACFF" w:usb2="00000001" w:usb3="00000000" w:csb0="2000019F" w:csb1="00000000"/>
    <w:embedRegular r:id="rId6" w:fontKey="{7CEFD79E-5D87-42DF-B580-6227741E4A32}"/>
  </w:font>
  <w:font w:name="Cambria">
    <w:panose1 w:val="02040503050406030204"/>
    <w:charset w:val="00"/>
    <w:family w:val="roman"/>
    <w:pitch w:val="default"/>
    <w:sig w:usb0="E00002FF" w:usb1="400004FF" w:usb2="00000000" w:usb3="00000000" w:csb0="2000019F" w:csb1="00000000"/>
    <w:embedRegular r:id="rId7" w:fontKey="{F77087A3-CD1D-462C-A55A-EF61C7F0FEBD}"/>
  </w:font>
  <w:font w:name="楷体">
    <w:panose1 w:val="02010609060101010101"/>
    <w:charset w:val="86"/>
    <w:family w:val="modern"/>
    <w:pitch w:val="default"/>
    <w:sig w:usb0="800002BF" w:usb1="38CF7CFA" w:usb2="00000016" w:usb3="00000000" w:csb0="00040001" w:csb1="00000000"/>
    <w:embedRegular r:id="rId8" w:fontKey="{6A764E49-4A2B-4380-AACD-4CC89984BBEE}"/>
  </w:font>
  <w:font w:name="MS Gothic">
    <w:panose1 w:val="020B0609070205080204"/>
    <w:charset w:val="80"/>
    <w:family w:val="modern"/>
    <w:pitch w:val="default"/>
    <w:sig w:usb0="E00002FF" w:usb1="6AC7FDFB" w:usb2="00000012" w:usb3="00000000" w:csb0="4002009F" w:csb1="DFD70000"/>
    <w:embedRegular r:id="rId9" w:fontKey="{C847057A-C8F8-4D58-9551-32B2B1CBD8B3}"/>
  </w:font>
  <w:font w:name="仿宋_GB2312">
    <w:altName w:val="仿宋"/>
    <w:panose1 w:val="00000000000000000000"/>
    <w:charset w:val="86"/>
    <w:family w:val="modern"/>
    <w:pitch w:val="default"/>
    <w:sig w:usb0="00000000" w:usb1="00000000" w:usb2="00000000" w:usb3="00000000" w:csb0="00040000" w:csb1="00000000"/>
    <w:embedRegular r:id="rId10" w:fontKey="{5B2E406C-7C63-44D3-B46B-ACA97C01AAC9}"/>
  </w:font>
  <w:font w:name="仿宋">
    <w:panose1 w:val="02010609060101010101"/>
    <w:charset w:val="86"/>
    <w:family w:val="auto"/>
    <w:pitch w:val="default"/>
    <w:sig w:usb0="800002BF" w:usb1="38CF7CFA" w:usb2="00000016" w:usb3="00000000" w:csb0="00040001" w:csb1="00000000"/>
    <w:embedRegular r:id="rId11" w:fontKey="{4A17D27A-A3AC-43D6-88A9-EB7404F6743A}"/>
  </w:font>
  <w:font w:name="ArialUnicodeMS">
    <w:altName w:val="Malgun Gothic"/>
    <w:panose1 w:val="00000000000000000000"/>
    <w:charset w:val="81"/>
    <w:family w:val="auto"/>
    <w:pitch w:val="default"/>
    <w:sig w:usb0="00000000" w:usb1="00000000" w:usb2="00000010" w:usb3="00000000" w:csb0="00080000" w:csb1="00000000"/>
    <w:embedRegular r:id="rId12" w:fontKey="{360599E2-4F4A-4413-A03D-B9DDB6916EC5}"/>
  </w:font>
  <w:font w:name="Malgun Gothic">
    <w:panose1 w:val="020B0503020000020004"/>
    <w:charset w:val="81"/>
    <w:family w:val="auto"/>
    <w:pitch w:val="default"/>
    <w:sig w:usb0="900002AF" w:usb1="01D77CFB" w:usb2="00000012" w:usb3="00000000" w:csb0="00080001" w:csb1="00000000"/>
  </w:font>
  <w:font w:name="MS-UIGothic,Bold">
    <w:altName w:val="Malgun Gothic"/>
    <w:panose1 w:val="00000000000000000000"/>
    <w:charset w:val="81"/>
    <w:family w:val="auto"/>
    <w:pitch w:val="default"/>
    <w:sig w:usb0="00000000" w:usb1="00000000" w:usb2="00000010" w:usb3="00000000" w:csb0="00080000" w:csb1="00000000"/>
    <w:embedRegular r:id="rId13" w:fontKey="{59BE4F44-330A-4A98-930B-33DA9664D123}"/>
  </w:font>
  <w:font w:name="DengXian-Regular">
    <w:altName w:val="宋体"/>
    <w:panose1 w:val="00000000000000000000"/>
    <w:charset w:val="86"/>
    <w:family w:val="auto"/>
    <w:pitch w:val="default"/>
    <w:sig w:usb0="00000000" w:usb1="00000000" w:usb2="00000010" w:usb3="00000000" w:csb0="00040000" w:csb1="00000000"/>
    <w:embedRegular r:id="rId14" w:fontKey="{FE3C4935-D7DE-4483-BDC2-C366D3D50615}"/>
  </w:font>
  <w:font w:name="楷体_GB2312">
    <w:altName w:val="楷体"/>
    <w:panose1 w:val="00000000000000000000"/>
    <w:charset w:val="86"/>
    <w:family w:val="modern"/>
    <w:pitch w:val="default"/>
    <w:sig w:usb0="00000000" w:usb1="00000000" w:usb2="00000010" w:usb3="00000000" w:csb0="00040000" w:csb1="00000000"/>
    <w:embedRegular r:id="rId15" w:fontKey="{E036DBBB-254C-405A-ADE2-D076A6C4D5AF}"/>
  </w:font>
  <w:font w:name="DengXian-Bold">
    <w:altName w:val="宋体"/>
    <w:panose1 w:val="00000000000000000000"/>
    <w:charset w:val="86"/>
    <w:family w:val="auto"/>
    <w:pitch w:val="default"/>
    <w:sig w:usb0="00000000" w:usb1="00000000" w:usb2="00000010" w:usb3="00000000" w:csb0="00040000" w:csb1="00000000"/>
    <w:embedRegular r:id="rId16" w:fontKey="{7387F43E-7F3B-4336-8FB1-56C0E8F59130}"/>
  </w:font>
  <w:font w:name="TimesNewRomanPSMT">
    <w:altName w:val="Arial"/>
    <w:panose1 w:val="00000000000000000000"/>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C1413"/>
    <w:rsid w:val="00024E7F"/>
    <w:rsid w:val="000475A0"/>
    <w:rsid w:val="000838C3"/>
    <w:rsid w:val="000B2446"/>
    <w:rsid w:val="000D7C65"/>
    <w:rsid w:val="000E2F81"/>
    <w:rsid w:val="00117946"/>
    <w:rsid w:val="00117E2C"/>
    <w:rsid w:val="00146C47"/>
    <w:rsid w:val="00152FB8"/>
    <w:rsid w:val="00176658"/>
    <w:rsid w:val="0018239E"/>
    <w:rsid w:val="001A29BD"/>
    <w:rsid w:val="001B3410"/>
    <w:rsid w:val="001C030D"/>
    <w:rsid w:val="001C4A84"/>
    <w:rsid w:val="001E5902"/>
    <w:rsid w:val="00223825"/>
    <w:rsid w:val="00233705"/>
    <w:rsid w:val="002455AB"/>
    <w:rsid w:val="00275CA2"/>
    <w:rsid w:val="00290927"/>
    <w:rsid w:val="002A65A5"/>
    <w:rsid w:val="002C04C4"/>
    <w:rsid w:val="002D08B0"/>
    <w:rsid w:val="002D1AE3"/>
    <w:rsid w:val="002F12EB"/>
    <w:rsid w:val="002F2ECE"/>
    <w:rsid w:val="00341C8F"/>
    <w:rsid w:val="0035463A"/>
    <w:rsid w:val="00391D9D"/>
    <w:rsid w:val="003B6C51"/>
    <w:rsid w:val="003B7893"/>
    <w:rsid w:val="003C1413"/>
    <w:rsid w:val="003C549F"/>
    <w:rsid w:val="003D5A16"/>
    <w:rsid w:val="003E7DB3"/>
    <w:rsid w:val="00431175"/>
    <w:rsid w:val="0043363B"/>
    <w:rsid w:val="004B6E37"/>
    <w:rsid w:val="004C32BA"/>
    <w:rsid w:val="00516702"/>
    <w:rsid w:val="00575922"/>
    <w:rsid w:val="00596DDD"/>
    <w:rsid w:val="005A6C90"/>
    <w:rsid w:val="005E3FB0"/>
    <w:rsid w:val="005F4B66"/>
    <w:rsid w:val="005F5208"/>
    <w:rsid w:val="00623803"/>
    <w:rsid w:val="00641318"/>
    <w:rsid w:val="0064405D"/>
    <w:rsid w:val="00695557"/>
    <w:rsid w:val="006A69C4"/>
    <w:rsid w:val="006D4EA7"/>
    <w:rsid w:val="0070012A"/>
    <w:rsid w:val="0070664B"/>
    <w:rsid w:val="007071B8"/>
    <w:rsid w:val="007414DE"/>
    <w:rsid w:val="007905A9"/>
    <w:rsid w:val="007B0E8E"/>
    <w:rsid w:val="007E5500"/>
    <w:rsid w:val="007F055B"/>
    <w:rsid w:val="00811C2F"/>
    <w:rsid w:val="00833D46"/>
    <w:rsid w:val="00840A97"/>
    <w:rsid w:val="008C0149"/>
    <w:rsid w:val="008D5DED"/>
    <w:rsid w:val="008E25CA"/>
    <w:rsid w:val="008F34FC"/>
    <w:rsid w:val="00922643"/>
    <w:rsid w:val="00944CD7"/>
    <w:rsid w:val="009831B2"/>
    <w:rsid w:val="009A1ABE"/>
    <w:rsid w:val="009C133A"/>
    <w:rsid w:val="009E21A4"/>
    <w:rsid w:val="009F22C6"/>
    <w:rsid w:val="00A048B7"/>
    <w:rsid w:val="00A07E50"/>
    <w:rsid w:val="00A15397"/>
    <w:rsid w:val="00A3434D"/>
    <w:rsid w:val="00A35CE0"/>
    <w:rsid w:val="00A4462E"/>
    <w:rsid w:val="00A44AA4"/>
    <w:rsid w:val="00A53EE9"/>
    <w:rsid w:val="00A61623"/>
    <w:rsid w:val="00A84687"/>
    <w:rsid w:val="00AB0A0E"/>
    <w:rsid w:val="00AD3B6E"/>
    <w:rsid w:val="00AD7828"/>
    <w:rsid w:val="00B1751F"/>
    <w:rsid w:val="00B3300C"/>
    <w:rsid w:val="00B56722"/>
    <w:rsid w:val="00B74D39"/>
    <w:rsid w:val="00B91DA4"/>
    <w:rsid w:val="00C0605D"/>
    <w:rsid w:val="00C12630"/>
    <w:rsid w:val="00C34562"/>
    <w:rsid w:val="00C3774E"/>
    <w:rsid w:val="00C57456"/>
    <w:rsid w:val="00C65387"/>
    <w:rsid w:val="00C87FAB"/>
    <w:rsid w:val="00C91FF7"/>
    <w:rsid w:val="00C94E53"/>
    <w:rsid w:val="00CC46BD"/>
    <w:rsid w:val="00D0048E"/>
    <w:rsid w:val="00D06A12"/>
    <w:rsid w:val="00D23E7A"/>
    <w:rsid w:val="00D61063"/>
    <w:rsid w:val="00DB35AF"/>
    <w:rsid w:val="00DD72D7"/>
    <w:rsid w:val="00DF5B88"/>
    <w:rsid w:val="00E0589E"/>
    <w:rsid w:val="00E241FA"/>
    <w:rsid w:val="00E2595E"/>
    <w:rsid w:val="00E35374"/>
    <w:rsid w:val="00E379B3"/>
    <w:rsid w:val="00E50C19"/>
    <w:rsid w:val="00E64655"/>
    <w:rsid w:val="00E73081"/>
    <w:rsid w:val="00E856C9"/>
    <w:rsid w:val="00EB6A8B"/>
    <w:rsid w:val="00EF38C6"/>
    <w:rsid w:val="00F679C7"/>
    <w:rsid w:val="00F7711A"/>
    <w:rsid w:val="00FA0D58"/>
    <w:rsid w:val="00FA56F4"/>
    <w:rsid w:val="00FB4EDA"/>
    <w:rsid w:val="00FC4766"/>
    <w:rsid w:val="00FD3BD5"/>
    <w:rsid w:val="00FE3DC8"/>
    <w:rsid w:val="00FF0A46"/>
    <w:rsid w:val="00FF0A78"/>
    <w:rsid w:val="04073F84"/>
    <w:rsid w:val="0B60750A"/>
    <w:rsid w:val="10686488"/>
    <w:rsid w:val="10DF728A"/>
    <w:rsid w:val="1264200E"/>
    <w:rsid w:val="141C5B77"/>
    <w:rsid w:val="18CB028E"/>
    <w:rsid w:val="18D8339D"/>
    <w:rsid w:val="1A21388F"/>
    <w:rsid w:val="1A570D2F"/>
    <w:rsid w:val="1A967FA9"/>
    <w:rsid w:val="20C63024"/>
    <w:rsid w:val="28FB0B8D"/>
    <w:rsid w:val="2D2B7942"/>
    <w:rsid w:val="2D46481D"/>
    <w:rsid w:val="2E733B28"/>
    <w:rsid w:val="31852B5A"/>
    <w:rsid w:val="32627F5E"/>
    <w:rsid w:val="32D01238"/>
    <w:rsid w:val="3D720533"/>
    <w:rsid w:val="3DFC59A8"/>
    <w:rsid w:val="3ECF245E"/>
    <w:rsid w:val="3FB96314"/>
    <w:rsid w:val="43841910"/>
    <w:rsid w:val="535B3BFE"/>
    <w:rsid w:val="53A44FAF"/>
    <w:rsid w:val="594329EC"/>
    <w:rsid w:val="5BEE1540"/>
    <w:rsid w:val="5DE61A5D"/>
    <w:rsid w:val="62037DE5"/>
    <w:rsid w:val="63C04243"/>
    <w:rsid w:val="649C01C7"/>
    <w:rsid w:val="674A0E65"/>
    <w:rsid w:val="699A3F60"/>
    <w:rsid w:val="6E6074FA"/>
    <w:rsid w:val="72902E62"/>
    <w:rsid w:val="73C61104"/>
    <w:rsid w:val="74A130A2"/>
    <w:rsid w:val="776452EA"/>
    <w:rsid w:val="7B861AA6"/>
    <w:rsid w:val="7DC663B9"/>
    <w:rsid w:val="7FD2103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mbria" w:hAnsi="Cambria"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48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99"/>
    <w:pPr>
      <w:keepNext/>
      <w:keepLines/>
      <w:spacing w:before="260" w:after="260" w:line="416" w:lineRule="auto"/>
      <w:outlineLvl w:val="1"/>
    </w:pPr>
    <w:rPr>
      <w:rFonts w:ascii="Calibri" w:hAnsi="Calibri"/>
      <w:b/>
      <w:bCs/>
      <w:sz w:val="32"/>
      <w:szCs w:val="32"/>
    </w:rPr>
  </w:style>
  <w:style w:type="paragraph" w:styleId="4">
    <w:name w:val="heading 3"/>
    <w:basedOn w:val="1"/>
    <w:next w:val="1"/>
    <w:link w:val="17"/>
    <w:qFormat/>
    <w:uiPriority w:val="99"/>
    <w:pPr>
      <w:keepNext/>
      <w:keepLines/>
      <w:spacing w:before="260" w:after="260" w:line="416" w:lineRule="auto"/>
      <w:outlineLvl w:val="2"/>
    </w:pPr>
    <w:rPr>
      <w:b/>
      <w:bCs/>
      <w:sz w:val="32"/>
      <w:szCs w:val="32"/>
    </w:rPr>
  </w:style>
  <w:style w:type="paragraph" w:styleId="5">
    <w:name w:val="heading 4"/>
    <w:basedOn w:val="1"/>
    <w:next w:val="1"/>
    <w:link w:val="18"/>
    <w:qFormat/>
    <w:uiPriority w:val="99"/>
    <w:pPr>
      <w:keepNext/>
      <w:keepLines/>
      <w:spacing w:before="280" w:after="290" w:line="376" w:lineRule="auto"/>
      <w:outlineLvl w:val="3"/>
    </w:pPr>
    <w:rPr>
      <w:rFonts w:ascii="Calibri" w:hAnsi="Calibri"/>
      <w:b/>
      <w:bCs/>
      <w:sz w:val="28"/>
      <w:szCs w:val="28"/>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Date"/>
    <w:basedOn w:val="1"/>
    <w:next w:val="1"/>
    <w:link w:val="19"/>
    <w:semiHidden/>
    <w:qFormat/>
    <w:uiPriority w:val="99"/>
    <w:pPr>
      <w:ind w:left="100" w:leftChars="2500"/>
    </w:pPr>
  </w:style>
  <w:style w:type="paragraph" w:styleId="7">
    <w:name w:val="Balloon Text"/>
    <w:basedOn w:val="1"/>
    <w:link w:val="20"/>
    <w:semiHidden/>
    <w:qFormat/>
    <w:uiPriority w:val="99"/>
    <w:rPr>
      <w:sz w:val="18"/>
      <w:szCs w:val="18"/>
    </w:rPr>
  </w:style>
  <w:style w:type="paragraph" w:styleId="8">
    <w:name w:val="footer"/>
    <w:basedOn w:val="1"/>
    <w:link w:val="21"/>
    <w:qFormat/>
    <w:uiPriority w:val="99"/>
    <w:pPr>
      <w:tabs>
        <w:tab w:val="center" w:pos="4153"/>
        <w:tab w:val="right" w:pos="8306"/>
      </w:tabs>
      <w:snapToGrid w:val="0"/>
      <w:jc w:val="left"/>
    </w:pPr>
    <w:rPr>
      <w:rFonts w:ascii="Cambria" w:hAnsi="Cambria" w:eastAsia="黑体"/>
      <w:sz w:val="18"/>
      <w:szCs w:val="18"/>
    </w:rPr>
  </w:style>
  <w:style w:type="paragraph" w:styleId="9">
    <w:name w:val="header"/>
    <w:basedOn w:val="1"/>
    <w:link w:val="22"/>
    <w:qFormat/>
    <w:uiPriority w:val="99"/>
    <w:pPr>
      <w:pBdr>
        <w:bottom w:val="single" w:color="auto" w:sz="6" w:space="1"/>
      </w:pBdr>
      <w:tabs>
        <w:tab w:val="center" w:pos="4153"/>
        <w:tab w:val="right" w:pos="8306"/>
      </w:tabs>
      <w:snapToGrid w:val="0"/>
      <w:jc w:val="center"/>
    </w:pPr>
    <w:rPr>
      <w:rFonts w:ascii="Cambria" w:hAnsi="Cambria" w:eastAsia="黑体"/>
      <w:sz w:val="18"/>
      <w:szCs w:val="18"/>
    </w:rPr>
  </w:style>
  <w:style w:type="paragraph" w:styleId="10">
    <w:name w:val="Subtitle"/>
    <w:basedOn w:val="1"/>
    <w:next w:val="1"/>
    <w:link w:val="23"/>
    <w:qFormat/>
    <w:uiPriority w:val="99"/>
    <w:pPr>
      <w:widowControl/>
      <w:spacing w:after="200" w:line="276" w:lineRule="auto"/>
      <w:jc w:val="left"/>
    </w:pPr>
    <w:rPr>
      <w:rFonts w:ascii="Calibri" w:hAnsi="Calibri"/>
      <w:i/>
      <w:iCs/>
      <w:color w:val="F0A22E"/>
      <w:spacing w:val="15"/>
      <w:kern w:val="0"/>
      <w:sz w:val="24"/>
    </w:rPr>
  </w:style>
  <w:style w:type="paragraph" w:styleId="11">
    <w:name w:val="Title"/>
    <w:basedOn w:val="1"/>
    <w:next w:val="1"/>
    <w:link w:val="24"/>
    <w:qFormat/>
    <w:uiPriority w:val="99"/>
    <w:pPr>
      <w:widowControl/>
      <w:pBdr>
        <w:bottom w:val="single" w:color="F0A22E" w:sz="8" w:space="4"/>
      </w:pBdr>
      <w:spacing w:after="300"/>
      <w:contextualSpacing/>
      <w:jc w:val="left"/>
    </w:pPr>
    <w:rPr>
      <w:rFonts w:ascii="Calibri" w:hAnsi="Calibri"/>
      <w:color w:val="3A2C24"/>
      <w:spacing w:val="5"/>
      <w:kern w:val="28"/>
      <w:sz w:val="52"/>
      <w:szCs w:val="52"/>
    </w:rPr>
  </w:style>
  <w:style w:type="table" w:styleId="13">
    <w:name w:val="Table Grid"/>
    <w:basedOn w:val="12"/>
    <w:qFormat/>
    <w:uiPriority w:val="9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5">
    <w:name w:val="标题 1 Char"/>
    <w:basedOn w:val="14"/>
    <w:link w:val="2"/>
    <w:qFormat/>
    <w:locked/>
    <w:uiPriority w:val="99"/>
    <w:rPr>
      <w:rFonts w:ascii="Times New Roman" w:hAnsi="Times New Roman" w:eastAsia="宋体" w:cs="Times New Roman"/>
      <w:b/>
      <w:bCs/>
      <w:kern w:val="44"/>
      <w:sz w:val="44"/>
      <w:szCs w:val="44"/>
    </w:rPr>
  </w:style>
  <w:style w:type="character" w:customStyle="1" w:styleId="16">
    <w:name w:val="标题 2 Char"/>
    <w:basedOn w:val="14"/>
    <w:link w:val="3"/>
    <w:qFormat/>
    <w:locked/>
    <w:uiPriority w:val="99"/>
    <w:rPr>
      <w:rFonts w:ascii="Calibri" w:hAnsi="Calibri" w:eastAsia="宋体" w:cs="Times New Roman"/>
      <w:b/>
      <w:bCs/>
      <w:sz w:val="32"/>
      <w:szCs w:val="32"/>
    </w:rPr>
  </w:style>
  <w:style w:type="character" w:customStyle="1" w:styleId="17">
    <w:name w:val="标题 3 Char"/>
    <w:basedOn w:val="14"/>
    <w:link w:val="4"/>
    <w:qFormat/>
    <w:locked/>
    <w:uiPriority w:val="99"/>
    <w:rPr>
      <w:rFonts w:ascii="Times New Roman" w:hAnsi="Times New Roman" w:eastAsia="宋体" w:cs="Times New Roman"/>
      <w:b/>
      <w:bCs/>
      <w:sz w:val="32"/>
      <w:szCs w:val="32"/>
    </w:rPr>
  </w:style>
  <w:style w:type="character" w:customStyle="1" w:styleId="18">
    <w:name w:val="标题 4 Char"/>
    <w:basedOn w:val="14"/>
    <w:link w:val="5"/>
    <w:qFormat/>
    <w:locked/>
    <w:uiPriority w:val="99"/>
    <w:rPr>
      <w:rFonts w:ascii="Calibri" w:hAnsi="Calibri" w:eastAsia="宋体" w:cs="Times New Roman"/>
      <w:b/>
      <w:bCs/>
      <w:sz w:val="28"/>
      <w:szCs w:val="28"/>
    </w:rPr>
  </w:style>
  <w:style w:type="character" w:customStyle="1" w:styleId="19">
    <w:name w:val="日期 Char"/>
    <w:basedOn w:val="14"/>
    <w:link w:val="6"/>
    <w:semiHidden/>
    <w:qFormat/>
    <w:locked/>
    <w:uiPriority w:val="99"/>
    <w:rPr>
      <w:rFonts w:ascii="Times New Roman" w:hAnsi="Times New Roman" w:eastAsia="宋体" w:cs="Times New Roman"/>
      <w:sz w:val="24"/>
      <w:szCs w:val="24"/>
    </w:rPr>
  </w:style>
  <w:style w:type="character" w:customStyle="1" w:styleId="20">
    <w:name w:val="批注框文本 Char"/>
    <w:basedOn w:val="14"/>
    <w:link w:val="7"/>
    <w:semiHidden/>
    <w:qFormat/>
    <w:locked/>
    <w:uiPriority w:val="99"/>
    <w:rPr>
      <w:rFonts w:ascii="Times New Roman" w:hAnsi="Times New Roman" w:eastAsia="宋体" w:cs="Times New Roman"/>
      <w:sz w:val="18"/>
      <w:szCs w:val="18"/>
    </w:rPr>
  </w:style>
  <w:style w:type="character" w:customStyle="1" w:styleId="21">
    <w:name w:val="页脚 Char"/>
    <w:basedOn w:val="14"/>
    <w:link w:val="8"/>
    <w:qFormat/>
    <w:locked/>
    <w:uiPriority w:val="99"/>
    <w:rPr>
      <w:rFonts w:cs="Times New Roman"/>
      <w:sz w:val="18"/>
      <w:szCs w:val="18"/>
    </w:rPr>
  </w:style>
  <w:style w:type="character" w:customStyle="1" w:styleId="22">
    <w:name w:val="页眉 Char"/>
    <w:basedOn w:val="14"/>
    <w:link w:val="9"/>
    <w:qFormat/>
    <w:locked/>
    <w:uiPriority w:val="99"/>
    <w:rPr>
      <w:rFonts w:cs="Times New Roman"/>
      <w:sz w:val="18"/>
      <w:szCs w:val="18"/>
    </w:rPr>
  </w:style>
  <w:style w:type="character" w:customStyle="1" w:styleId="23">
    <w:name w:val="副标题 Char"/>
    <w:basedOn w:val="14"/>
    <w:link w:val="10"/>
    <w:qFormat/>
    <w:locked/>
    <w:uiPriority w:val="99"/>
    <w:rPr>
      <w:rFonts w:ascii="Calibri" w:hAnsi="Calibri" w:eastAsia="宋体" w:cs="Times New Roman"/>
      <w:i/>
      <w:iCs/>
      <w:color w:val="F0A22E"/>
      <w:spacing w:val="15"/>
      <w:kern w:val="0"/>
      <w:sz w:val="24"/>
      <w:szCs w:val="24"/>
    </w:rPr>
  </w:style>
  <w:style w:type="character" w:customStyle="1" w:styleId="24">
    <w:name w:val="标题 Char"/>
    <w:basedOn w:val="14"/>
    <w:link w:val="11"/>
    <w:qFormat/>
    <w:locked/>
    <w:uiPriority w:val="99"/>
    <w:rPr>
      <w:rFonts w:ascii="Calibri" w:hAnsi="Calibri" w:eastAsia="宋体" w:cs="Times New Roman"/>
      <w:color w:val="3A2C24"/>
      <w:spacing w:val="5"/>
      <w:kern w:val="28"/>
      <w:sz w:val="52"/>
      <w:szCs w:val="52"/>
    </w:rPr>
  </w:style>
  <w:style w:type="paragraph" w:styleId="25">
    <w:name w:val="No Spacing"/>
    <w:link w:val="26"/>
    <w:qFormat/>
    <w:uiPriority w:val="99"/>
    <w:pPr>
      <w:spacing w:after="160" w:line="480" w:lineRule="auto"/>
    </w:pPr>
    <w:rPr>
      <w:rFonts w:ascii="Cambria" w:hAnsi="Cambria" w:eastAsia="黑体" w:cs="Times New Roman"/>
      <w:sz w:val="22"/>
      <w:szCs w:val="22"/>
      <w:lang w:val="en-US" w:eastAsia="zh-CN" w:bidi="ar-SA"/>
    </w:rPr>
  </w:style>
  <w:style w:type="character" w:customStyle="1" w:styleId="26">
    <w:name w:val="无间隔 Char"/>
    <w:basedOn w:val="14"/>
    <w:link w:val="25"/>
    <w:qFormat/>
    <w:locked/>
    <w:uiPriority w:val="99"/>
    <w:rPr>
      <w:rFonts w:cs="Times New Roman"/>
      <w:sz w:val="22"/>
      <w:szCs w:val="22"/>
      <w:lang w:val="en-US" w:eastAsia="zh-CN" w:bidi="ar-SA"/>
    </w:rPr>
  </w:style>
  <w:style w:type="character" w:customStyle="1" w:styleId="27">
    <w:name w:val="Style1"/>
    <w:basedOn w:val="14"/>
    <w:qFormat/>
    <w:uiPriority w:val="99"/>
    <w:rPr>
      <w:rFonts w:ascii="Cambria" w:hAnsi="黑体" w:eastAsia="黑体" w:cs="Times New Roman"/>
      <w:sz w:val="22"/>
      <w:szCs w:val="22"/>
      <w:lang w:eastAsia="zh-CN"/>
    </w:rPr>
  </w:style>
  <w:style w:type="character" w:customStyle="1" w:styleId="28">
    <w:name w:val="Style2"/>
    <w:basedOn w:val="14"/>
    <w:qFormat/>
    <w:uiPriority w:val="99"/>
    <w:rPr>
      <w:rFonts w:ascii="Cambria" w:hAnsi="黑体" w:eastAsia="黑体" w:cs="Times New Roman"/>
      <w:sz w:val="22"/>
      <w:szCs w:val="22"/>
      <w:lang w:eastAsia="zh-CN"/>
    </w:rPr>
  </w:style>
  <w:style w:type="character" w:customStyle="1" w:styleId="29">
    <w:name w:val="Style3"/>
    <w:basedOn w:val="14"/>
    <w:qFormat/>
    <w:uiPriority w:val="99"/>
    <w:rPr>
      <w:rFonts w:ascii="Cambria" w:hAnsi="黑体" w:eastAsia="黑体" w:cs="Times New Roman"/>
      <w:sz w:val="22"/>
      <w:szCs w:val="22"/>
      <w:lang w:eastAsia="zh-CN"/>
    </w:rPr>
  </w:style>
  <w:style w:type="character" w:customStyle="1" w:styleId="30">
    <w:name w:val="Style4"/>
    <w:basedOn w:val="14"/>
    <w:qFormat/>
    <w:uiPriority w:val="99"/>
    <w:rPr>
      <w:rFonts w:ascii="Cambria" w:hAnsi="黑体" w:eastAsia="黑体" w:cs="Times New Roman"/>
      <w:sz w:val="22"/>
      <w:szCs w:val="22"/>
      <w:lang w:eastAsia="zh-CN"/>
    </w:rPr>
  </w:style>
  <w:style w:type="character" w:customStyle="1" w:styleId="31">
    <w:name w:val="Style5"/>
    <w:basedOn w:val="14"/>
    <w:qFormat/>
    <w:uiPriority w:val="99"/>
    <w:rPr>
      <w:rFonts w:ascii="Cambria" w:hAnsi="黑体" w:eastAsia="黑体" w:cs="Times New Roman"/>
      <w:sz w:val="22"/>
      <w:szCs w:val="22"/>
      <w:lang w:eastAsia="zh-CN"/>
    </w:rPr>
  </w:style>
  <w:style w:type="paragraph" w:styleId="32">
    <w:name w:val="List Paragraph"/>
    <w:basedOn w:val="1"/>
    <w:qFormat/>
    <w:uiPriority w:val="99"/>
    <w:pPr>
      <w:ind w:firstLine="420" w:firstLineChars="200"/>
    </w:pPr>
  </w:style>
  <w:style w:type="paragraph" w:customStyle="1" w:styleId="33">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3.jpeg"/><Relationship Id="rId23" Type="http://schemas.openxmlformats.org/officeDocument/2006/relationships/image" Target="media/image12.emf"/><Relationship Id="rId22" Type="http://schemas.openxmlformats.org/officeDocument/2006/relationships/image" Target="media/image11.emf"/><Relationship Id="rId21" Type="http://schemas.openxmlformats.org/officeDocument/2006/relationships/image" Target="media/image10.emf"/><Relationship Id="rId20" Type="http://schemas.openxmlformats.org/officeDocument/2006/relationships/image" Target="media/image9.emf"/><Relationship Id="rId2" Type="http://schemas.openxmlformats.org/officeDocument/2006/relationships/settings" Target="settings.xml"/><Relationship Id="rId19" Type="http://schemas.openxmlformats.org/officeDocument/2006/relationships/image" Target="media/image8.emf"/><Relationship Id="rId18" Type="http://schemas.openxmlformats.org/officeDocument/2006/relationships/image" Target="media/image7.emf"/><Relationship Id="rId17" Type="http://schemas.openxmlformats.org/officeDocument/2006/relationships/image" Target="media/image6.emf"/><Relationship Id="rId16" Type="http://schemas.openxmlformats.org/officeDocument/2006/relationships/image" Target="media/image5.emf"/><Relationship Id="rId15" Type="http://schemas.openxmlformats.org/officeDocument/2006/relationships/image" Target="media/image4.emf"/><Relationship Id="rId14" Type="http://schemas.openxmlformats.org/officeDocument/2006/relationships/image" Target="media/image3.emf"/><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9"/>
    <customShpInfo spid="_x0000_s1030"/>
    <customShpInfo spid="_x0000_s1028"/>
    <customShpInfo spid="_x0000_s1032"/>
    <customShpInfo spid="_x0000_s1033"/>
    <customShpInfo spid="_x0000_s1031"/>
    <customShpInfo spid="_x0000_s1035"/>
    <customShpInfo spid="_x0000_s1037"/>
    <customShpInfo spid="_x0000_s1038"/>
    <customShpInfo spid="_x0000_s1036"/>
    <customShpInfo spid="_x0000_s1040"/>
    <customShpInfo spid="_x0000_s1130"/>
    <customShpInfo spid="_x0000_s1131"/>
    <customShpInfo spid="_x0000_s1129"/>
    <customShpInfo spid="_x0000_s1133"/>
    <customShpInfo spid="_x0000_s1134"/>
    <customShpInfo spid="_x0000_s1132"/>
    <customShpInfo spid="_x0000_s1136"/>
    <customShpInfo spid="_x0000_s1137"/>
    <customShpInfo spid="_x0000_s1135"/>
    <customShpInfo spid="_x0000_s1139"/>
    <customShpInfo spid="_x0000_s1140"/>
    <customShpInfo spid="_x0000_s1138"/>
    <customShpInfo spid="_x0000_s1142"/>
    <customShpInfo spid="_x0000_s1143"/>
    <customShpInfo spid="_x0000_s1141"/>
    <customShpInfo spid="_x0000_s1145"/>
    <customShpInfo spid="_x0000_s1146"/>
    <customShpInfo spid="_x0000_s1144"/>
    <customShpInfo spid="_x0000_s1148"/>
    <customShpInfo spid="_x0000_s1149"/>
    <customShpInfo spid="_x0000_s1147"/>
    <customShpInfo spid="_x0000_s1151"/>
    <customShpInfo spid="_x0000_s1152"/>
    <customShpInfo spid="_x0000_s1150"/>
    <customShpInfo spid="_x0000_s1154"/>
    <customShpInfo spid="_x0000_s1155"/>
    <customShpInfo spid="_x0000_s1153"/>
    <customShpInfo spid="_x0000_s1157"/>
    <customShpInfo spid="_x0000_s1158"/>
    <customShpInfo spid="_x0000_s1156"/>
    <customShpInfo spid="_x0000_s1072"/>
    <customShpInfo spid="_x0000_s1074"/>
    <customShpInfo spid="_x0000_s1075"/>
    <customShpInfo spid="_x0000_s1073"/>
    <customShpInfo spid="_x0000_s1083"/>
    <customShpInfo spid="_x0000_s1084"/>
    <customShpInfo spid="_x0000_s1082"/>
    <customShpInfo spid="_x0000_s1101"/>
    <customShpInfo spid="_x0000_s1102"/>
    <customShpInfo spid="_x0000_s1100"/>
    <customShpInfo spid="_x0000_s1107"/>
    <customShpInfo spid="_x0000_s1108"/>
    <customShpInfo spid="_x0000_s1106"/>
    <customShpInfo spid="_x0000_s1110"/>
    <customShpInfo spid="_x0000_s1111"/>
    <customShpInfo spid="_x0000_s1109"/>
    <customShpInfo spid="_x0000_s1116"/>
    <customShpInfo spid="_x0000_s1117"/>
    <customShpInfo spid="_x0000_s1115"/>
    <customShpInfo spid="_x0000_s1119"/>
    <customShpInfo spid="_x0000_s1121"/>
    <customShpInfo spid="_x0000_s1122"/>
    <customShpInfo spid="_x0000_s1120"/>
    <customShpInfo spid="_x0000_s1124"/>
    <customShpInfo spid="_x0000_s1125"/>
    <customShpInfo spid="_x0000_s1123"/>
    <customShpInfo spid="_x0000_s1127"/>
    <customShpInfo spid="_x0000_s1128"/>
    <customShpInfo spid="_x0000_s11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C43624-550A-4EC0-B08C-A27317634AB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Pages>
  <Words>5316</Words>
  <Characters>558</Characters>
  <Lines>4</Lines>
  <Paragraphs>11</Paragraphs>
  <TotalTime>0</TotalTime>
  <ScaleCrop>false</ScaleCrop>
  <LinksUpToDate>false</LinksUpToDate>
  <CharactersWithSpaces>5863</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2021-05-19T07:58:00Z</dcterms:created>
  <dc:creator>User</dc:creator>
  <cp:lastModifiedBy>Administrator</cp:lastModifiedBy>
  <cp:lastPrinted>2019-08-02T01:01:00Z</cp:lastPrinted>
  <dcterms:modified xsi:type="dcterms:W3CDTF">2021-06-23T05:15:52Z</dcterms:modified>
  <dc:subject>石家庄市xxx部门</dc:subject>
  <dc:title>2017年度部门决算</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E527946446394B18901AE5474DF65DCA</vt:lpwstr>
  </property>
</Properties>
</file>