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5" w:type="first"/>
          <w:footerReference r:id="rId8" w:type="first"/>
          <w:headerReference r:id="rId3" w:type="default"/>
          <w:footerReference r:id="rId6" w:type="default"/>
          <w:headerReference r:id="rId4" w:type="even"/>
          <w:footerReference r:id="rId7" w:type="even"/>
          <w:pgSz w:w="11906" w:h="16838"/>
          <w:pgMar w:top="0" w:right="0" w:bottom="0" w:left="0" w:header="851" w:footer="992" w:gutter="0"/>
          <w:cols w:space="425" w:num="1"/>
          <w:titlePg/>
          <w:docGrid w:type="lines" w:linePitch="312" w:charSpace="0"/>
        </w:sectPr>
      </w:pPr>
      <w:r>
        <w:pict>
          <v:shape id="文本框 10" o:spid="_x0000_s1033" o:spt="202" type="#_x0000_t202" style="position:absolute;left:0pt;margin-left:106.25pt;margin-top:693.55pt;height:79.95pt;width:404.15pt;z-index:251664384;mso-width-relative:page;mso-height-relative:page;" filled="f" stroked="f" coordsize="21600,21600">
            <v:path/>
            <v:fill on="f" focussize="0,0"/>
            <v:stroke on="f" joinstyle="miter"/>
            <v:imagedata o:title=""/>
            <o:lock v:ext="edit"/>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二〇二〇年九月</w:t>
                  </w:r>
                </w:p>
              </w:txbxContent>
            </v:textbox>
          </v:shape>
        </w:pict>
      </w:r>
      <w:r>
        <w:pict>
          <v:shape id="椭圆 8" o:spid="_x0000_s1034" o:spt="3" type="#_x0000_t3" style="position:absolute;left:0pt;margin-left:53.5pt;margin-top:232.45pt;height:121.95pt;width:121.95pt;z-index:251661312;v-text-anchor:middle;mso-width-relative:page;mso-height-relative:page;" stroked="f" coordsize="21600,21600">
            <v:path/>
            <v:fill focussize="0,0"/>
            <v:stroke on="f" weight="1pt" joinstyle="miter"/>
            <v:imagedata o:title=""/>
            <o:lock v:ext="edit"/>
          </v:shape>
        </w:pict>
      </w:r>
      <w:r>
        <w:pict>
          <v:rect id="矩形 14" o:spid="_x0000_s1035" o:spt="1" style="position:absolute;left:0pt;margin-left:33.6pt;margin-top:256.75pt;height:69.6pt;width:160.65pt;z-index:251666432;mso-width-relative:page;mso-height-relative:page;" filled="f" stroked="f" coordsize="21600,21600">
            <v:path/>
            <v:fill on="f" focussize="0,0"/>
            <v:stroke on="f"/>
            <v:imagedata o:title=""/>
            <o:lock v:ext="edit"/>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w:r>
      <w:r>
        <w:pict>
          <v:shape id="椭圆 9" o:spid="_x0000_s1036" o:spt="3" type="#_x0000_t3" style="position:absolute;left:0pt;margin-left:62.2pt;margin-top:242.75pt;height:103.45pt;width:103.45pt;z-index:251665408;v-text-anchor:middle;mso-width-relative:page;mso-height-relative:page;" fillcolor="#1F2959" filled="t" stroked="f" coordsize="21600,21600">
            <v:path/>
            <v:fill on="t" focussize="0,0"/>
            <v:stroke on="f" weight="1pt" joinstyle="miter"/>
            <v:imagedata o:title=""/>
            <o:lock v:ext="edit"/>
          </v:shape>
        </w:pict>
      </w:r>
      <w:r>
        <w:pict>
          <v:group id="_x0000_s1037" o:spid="_x0000_s1037" o:spt="203" style="position:absolute;left:0pt;margin-left:1.25pt;margin-top:821.7pt;height:21.45pt;width:595.25pt;z-index:251662336;mso-width-relative:page;mso-height-relative:page;" coordorigin="1483,16692" coordsize="11905,429203203">
            <o:lock v:ext="edit"/>
            <v:rect id="矩形 6" o:spid="_x0000_s1038" o:spt="1" style="position:absolute;left:1483;top:16692;height:428;width:1125;v-text-anchor:middle;" fillcolor="#FDBC11" filled="t" stroked="f" coordsize="21600,21600">
              <v:path/>
              <v:fill on="t" focussize="0,0"/>
              <v:stroke on="f" weight="1pt"/>
              <v:imagedata o:title=""/>
              <o:lock v:ext="edit"/>
            </v:rect>
            <v:rect id="矩形 7" o:spid="_x0000_s1039" o:spt="1" style="position:absolute;left:2608;top:16693;height:428;width:10780;v-text-anchor:middle;" fillcolor="#1F2959" filled="t" stroked="f" coordsize="21600,21600">
              <v:path/>
              <v:fill on="t" focussize="0,0"/>
              <v:stroke on="f" weight="1pt"/>
              <v:imagedata o:title=""/>
              <o:lock v:ext="edit"/>
            </v:rect>
          </v:group>
        </w:pict>
      </w:r>
      <w:r>
        <w:pict>
          <v:rect id="矩形 11" o:spid="_x0000_s1043" o:spt="1" style="position:absolute;left:0pt;margin-left:184.75pt;margin-top:286.6pt;height:31.25pt;width:339.65pt;mso-wrap-style:none;z-index:251663360;mso-width-relative:page;mso-height-relative:page;" filled="f" stroked="f" coordsize="21600,21600">
            <v:path/>
            <v:fill on="f" focussize="0,0"/>
            <v:stroke on="f"/>
            <v:imagedata o:title=""/>
            <o:lock v:ext="edit"/>
            <v:textbox style="mso-fit-shape-to-text:t;">
              <w:txbxContent>
                <w:p/>
              </w:txbxContent>
            </v:textbox>
          </v:rect>
        </w:pict>
      </w:r>
    </w:p>
    <w:p/>
    <w:p>
      <w:pPr>
        <w:jc w:val="center"/>
        <w:rPr>
          <w:rFonts w:ascii="黑体" w:hAnsi="黑体" w:eastAsia="黑体" w:cs="黑体"/>
          <w:sz w:val="56"/>
          <w:szCs w:val="72"/>
        </w:rPr>
      </w:pPr>
      <w:r>
        <w:pict>
          <v:group id="_x0000_s1040" o:spid="_x0000_s1040" o:spt="203" style="position:absolute;left:0pt;margin-left:-71.55pt;margin-top:26.65pt;height:69.6pt;width:600.25pt;z-index:-251657216;mso-width-relative:page;mso-height-relative:page;" coordorigin="13622,-72069109" coordsize="12005,1392046203">
            <o:lock v:ext="edit"/>
            <v:rect id="矩形 5" o:spid="_x0000_s1041" o:spt="1" style="position:absolute;left:13622;top:283;height:6170;width:12005;v-text-anchor:middle;" fillcolor="#FDBC11" filled="t" stroked="f" coordsize="21600,21600">
              <v:path/>
              <v:fill on="t" focussize="0,0"/>
              <v:stroke on="f" weight="1pt"/>
              <v:imagedata o:title=""/>
              <o:lock v:ext="edit"/>
            </v:rect>
            <v:shape id="_x0000_s1042" o:spid="_x0000_s1042" o:spt="202" type="#_x0000_t202" style="position:absolute;left:17229;top:-72069109;height:1392046203;width:8083;" filled="f" stroked="f" coordsize="21600,21600">
              <v:path/>
              <v:fill on="f" focussize="0,0"/>
              <v:stroke on="f" joinstyle="miter"/>
              <v:imagedata o:title=""/>
              <o:lock v:ext="edit"/>
              <v:textbox style="mso-fit-shape-to-text:t;">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w:r>
    </w:p>
    <w:p>
      <w:pPr>
        <w:jc w:val="center"/>
        <w:rPr>
          <w:rFonts w:ascii="黑体" w:hAnsi="黑体" w:eastAsia="黑体" w:cs="黑体"/>
          <w:sz w:val="56"/>
          <w:szCs w:val="72"/>
        </w:rPr>
      </w:pPr>
    </w:p>
    <w:p>
      <w:pPr>
        <w:rPr>
          <w:rFonts w:ascii="黑体" w:hAnsi="Times New Roman" w:eastAsia="黑体"/>
          <w:sz w:val="48"/>
          <w:szCs w:val="48"/>
        </w:rPr>
      </w:pPr>
      <w:r>
        <w:rPr>
          <w:rFonts w:ascii="黑体" w:hAnsi="Times New Roman" w:eastAsia="黑体"/>
          <w:sz w:val="48"/>
          <w:szCs w:val="48"/>
        </w:rPr>
        <w:br w:type="page"/>
      </w:r>
    </w:p>
    <w:p>
      <w:pPr>
        <w:tabs>
          <w:tab w:val="left" w:pos="2728"/>
        </w:tabs>
        <w:rPr>
          <w:rFonts w:ascii="黑体" w:hAnsi="Times New Roman" w:eastAsia="黑体"/>
          <w:sz w:val="48"/>
          <w:szCs w:val="48"/>
        </w:rPr>
      </w:pPr>
      <w:r>
        <w:rPr>
          <w:rFonts w:ascii="黑体" w:hAnsi="Times New Roman" w:eastAsia="黑体"/>
          <w:sz w:val="48"/>
          <w:szCs w:val="48"/>
        </w:rPr>
        <w:tab/>
      </w:r>
    </w:p>
    <w:p>
      <w:pPr>
        <w:rPr>
          <w:rFonts w:ascii="黑体" w:hAnsi="黑体" w:eastAsia="黑体" w:cs="黑体"/>
          <w:sz w:val="56"/>
          <w:szCs w:val="72"/>
        </w:rPr>
      </w:pPr>
    </w:p>
    <w:p>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中共阜平县委机构编制委员会办公室</w:t>
      </w:r>
    </w:p>
    <w:p>
      <w:pPr>
        <w:snapToGrid w:val="0"/>
        <w:jc w:val="center"/>
        <w:rPr>
          <w:rFonts w:ascii="楷体_GB2312" w:hAnsi="楷体_GB2312" w:eastAsia="楷体_GB2312" w:cs="楷体_GB2312"/>
          <w:color w:val="000000"/>
          <w:kern w:val="0"/>
          <w:sz w:val="44"/>
          <w:szCs w:val="44"/>
        </w:rPr>
        <w:sectPr>
          <w:headerReference r:id="rId10" w:type="first"/>
          <w:footerReference r:id="rId11" w:type="first"/>
          <w:headerReference r:id="rId9"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rPr>
        <w:t>二〇二〇年九月</w:t>
      </w:r>
    </w:p>
    <w:p>
      <w:pPr>
        <w:widowControl/>
        <w:spacing w:line="600" w:lineRule="exact"/>
        <w:jc w:val="left"/>
        <w:rPr>
          <w:rFonts w:ascii="黑体" w:hAnsi="黑体" w:eastAsia="黑体" w:cs="黑体"/>
          <w:bCs/>
          <w:sz w:val="32"/>
          <w:szCs w:val="32"/>
          <w:highlight w:val="yellow"/>
        </w:rPr>
      </w:pPr>
    </w:p>
    <w:p>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w:t>
      </w:r>
      <w:r>
        <w:rPr>
          <w:rFonts w:ascii="Times New Roman" w:hAnsi="Times New Roman" w:eastAsia="黑体"/>
          <w:sz w:val="32"/>
          <w:szCs w:val="32"/>
        </w:rPr>
        <w:t xml:space="preserve">  </w:t>
      </w:r>
      <w:r>
        <w:rPr>
          <w:rFonts w:hint="eastAsia" w:ascii="Times New Roman" w:hAnsi="Times New Roman" w:eastAsia="黑体"/>
          <w:sz w:val="32"/>
          <w:szCs w:val="32"/>
        </w:rPr>
        <w:t>名词解释</w:t>
      </w:r>
    </w:p>
    <w:p>
      <w:pPr>
        <w:widowControl/>
        <w:spacing w:after="160" w:line="580" w:lineRule="exact"/>
        <w:ind w:firstLine="640" w:firstLineChars="200"/>
        <w:rPr>
          <w:rFonts w:ascii="Times New Roman" w:hAnsi="Times New Roman" w:eastAsia="仿宋_GB2312"/>
          <w:sz w:val="20"/>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headerReference r:id="rId13" w:type="first"/>
          <w:footerReference r:id="rId15" w:type="first"/>
          <w:headerReference r:id="rId12" w:type="default"/>
          <w:footerReference r:id="rId14" w:type="default"/>
          <w:type w:val="continuous"/>
          <w:pgSz w:w="11906" w:h="16838"/>
          <w:pgMar w:top="2041" w:right="1531" w:bottom="2041"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ind w:firstLine="840" w:firstLineChars="400"/>
        <w:rPr>
          <w:rFonts w:ascii="黑体" w:hAnsi="黑体" w:eastAsia="黑体"/>
          <w:sz w:val="32"/>
          <w:szCs w:val="32"/>
        </w:rPr>
      </w:pPr>
      <w:r>
        <w:pict>
          <v:shape id="_x0000_s1053" o:spid="_x0000_s1053" o:spt="202" type="#_x0000_t202" style="position:absolute;left:0pt;margin-left:-85.7pt;margin-top:80.7pt;height:263.1pt;width:613.65pt;z-index:251667456;v-text-anchor:middle;mso-width-relative:page;mso-height-relative:page;" fillcolor="#FFD966" filled="t" stroked="t" coordsize="21600,21600">
            <v:path/>
            <v:fill type="pattern" on="t" focussize="0,0"/>
            <v:stroke weight="1pt" color="#FFD966" joinstyle="round"/>
            <v:imagedata o:title=""/>
            <o:lock v:ext="edit"/>
            <v:textbo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w:r>
      <w:r>
        <w:br w:type="page"/>
      </w:r>
      <w:r>
        <w:rPr>
          <w:rFonts w:hint="eastAsia" w:ascii="黑体" w:hAnsi="黑体" w:eastAsia="黑体"/>
          <w:sz w:val="32"/>
          <w:szCs w:val="32"/>
        </w:rPr>
        <w:t>一、</w:t>
      </w:r>
      <w:r>
        <w:rPr>
          <w:rFonts w:hint="eastAsia" w:ascii="黑体" w:hAnsi="黑体" w:eastAsia="黑体" w:cs="黑体"/>
          <w:b/>
          <w:bCs/>
          <w:kern w:val="0"/>
          <w:sz w:val="32"/>
          <w:szCs w:val="32"/>
        </w:rPr>
        <w:t>部门职责</w:t>
      </w:r>
    </w:p>
    <w:p>
      <w:pPr>
        <w:pStyle w:val="14"/>
        <w:widowControl/>
        <w:spacing w:line="50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根据中共阜平县委办公室《关于印发中共阜平县委机构编制委员会办公室职能配置内设机构和人员编制规定的通知》（阜办字[2019]12号），现将我办部门概况说明如下：</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1）贯彻落实党中央和省委、市委关于行政管理体制和机构改革以及机构编制管理的政策法规，拟订全县行政管理体制和机构改革以及机构编制管理措施并监督实施。管理和指导全县党政机关、人大、政协、监察委、法院、检察院机关，各民主党派、人民团体机关以及全县事业单位的机构编制工作。</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2）组织拟订全县行政管理体制改革和县委、县政府机构改革方案并组织实施。审核各乡镇的行政管理体制和机构改革方案；指导全县行政管理体制和机构改革以及机构编制管理工作；负责行政执法体制改革工作。</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（3）协调县委、县政府各部门的职能配置及其调整。协调县委、县政府部门之间以及县直各部门与各乡镇之间的职责分工。</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4）审核或审批县委、县政府各部门及各部门的派出机构的职能配置、机构设置、人员编制和领导职数；审核县人大、县政协、县监察委、县法院、县检察院、县级各民主党派、人民团体机关的职能配置、机构设置、人员编制和领导职数。</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（5）审核各乡（镇）机构设置和调整事宜；审核各乡（镇）机构编制分类；负责省、市垂直管理部门或双重管理部门需要承办的机构编制有关事宜。</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6）组织拟订全县事业单位管理体制和机构改革方案。制定全县事业单位人员管理办法，负责推进事业单位机构编制标准体系建设；审核或审批县委、县政府直属事业单位和县直部门所属事业单位的机构编制事宜；指导乡（镇）及以下事业单位管理体制改革和机构编制管理工作；审核全县副科级以上事业单位的机构编制事宜，审批科级以下事业单位的机构编制事宜；负责全县党政群机关统一社会信用代码赋码管理工作，负责全县事业单位法人登记管理和监督检查工作。</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（7）指导全县开发区（园区）行政管理体制改革工作。指导拟订开发区（园区）职能配置、机构设置、人员编制和领导职数。</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（8）负责全县机构编制总量控制和动态管理。会同有关部门负责机构编制实名制工作；负责全县机关事业单位编制使用核准；建立健全机构编制部门与有关部门间的协调配合约束机制。</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（9）负责对全县各级行政、事业单位管理体制和机构改革及机构编制执行情况的跟踪评估和监督检查。负责受理违反机构编制法规、纪律的检举、控告和投诉，对违反机构编制法规、纪律问题进行调查处理。</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（10）负责全县机构编制电子政务和信息化工作。负责全县机构编制统计工作，负责机构编制网站的建设管理以及网络安全；指导全县党政群机关、事业单位和其他非营利性单位网上名称管理工作。</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（11）组织开展行政体制改革及机构编制管理创新基础性和前瞻性研究。</w:t>
      </w:r>
    </w:p>
    <w:p>
      <w:pPr>
        <w:spacing w:line="500" w:lineRule="exact"/>
        <w:ind w:firstLine="300" w:firstLineChars="100"/>
        <w:rPr>
          <w:rFonts w:ascii="仿宋" w:hAnsi="仿宋" w:eastAsia="仿宋"/>
          <w:sz w:val="30"/>
          <w:szCs w:val="30"/>
        </w:rPr>
      </w:pPr>
      <w:r>
        <w:rPr>
          <w:rFonts w:hint="eastAsia" w:ascii="仿宋" w:hAnsi="仿宋" w:eastAsia="仿宋"/>
          <w:sz w:val="30"/>
          <w:szCs w:val="30"/>
        </w:rPr>
        <w:t>（12）完成县委、县政府和县委机构编制委员会交办的其他任务。</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年度本部门决算汇编范围的独立核算单位（以下简称“单位”）共</w:t>
      </w:r>
      <w:r>
        <w:rPr>
          <w:rFonts w:ascii="仿宋_GB2312" w:hAnsi="Calibri" w:eastAsia="仿宋_GB2312" w:cs="ArialUnicodeMS"/>
          <w:kern w:val="0"/>
          <w:sz w:val="32"/>
          <w:szCs w:val="32"/>
        </w:rPr>
        <w:t xml:space="preserve"> </w:t>
      </w:r>
      <w:r>
        <w:rPr>
          <w:rFonts w:hint="eastAsia" w:ascii="仿宋_GB2312" w:hAnsi="Calibri" w:eastAsia="仿宋_GB2312" w:cs="ArialUnicodeMS"/>
          <w:kern w:val="0"/>
          <w:sz w:val="32"/>
          <w:szCs w:val="32"/>
          <w:lang w:eastAsia="zh-CN"/>
        </w:rPr>
        <w:t>１</w:t>
      </w:r>
      <w:r>
        <w:rPr>
          <w:rFonts w:hint="eastAsia" w:ascii="仿宋_GB2312" w:hAnsi="Calibri" w:eastAsia="仿宋_GB2312" w:cs="ArialUnicodeMS"/>
          <w:kern w:val="0"/>
          <w:sz w:val="32"/>
          <w:szCs w:val="32"/>
        </w:rPr>
        <w:t>个，具体情况如下：</w:t>
      </w:r>
    </w:p>
    <w:tbl>
      <w:tblPr>
        <w:tblStyle w:val="6"/>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888"/>
        <w:gridCol w:w="1935"/>
        <w:gridCol w:w="2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888" w:type="dxa"/>
            <w:vAlign w:val="center"/>
          </w:tcPr>
          <w:p>
            <w:pPr>
              <w:spacing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1935" w:type="dxa"/>
            <w:vAlign w:val="center"/>
          </w:tcPr>
          <w:p>
            <w:pPr>
              <w:spacing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772" w:type="dxa"/>
            <w:vAlign w:val="center"/>
          </w:tcPr>
          <w:p>
            <w:pPr>
              <w:spacing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 w:hAnsi="仿宋" w:eastAsia="仿宋" w:cs="仿宋"/>
                <w:kern w:val="0"/>
                <w:sz w:val="28"/>
                <w:szCs w:val="28"/>
              </w:rPr>
            </w:pPr>
            <w:r>
              <w:rPr>
                <w:rFonts w:hint="eastAsia" w:ascii="仿宋" w:hAnsi="仿宋" w:eastAsia="仿宋" w:cs="仿宋"/>
                <w:kern w:val="0"/>
                <w:sz w:val="28"/>
                <w:szCs w:val="28"/>
              </w:rPr>
              <w:t>1</w:t>
            </w:r>
          </w:p>
        </w:tc>
        <w:tc>
          <w:tcPr>
            <w:tcW w:w="3888" w:type="dxa"/>
          </w:tcPr>
          <w:p>
            <w:pPr>
              <w:rPr>
                <w:rFonts w:ascii="仿宋" w:hAnsi="仿宋" w:eastAsia="仿宋" w:cs="仿宋"/>
                <w:sz w:val="28"/>
                <w:szCs w:val="28"/>
              </w:rPr>
            </w:pPr>
            <w:r>
              <w:rPr>
                <w:rFonts w:hint="eastAsia" w:ascii="仿宋" w:hAnsi="仿宋" w:eastAsia="仿宋" w:cs="仿宋"/>
                <w:sz w:val="28"/>
                <w:szCs w:val="28"/>
              </w:rPr>
              <w:t>阜平县机构编制委员会办公室</w:t>
            </w:r>
          </w:p>
        </w:tc>
        <w:tc>
          <w:tcPr>
            <w:tcW w:w="1935" w:type="dxa"/>
          </w:tcPr>
          <w:p>
            <w:pPr>
              <w:spacing w:line="560" w:lineRule="exact"/>
              <w:jc w:val="center"/>
              <w:rPr>
                <w:rFonts w:ascii="仿宋" w:hAnsi="仿宋" w:eastAsia="仿宋" w:cs="仿宋"/>
                <w:kern w:val="0"/>
                <w:sz w:val="28"/>
                <w:szCs w:val="28"/>
              </w:rPr>
            </w:pPr>
            <w:r>
              <w:rPr>
                <w:rFonts w:hint="eastAsia" w:ascii="仿宋" w:hAnsi="仿宋" w:eastAsia="仿宋" w:cs="仿宋"/>
                <w:kern w:val="0"/>
                <w:sz w:val="28"/>
                <w:szCs w:val="28"/>
              </w:rPr>
              <w:t>行政单位</w:t>
            </w:r>
          </w:p>
        </w:tc>
        <w:tc>
          <w:tcPr>
            <w:tcW w:w="2772" w:type="dxa"/>
          </w:tcPr>
          <w:p>
            <w:pPr>
              <w:spacing w:line="560" w:lineRule="exact"/>
              <w:jc w:val="center"/>
              <w:rPr>
                <w:rFonts w:ascii="仿宋" w:hAnsi="仿宋" w:eastAsia="仿宋" w:cs="仿宋"/>
                <w:kern w:val="0"/>
                <w:sz w:val="28"/>
                <w:szCs w:val="28"/>
              </w:rPr>
            </w:pPr>
            <w:r>
              <w:rPr>
                <w:rFonts w:hint="eastAsia" w:ascii="仿宋" w:hAnsi="仿宋" w:eastAsia="仿宋" w:cs="仿宋"/>
                <w:kern w:val="0"/>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 w:hAnsi="仿宋" w:eastAsia="仿宋" w:cs="仿宋"/>
                <w:kern w:val="0"/>
                <w:sz w:val="28"/>
                <w:szCs w:val="28"/>
              </w:rPr>
            </w:pPr>
            <w:r>
              <w:rPr>
                <w:rFonts w:hint="eastAsia" w:ascii="仿宋" w:hAnsi="仿宋" w:eastAsia="仿宋" w:cs="仿宋"/>
                <w:kern w:val="0"/>
                <w:sz w:val="28"/>
                <w:szCs w:val="28"/>
              </w:rPr>
              <w:t>2</w:t>
            </w:r>
          </w:p>
        </w:tc>
        <w:tc>
          <w:tcPr>
            <w:tcW w:w="3888" w:type="dxa"/>
          </w:tcPr>
          <w:p>
            <w:pPr>
              <w:spacing w:line="560" w:lineRule="exact"/>
              <w:rPr>
                <w:rFonts w:ascii="仿宋" w:hAnsi="仿宋" w:eastAsia="仿宋" w:cs="仿宋"/>
                <w:kern w:val="0"/>
                <w:sz w:val="28"/>
                <w:szCs w:val="28"/>
              </w:rPr>
            </w:pPr>
            <w:r>
              <w:rPr>
                <w:rFonts w:hint="eastAsia" w:ascii="仿宋" w:hAnsi="仿宋" w:eastAsia="仿宋" w:cs="仿宋"/>
                <w:sz w:val="28"/>
                <w:szCs w:val="28"/>
              </w:rPr>
              <w:t>阜平县机构编制电子政务中心</w:t>
            </w:r>
          </w:p>
        </w:tc>
        <w:tc>
          <w:tcPr>
            <w:tcW w:w="1935" w:type="dxa"/>
          </w:tcPr>
          <w:p>
            <w:pPr>
              <w:spacing w:line="560" w:lineRule="exact"/>
              <w:jc w:val="center"/>
              <w:rPr>
                <w:rFonts w:ascii="仿宋" w:hAnsi="仿宋" w:eastAsia="仿宋" w:cs="仿宋"/>
                <w:kern w:val="0"/>
                <w:sz w:val="28"/>
                <w:szCs w:val="28"/>
              </w:rPr>
            </w:pPr>
            <w:r>
              <w:rPr>
                <w:rFonts w:hint="eastAsia" w:ascii="仿宋" w:hAnsi="仿宋" w:eastAsia="仿宋" w:cs="仿宋"/>
                <w:kern w:val="0"/>
                <w:sz w:val="28"/>
                <w:szCs w:val="28"/>
              </w:rPr>
              <w:t>事业单位</w:t>
            </w:r>
          </w:p>
        </w:tc>
        <w:tc>
          <w:tcPr>
            <w:tcW w:w="2772" w:type="dxa"/>
          </w:tcPr>
          <w:p>
            <w:pPr>
              <w:spacing w:line="560" w:lineRule="exact"/>
              <w:jc w:val="center"/>
              <w:rPr>
                <w:rFonts w:ascii="仿宋" w:hAnsi="仿宋" w:eastAsia="仿宋" w:cs="仿宋"/>
                <w:kern w:val="0"/>
                <w:sz w:val="28"/>
                <w:szCs w:val="28"/>
              </w:rPr>
            </w:pPr>
            <w:r>
              <w:rPr>
                <w:rFonts w:hint="eastAsia" w:ascii="仿宋" w:hAnsi="仿宋" w:eastAsia="仿宋" w:cs="仿宋"/>
                <w:color w:val="000000"/>
                <w:kern w:val="0"/>
                <w:sz w:val="28"/>
                <w:szCs w:val="28"/>
              </w:rPr>
              <w:t>财政性资金基本保证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 w:hAnsi="仿宋" w:eastAsia="仿宋" w:cs="仿宋"/>
                <w:kern w:val="0"/>
                <w:sz w:val="28"/>
                <w:szCs w:val="28"/>
              </w:rPr>
            </w:pPr>
            <w:r>
              <w:rPr>
                <w:rFonts w:hint="eastAsia" w:ascii="仿宋" w:hAnsi="仿宋" w:eastAsia="仿宋" w:cs="仿宋"/>
                <w:kern w:val="0"/>
                <w:sz w:val="28"/>
                <w:szCs w:val="28"/>
              </w:rPr>
              <w:t>3</w:t>
            </w:r>
          </w:p>
        </w:tc>
        <w:tc>
          <w:tcPr>
            <w:tcW w:w="3888" w:type="dxa"/>
          </w:tcPr>
          <w:p>
            <w:pPr>
              <w:rPr>
                <w:rFonts w:ascii="仿宋" w:hAnsi="仿宋" w:eastAsia="仿宋" w:cs="仿宋"/>
                <w:sz w:val="28"/>
                <w:szCs w:val="28"/>
              </w:rPr>
            </w:pPr>
            <w:r>
              <w:rPr>
                <w:rFonts w:hint="eastAsia" w:ascii="仿宋" w:hAnsi="仿宋" w:eastAsia="仿宋" w:cs="仿宋"/>
                <w:sz w:val="28"/>
                <w:szCs w:val="28"/>
              </w:rPr>
              <w:t>阜平县事业单位登记管理局</w:t>
            </w:r>
          </w:p>
        </w:tc>
        <w:tc>
          <w:tcPr>
            <w:tcW w:w="1935" w:type="dxa"/>
          </w:tcPr>
          <w:p>
            <w:pPr>
              <w:spacing w:line="560" w:lineRule="exact"/>
              <w:jc w:val="center"/>
              <w:rPr>
                <w:rFonts w:ascii="仿宋" w:hAnsi="仿宋" w:eastAsia="仿宋" w:cs="仿宋"/>
                <w:kern w:val="0"/>
                <w:sz w:val="28"/>
                <w:szCs w:val="28"/>
              </w:rPr>
            </w:pPr>
            <w:r>
              <w:rPr>
                <w:rFonts w:hint="eastAsia" w:ascii="仿宋" w:hAnsi="仿宋" w:eastAsia="仿宋" w:cs="仿宋"/>
                <w:kern w:val="0"/>
                <w:sz w:val="28"/>
                <w:szCs w:val="28"/>
              </w:rPr>
              <w:t>行政单位</w:t>
            </w:r>
          </w:p>
        </w:tc>
        <w:tc>
          <w:tcPr>
            <w:tcW w:w="2772" w:type="dxa"/>
          </w:tcPr>
          <w:p>
            <w:pPr>
              <w:spacing w:line="560" w:lineRule="exact"/>
              <w:jc w:val="center"/>
              <w:rPr>
                <w:rFonts w:ascii="仿宋" w:hAnsi="仿宋" w:eastAsia="仿宋" w:cs="仿宋"/>
                <w:kern w:val="0"/>
                <w:sz w:val="28"/>
                <w:szCs w:val="28"/>
              </w:rPr>
            </w:pPr>
            <w:r>
              <w:rPr>
                <w:rFonts w:hint="eastAsia" w:ascii="仿宋" w:hAnsi="仿宋" w:eastAsia="仿宋" w:cs="仿宋"/>
                <w:kern w:val="0"/>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line="560" w:lineRule="exact"/>
              <w:ind w:firstLine="560" w:firstLineChars="200"/>
              <w:jc w:val="left"/>
              <w:rPr>
                <w:rFonts w:ascii="仿宋_GB2312" w:hAnsi="Cambria" w:eastAsia="仿宋_GB2312" w:cs="ArialUnicodeMS"/>
                <w:kern w:val="0"/>
                <w:sz w:val="28"/>
                <w:szCs w:val="28"/>
              </w:rPr>
            </w:pPr>
          </w:p>
        </w:tc>
      </w:tr>
    </w:tbl>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pgSz w:w="11906" w:h="16838"/>
          <w:pgMar w:top="2041" w:right="1531" w:bottom="2041" w:left="1531" w:header="851" w:footer="992" w:gutter="0"/>
          <w:pgNumType w:fmt="numberInDash" w:start="1"/>
          <w:cols w:space="0" w:num="1"/>
          <w:titlePg/>
          <w:docGrid w:type="lines" w:linePitch="312" w:charSpace="0"/>
        </w:sectPr>
      </w:pPr>
    </w:p>
    <w:p>
      <w:pPr>
        <w:widowControl/>
        <w:spacing w:after="160" w:line="580" w:lineRule="exact"/>
        <w:ind w:firstLine="640" w:firstLineChars="200"/>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ind w:firstLine="420" w:firstLineChars="200"/>
        <w:rPr>
          <w:rFonts w:ascii="Times New Roman" w:hAnsi="Times New Roman" w:eastAsia="黑体"/>
          <w:sz w:val="32"/>
          <w:szCs w:val="32"/>
        </w:rPr>
        <w:sectPr>
          <w:pgSz w:w="11906" w:h="16838"/>
          <w:pgMar w:top="2041" w:right="1531" w:bottom="2041" w:left="1531" w:header="851" w:footer="992" w:gutter="0"/>
          <w:pgNumType w:fmt="numberInDash"/>
          <w:cols w:space="0" w:num="1"/>
          <w:titlePg/>
          <w:docGrid w:type="lines" w:linePitch="312" w:charSpace="0"/>
        </w:sectPr>
      </w:pPr>
      <w:r>
        <w:pict>
          <v:shape id="_x0000_s1061" o:spid="_x0000_s1061" o:spt="202" type="#_x0000_t202" style="position:absolute;left:0pt;margin-left:-85.7pt;margin-top:238.15pt;height:173.25pt;width:613.65pt;z-index:251668480;mso-width-relative:page;mso-height-relative:page;" filled="f" stroked="f" coordsize="21600,21600">
            <v:path/>
            <v:fill on="f" focussize="0,0"/>
            <v:stroke on="f" weight="0.5pt" joinstyle="miter"/>
            <v:imagedata o:title=""/>
            <o:lock v:ext="edit"/>
            <v:textbo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pict>
          <v:shape id="_x0000_s1062" o:spid="_x0000_s1062" o:spt="202" type="#_x0000_t202" style="position:absolute;left:0pt;margin-left:-90.8pt;margin-top:4.35pt;height:263.1pt;width:613.65pt;z-index:251669504;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年度收入总计（含结转和结余）</w:t>
      </w:r>
      <w:r>
        <w:rPr>
          <w:rFonts w:ascii="仿宋" w:hAnsi="仿宋" w:eastAsia="仿宋" w:cs="仿宋"/>
          <w:bCs/>
          <w:spacing w:val="12"/>
          <w:sz w:val="32"/>
          <w:szCs w:val="32"/>
        </w:rPr>
        <w:t>119</w:t>
      </w:r>
      <w:r>
        <w:rPr>
          <w:rFonts w:hint="eastAsia" w:ascii="仿宋" w:hAnsi="仿宋" w:eastAsia="仿宋" w:cs="仿宋"/>
          <w:bCs/>
          <w:spacing w:val="12"/>
          <w:sz w:val="32"/>
          <w:szCs w:val="32"/>
        </w:rPr>
        <w:t>.</w:t>
      </w:r>
      <w:r>
        <w:rPr>
          <w:rFonts w:ascii="仿宋" w:hAnsi="仿宋" w:eastAsia="仿宋" w:cs="仿宋"/>
          <w:bCs/>
          <w:spacing w:val="12"/>
          <w:sz w:val="32"/>
          <w:szCs w:val="32"/>
        </w:rPr>
        <w:t>1</w:t>
      </w:r>
      <w:r>
        <w:rPr>
          <w:rFonts w:hint="eastAsia" w:ascii="仿宋" w:hAnsi="仿宋" w:eastAsia="仿宋" w:cs="仿宋"/>
          <w:bCs/>
          <w:spacing w:val="12"/>
          <w:sz w:val="32"/>
          <w:szCs w:val="32"/>
        </w:rPr>
        <w:t>8</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年度决算相比，收入</w:t>
      </w:r>
      <w:r>
        <w:rPr>
          <w:rFonts w:hint="eastAsia" w:ascii="仿宋" w:hAnsi="仿宋" w:eastAsia="仿宋" w:cs="仿宋"/>
          <w:bCs/>
          <w:spacing w:val="12"/>
          <w:sz w:val="32"/>
          <w:szCs w:val="32"/>
        </w:rPr>
        <w:t>减少22.09</w:t>
      </w:r>
      <w:r>
        <w:rPr>
          <w:rFonts w:hint="eastAsia" w:ascii="仿宋_GB2312" w:hAnsi="Times New Roman" w:eastAsia="仿宋_GB2312" w:cs="DengXian-Regular"/>
          <w:sz w:val="32"/>
          <w:szCs w:val="32"/>
        </w:rPr>
        <w:t>万元，降低</w:t>
      </w:r>
      <w:r>
        <w:rPr>
          <w:rFonts w:hint="eastAsia" w:ascii="仿宋" w:hAnsi="仿宋" w:eastAsia="仿宋" w:cs="仿宋"/>
          <w:bCs/>
          <w:spacing w:val="12"/>
          <w:sz w:val="32"/>
          <w:szCs w:val="32"/>
        </w:rPr>
        <w:t>15.64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 w:hAnsi="仿宋" w:eastAsia="仿宋"/>
          <w:sz w:val="32"/>
          <w:szCs w:val="32"/>
        </w:rPr>
        <w:t>人员调出3人造成工资调整等</w:t>
      </w:r>
      <w:r>
        <w:rPr>
          <w:rFonts w:hint="eastAsia" w:ascii="仿宋_GB2312" w:hAnsi="Times New Roman" w:eastAsia="仿宋_GB2312" w:cs="DengXian-Regular"/>
          <w:sz w:val="32"/>
          <w:szCs w:val="32"/>
        </w:rPr>
        <w:t>。支出总计（含结转和结余）</w:t>
      </w:r>
      <w:r>
        <w:rPr>
          <w:rFonts w:ascii="仿宋" w:hAnsi="仿宋" w:eastAsia="仿宋" w:cs="仿宋"/>
          <w:bCs/>
          <w:spacing w:val="12"/>
          <w:sz w:val="32"/>
          <w:szCs w:val="32"/>
        </w:rPr>
        <w:t>119</w:t>
      </w:r>
      <w:r>
        <w:rPr>
          <w:rFonts w:hint="eastAsia" w:ascii="仿宋" w:hAnsi="仿宋" w:eastAsia="仿宋" w:cs="仿宋"/>
          <w:bCs/>
          <w:spacing w:val="12"/>
          <w:sz w:val="32"/>
          <w:szCs w:val="32"/>
        </w:rPr>
        <w:t>.</w:t>
      </w:r>
      <w:r>
        <w:rPr>
          <w:rFonts w:ascii="仿宋" w:hAnsi="仿宋" w:eastAsia="仿宋" w:cs="仿宋"/>
          <w:bCs/>
          <w:spacing w:val="12"/>
          <w:sz w:val="32"/>
          <w:szCs w:val="32"/>
        </w:rPr>
        <w:t>1</w:t>
      </w:r>
      <w:r>
        <w:rPr>
          <w:rFonts w:hint="eastAsia" w:ascii="仿宋" w:hAnsi="仿宋" w:eastAsia="仿宋" w:cs="仿宋"/>
          <w:bCs/>
          <w:spacing w:val="12"/>
          <w:sz w:val="32"/>
          <w:szCs w:val="32"/>
        </w:rPr>
        <w:t>8</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年度决算相比，支出减少22.09万元，降低15.64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 w:hAnsi="仿宋" w:eastAsia="仿宋"/>
          <w:sz w:val="32"/>
          <w:szCs w:val="32"/>
        </w:rPr>
        <w:t>人员调出3人造成人员工资调整等</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二、收入决算情况说明</w:t>
      </w:r>
    </w:p>
    <w:p>
      <w:pPr>
        <w:adjustRightInd w:val="0"/>
        <w:snapToGrid w:val="0"/>
        <w:spacing w:line="580" w:lineRule="exact"/>
        <w:ind w:firstLine="640" w:firstLineChars="200"/>
        <w:rPr>
          <w:rFonts w:ascii="黑体" w:hAnsi="Calibri" w:eastAsia="黑体"/>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年度本年收入合计</w:t>
      </w:r>
      <w:r>
        <w:rPr>
          <w:rFonts w:ascii="仿宋" w:hAnsi="仿宋" w:eastAsia="仿宋" w:cs="仿宋"/>
          <w:bCs/>
          <w:spacing w:val="12"/>
          <w:sz w:val="32"/>
          <w:szCs w:val="32"/>
        </w:rPr>
        <w:t>119</w:t>
      </w:r>
      <w:r>
        <w:rPr>
          <w:rFonts w:hint="eastAsia" w:ascii="仿宋" w:hAnsi="仿宋" w:eastAsia="仿宋" w:cs="仿宋"/>
          <w:bCs/>
          <w:spacing w:val="12"/>
          <w:sz w:val="32"/>
          <w:szCs w:val="32"/>
        </w:rPr>
        <w:t>.</w:t>
      </w:r>
      <w:r>
        <w:rPr>
          <w:rFonts w:ascii="仿宋" w:hAnsi="仿宋" w:eastAsia="仿宋" w:cs="仿宋"/>
          <w:bCs/>
          <w:spacing w:val="12"/>
          <w:sz w:val="32"/>
          <w:szCs w:val="32"/>
        </w:rPr>
        <w:t>1</w:t>
      </w:r>
      <w:r>
        <w:rPr>
          <w:rFonts w:hint="eastAsia" w:ascii="仿宋" w:hAnsi="仿宋" w:eastAsia="仿宋" w:cs="仿宋"/>
          <w:bCs/>
          <w:spacing w:val="12"/>
          <w:sz w:val="32"/>
          <w:szCs w:val="32"/>
        </w:rPr>
        <w:t>8</w:t>
      </w:r>
      <w:r>
        <w:rPr>
          <w:rFonts w:hint="eastAsia" w:ascii="仿宋_GB2312" w:hAnsi="Times New Roman" w:eastAsia="仿宋_GB2312" w:cs="DengXian-Regular"/>
          <w:sz w:val="32"/>
          <w:szCs w:val="32"/>
        </w:rPr>
        <w:t>万元，其中：财政拨款收入119.18万元，占100%；事业收入0万元，占0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；其他收入0万元，占0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黑体" w:hAnsi="Calibri" w:eastAsia="黑体"/>
          <w:sz w:val="32"/>
          <w:szCs w:val="32"/>
        </w:rPr>
      </w:pPr>
      <w:r>
        <w:rPr>
          <w:rFonts w:hint="eastAsia" w:ascii="黑体" w:hAnsi="Calibri" w:eastAsia="黑体"/>
          <w:sz w:val="32"/>
          <w:szCs w:val="32"/>
        </w:rPr>
        <w:t>三、支出决算情况说明</w:t>
      </w:r>
    </w:p>
    <w:p>
      <w:pPr>
        <w:adjustRightInd w:val="0"/>
        <w:snapToGrid w:val="0"/>
        <w:spacing w:line="580" w:lineRule="exact"/>
        <w:ind w:firstLine="640" w:firstLineChars="200"/>
        <w:rPr>
          <w:rFonts w:ascii="黑体" w:hAnsi="Calibri" w:eastAsia="黑体"/>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年度本年支出合计119.18万元，其中：基本支出</w:t>
      </w:r>
      <w:r>
        <w:rPr>
          <w:rFonts w:ascii="仿宋" w:hAnsi="仿宋" w:eastAsia="仿宋" w:cs="仿宋"/>
          <w:bCs/>
          <w:spacing w:val="12"/>
          <w:sz w:val="32"/>
          <w:szCs w:val="32"/>
        </w:rPr>
        <w:t>102</w:t>
      </w:r>
      <w:r>
        <w:rPr>
          <w:rFonts w:hint="eastAsia" w:ascii="仿宋" w:hAnsi="仿宋" w:eastAsia="仿宋" w:cs="仿宋"/>
          <w:bCs/>
          <w:spacing w:val="12"/>
          <w:sz w:val="32"/>
          <w:szCs w:val="32"/>
        </w:rPr>
        <w:t>.</w:t>
      </w:r>
      <w:r>
        <w:rPr>
          <w:rFonts w:ascii="仿宋" w:hAnsi="仿宋" w:eastAsia="仿宋" w:cs="仿宋"/>
          <w:bCs/>
          <w:spacing w:val="12"/>
          <w:sz w:val="32"/>
          <w:szCs w:val="32"/>
        </w:rPr>
        <w:t>31</w:t>
      </w:r>
      <w:r>
        <w:rPr>
          <w:rFonts w:hint="eastAsia" w:ascii="仿宋_GB2312" w:hAnsi="Times New Roman" w:eastAsia="仿宋_GB2312" w:cs="DengXian-Regular"/>
          <w:sz w:val="32"/>
          <w:szCs w:val="32"/>
        </w:rPr>
        <w:t>万元，占85.84%；项目支出</w:t>
      </w:r>
      <w:r>
        <w:rPr>
          <w:rFonts w:hint="eastAsia" w:ascii="仿宋" w:hAnsi="仿宋" w:eastAsia="仿宋" w:cs="仿宋"/>
          <w:bCs/>
          <w:spacing w:val="12"/>
          <w:sz w:val="32"/>
          <w:szCs w:val="32"/>
        </w:rPr>
        <w:t>16.87</w:t>
      </w:r>
      <w:r>
        <w:rPr>
          <w:rFonts w:hint="eastAsia" w:ascii="仿宋_GB2312" w:hAnsi="Times New Roman" w:eastAsia="仿宋_GB2312" w:cs="DengXian-Regular"/>
          <w:sz w:val="32"/>
          <w:szCs w:val="32"/>
        </w:rPr>
        <w:t>万元，占14.16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；经营支出0万元，占0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年度形成的财政拨款收支均为一般公共预算财政拨款，其中本年收入119.18万元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年度减少22.09万元，降低15.64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hAnsi="仿宋" w:eastAsia="仿宋"/>
          <w:sz w:val="32"/>
          <w:szCs w:val="32"/>
        </w:rPr>
        <w:t>人员调出3人造成人员工资调整等</w:t>
      </w:r>
      <w:r>
        <w:rPr>
          <w:rFonts w:hint="eastAsia" w:ascii="仿宋_GB2312" w:hAnsi="Times New Roman" w:eastAsia="仿宋_GB2312" w:cs="DengXian-Regular"/>
          <w:sz w:val="32"/>
          <w:szCs w:val="32"/>
        </w:rPr>
        <w:t>；本年支出119.18万元，比2018年度决算减少22.09万元，降低15.64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hAnsi="仿宋" w:eastAsia="仿宋"/>
          <w:sz w:val="32"/>
          <w:szCs w:val="32"/>
        </w:rPr>
        <w:t>人员调出3人造成人员工资调整等</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w:t>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年度一般公共预算财政拨款收入119.18万元，完成年初预算的80.94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比年初预算减少28.07万元，决算数大小于）算数主要原因是</w:t>
      </w:r>
      <w:r>
        <w:rPr>
          <w:rFonts w:hint="eastAsia" w:ascii="仿宋" w:hAnsi="仿宋" w:eastAsia="仿宋"/>
          <w:sz w:val="32"/>
          <w:szCs w:val="32"/>
        </w:rPr>
        <w:t>人员调出3人造成人员工资调整等</w:t>
      </w:r>
      <w:r>
        <w:rPr>
          <w:rFonts w:hint="eastAsia" w:ascii="仿宋_GB2312" w:hAnsi="Times New Roman" w:eastAsia="仿宋_GB2312" w:cs="DengXian-Regular"/>
          <w:sz w:val="32"/>
          <w:szCs w:val="32"/>
        </w:rPr>
        <w:t>；本年支出119.18万元，完成年初预算的80.94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比年初预算减少28.07万元，决算数小于预算数主要原因是</w:t>
      </w:r>
      <w:r>
        <w:rPr>
          <w:rFonts w:hint="eastAsia" w:ascii="仿宋" w:hAnsi="仿宋" w:eastAsia="仿宋"/>
          <w:sz w:val="32"/>
          <w:szCs w:val="32"/>
        </w:rPr>
        <w:t>人员调出3人造成人员工资调整等</w:t>
      </w:r>
      <w:r>
        <w:rPr>
          <w:rFonts w:hint="eastAsia" w:ascii="仿宋_GB2312" w:hAnsi="Times New Roman" w:eastAsia="仿宋_GB2312" w:cs="DengXian-Regular"/>
          <w:sz w:val="32"/>
          <w:szCs w:val="32"/>
        </w:rPr>
        <w:t>。</w:t>
      </w:r>
    </w:p>
    <w:p>
      <w:pPr>
        <w:numPr>
          <w:ilvl w:val="0"/>
          <w:numId w:val="1"/>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pPr>
        <w:adjustRightInd w:val="0"/>
        <w:snapToGrid w:val="0"/>
        <w:spacing w:line="580" w:lineRule="exact"/>
        <w:ind w:firstLine="640" w:firstLineChars="200"/>
        <w:rPr>
          <w:rFonts w:ascii="仿宋" w:hAnsi="仿宋" w:eastAsia="仿宋"/>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年度财政拨款支出119.18万元，主要用于以下方面</w:t>
      </w:r>
      <w:r>
        <w:rPr>
          <w:rFonts w:hint="eastAsia" w:ascii="仿宋" w:hAnsi="仿宋" w:eastAsia="仿宋"/>
          <w:sz w:val="32"/>
          <w:szCs w:val="32"/>
        </w:rPr>
        <w:t>：一般公共服务支出</w:t>
      </w:r>
      <w:r>
        <w:rPr>
          <w:rFonts w:ascii="仿宋" w:hAnsi="仿宋" w:eastAsia="仿宋"/>
          <w:sz w:val="32"/>
          <w:szCs w:val="32"/>
        </w:rPr>
        <w:t>98</w:t>
      </w:r>
      <w:r>
        <w:rPr>
          <w:rFonts w:hint="eastAsia" w:ascii="仿宋" w:hAnsi="仿宋" w:eastAsia="仿宋"/>
          <w:sz w:val="32"/>
          <w:szCs w:val="32"/>
        </w:rPr>
        <w:t>.</w:t>
      </w:r>
      <w:r>
        <w:rPr>
          <w:rFonts w:ascii="仿宋" w:hAnsi="仿宋" w:eastAsia="仿宋"/>
          <w:sz w:val="32"/>
          <w:szCs w:val="32"/>
        </w:rPr>
        <w:t>86</w:t>
      </w:r>
      <w:r>
        <w:rPr>
          <w:rFonts w:hint="eastAsia" w:ascii="仿宋" w:hAnsi="仿宋" w:eastAsia="仿宋"/>
          <w:sz w:val="32"/>
          <w:szCs w:val="32"/>
        </w:rPr>
        <w:t xml:space="preserve"> 万元，占82.95%；</w:t>
      </w:r>
      <w:r>
        <w:rPr>
          <w:rFonts w:hint="eastAsia" w:ascii="仿宋" w:hAnsi="仿宋" w:eastAsia="仿宋" w:cs="仿宋"/>
          <w:color w:val="000000"/>
          <w:sz w:val="32"/>
          <w:szCs w:val="32"/>
        </w:rPr>
        <w:t>社会保障和就业支出</w:t>
      </w:r>
      <w:r>
        <w:rPr>
          <w:rFonts w:ascii="仿宋" w:hAnsi="仿宋" w:eastAsia="仿宋" w:cs="仿宋"/>
          <w:color w:val="000000"/>
          <w:sz w:val="32"/>
          <w:szCs w:val="32"/>
        </w:rPr>
        <w:t>1</w:t>
      </w:r>
      <w:r>
        <w:rPr>
          <w:rFonts w:hint="eastAsia" w:ascii="仿宋" w:hAnsi="仿宋" w:eastAsia="仿宋" w:cs="仿宋"/>
          <w:color w:val="000000"/>
          <w:sz w:val="32"/>
          <w:szCs w:val="32"/>
        </w:rPr>
        <w:t>1.01万元，占9.24%；卫生健康支出</w:t>
      </w:r>
      <w:r>
        <w:rPr>
          <w:rFonts w:ascii="仿宋" w:hAnsi="仿宋" w:eastAsia="仿宋" w:cs="仿宋"/>
          <w:color w:val="000000"/>
          <w:sz w:val="32"/>
          <w:szCs w:val="32"/>
        </w:rPr>
        <w:t>3</w:t>
      </w:r>
      <w:r>
        <w:rPr>
          <w:rFonts w:hint="eastAsia" w:ascii="仿宋" w:hAnsi="仿宋" w:eastAsia="仿宋" w:cs="仿宋"/>
          <w:color w:val="000000"/>
          <w:sz w:val="32"/>
          <w:szCs w:val="32"/>
        </w:rPr>
        <w:t>.</w:t>
      </w:r>
      <w:r>
        <w:rPr>
          <w:rFonts w:ascii="仿宋" w:hAnsi="仿宋" w:eastAsia="仿宋" w:cs="仿宋"/>
          <w:color w:val="000000"/>
          <w:sz w:val="32"/>
          <w:szCs w:val="32"/>
        </w:rPr>
        <w:t>10</w:t>
      </w:r>
      <w:r>
        <w:rPr>
          <w:rFonts w:hint="eastAsia" w:ascii="仿宋" w:hAnsi="仿宋" w:eastAsia="仿宋" w:cs="仿宋"/>
          <w:color w:val="000000"/>
          <w:sz w:val="32"/>
          <w:szCs w:val="32"/>
        </w:rPr>
        <w:t>万元，占2.60%；住房保障支出</w:t>
      </w:r>
      <w:r>
        <w:rPr>
          <w:rFonts w:ascii="仿宋" w:hAnsi="仿宋" w:eastAsia="仿宋" w:cs="仿宋"/>
          <w:color w:val="000000"/>
          <w:sz w:val="32"/>
          <w:szCs w:val="32"/>
        </w:rPr>
        <w:t>6</w:t>
      </w:r>
      <w:r>
        <w:rPr>
          <w:rFonts w:hint="eastAsia" w:ascii="仿宋" w:hAnsi="仿宋" w:eastAsia="仿宋" w:cs="仿宋"/>
          <w:color w:val="000000"/>
          <w:sz w:val="32"/>
          <w:szCs w:val="32"/>
        </w:rPr>
        <w:t>.20万元，占5.21%。</w:t>
      </w:r>
    </w:p>
    <w:p>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pPr>
        <w:spacing w:line="520" w:lineRule="exact"/>
        <w:ind w:firstLine="640" w:firstLineChars="200"/>
        <w:rPr>
          <w:rFonts w:ascii="仿宋" w:hAnsi="仿宋" w:eastAsia="仿宋"/>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年度财政拨款基本支出</w:t>
      </w:r>
      <w:r>
        <w:rPr>
          <w:rFonts w:ascii="仿宋" w:hAnsi="仿宋" w:eastAsia="仿宋" w:cs="仿宋"/>
          <w:bCs/>
          <w:spacing w:val="12"/>
          <w:sz w:val="32"/>
          <w:szCs w:val="32"/>
        </w:rPr>
        <w:t>102</w:t>
      </w:r>
      <w:r>
        <w:rPr>
          <w:rFonts w:hint="eastAsia" w:ascii="仿宋" w:hAnsi="仿宋" w:eastAsia="仿宋" w:cs="仿宋"/>
          <w:bCs/>
          <w:spacing w:val="12"/>
          <w:sz w:val="32"/>
          <w:szCs w:val="32"/>
        </w:rPr>
        <w:t>.</w:t>
      </w:r>
      <w:r>
        <w:rPr>
          <w:rFonts w:ascii="仿宋" w:hAnsi="仿宋" w:eastAsia="仿宋" w:cs="仿宋"/>
          <w:bCs/>
          <w:spacing w:val="12"/>
          <w:sz w:val="32"/>
          <w:szCs w:val="32"/>
        </w:rPr>
        <w:t>31</w:t>
      </w:r>
      <w:r>
        <w:rPr>
          <w:rFonts w:hint="eastAsia" w:ascii="仿宋_GB2312" w:hAnsi="Times New Roman" w:eastAsia="仿宋_GB2312" w:cs="DengXian-Regular"/>
          <w:sz w:val="32"/>
          <w:szCs w:val="32"/>
        </w:rPr>
        <w:t>万元，其中：人员经费</w:t>
      </w:r>
      <w:r>
        <w:rPr>
          <w:rFonts w:ascii="仿宋" w:hAnsi="仿宋" w:eastAsia="仿宋"/>
          <w:sz w:val="32"/>
          <w:szCs w:val="32"/>
        </w:rPr>
        <w:t>86</w:t>
      </w:r>
      <w:r>
        <w:rPr>
          <w:rFonts w:hint="eastAsia" w:ascii="仿宋" w:hAnsi="仿宋" w:eastAsia="仿宋"/>
          <w:sz w:val="32"/>
          <w:szCs w:val="32"/>
        </w:rPr>
        <w:t>.</w:t>
      </w:r>
      <w:r>
        <w:rPr>
          <w:rFonts w:ascii="仿宋" w:hAnsi="仿宋" w:eastAsia="仿宋"/>
          <w:sz w:val="32"/>
          <w:szCs w:val="32"/>
        </w:rPr>
        <w:t>60</w:t>
      </w:r>
      <w:r>
        <w:rPr>
          <w:rFonts w:hint="eastAsia" w:ascii="仿宋_GB2312" w:hAnsi="Times New Roman" w:eastAsia="仿宋_GB2312" w:cs="DengXian-Regular"/>
          <w:sz w:val="32"/>
          <w:szCs w:val="32"/>
        </w:rPr>
        <w:t>万元，</w:t>
      </w:r>
      <w:r>
        <w:rPr>
          <w:rFonts w:ascii="仿宋" w:hAnsi="仿宋" w:eastAsia="仿宋"/>
          <w:sz w:val="32"/>
          <w:szCs w:val="32"/>
        </w:rPr>
        <w:t>主要包括基本工资42</w:t>
      </w:r>
      <w:r>
        <w:rPr>
          <w:rFonts w:hint="eastAsia" w:ascii="仿宋" w:hAnsi="仿宋" w:eastAsia="仿宋"/>
          <w:sz w:val="32"/>
          <w:szCs w:val="32"/>
        </w:rPr>
        <w:t>.</w:t>
      </w:r>
      <w:r>
        <w:rPr>
          <w:rFonts w:ascii="仿宋" w:hAnsi="仿宋" w:eastAsia="仿宋"/>
          <w:sz w:val="32"/>
          <w:szCs w:val="32"/>
        </w:rPr>
        <w:t>97</w:t>
      </w:r>
      <w:r>
        <w:rPr>
          <w:rFonts w:hint="eastAsia" w:ascii="仿宋" w:hAnsi="仿宋" w:eastAsia="仿宋"/>
          <w:sz w:val="32"/>
          <w:szCs w:val="32"/>
        </w:rPr>
        <w:t>万元</w:t>
      </w:r>
      <w:r>
        <w:rPr>
          <w:rFonts w:ascii="仿宋" w:hAnsi="仿宋" w:eastAsia="仿宋"/>
          <w:sz w:val="32"/>
          <w:szCs w:val="32"/>
        </w:rPr>
        <w:t>、津贴补贴11</w:t>
      </w:r>
      <w:r>
        <w:rPr>
          <w:rFonts w:hint="eastAsia" w:ascii="仿宋" w:hAnsi="仿宋" w:eastAsia="仿宋"/>
          <w:sz w:val="32"/>
          <w:szCs w:val="32"/>
        </w:rPr>
        <w:t>.</w:t>
      </w:r>
      <w:r>
        <w:rPr>
          <w:rFonts w:ascii="仿宋" w:hAnsi="仿宋" w:eastAsia="仿宋"/>
          <w:sz w:val="32"/>
          <w:szCs w:val="32"/>
        </w:rPr>
        <w:t>8</w:t>
      </w:r>
      <w:r>
        <w:rPr>
          <w:rFonts w:hint="eastAsia" w:ascii="仿宋" w:hAnsi="仿宋" w:eastAsia="仿宋"/>
          <w:sz w:val="32"/>
          <w:szCs w:val="32"/>
        </w:rPr>
        <w:t>3万元</w:t>
      </w:r>
      <w:r>
        <w:rPr>
          <w:rFonts w:ascii="仿宋" w:hAnsi="仿宋" w:eastAsia="仿宋"/>
          <w:sz w:val="32"/>
          <w:szCs w:val="32"/>
        </w:rPr>
        <w:t>、</w:t>
      </w:r>
      <w:r>
        <w:rPr>
          <w:rFonts w:hint="eastAsia" w:ascii="仿宋" w:hAnsi="仿宋" w:eastAsia="仿宋"/>
          <w:sz w:val="32"/>
          <w:szCs w:val="32"/>
        </w:rPr>
        <w:t>奖金</w:t>
      </w:r>
      <w:r>
        <w:rPr>
          <w:rFonts w:ascii="仿宋" w:hAnsi="仿宋" w:eastAsia="仿宋"/>
          <w:sz w:val="32"/>
          <w:szCs w:val="32"/>
        </w:rPr>
        <w:t>2</w:t>
      </w:r>
      <w:r>
        <w:rPr>
          <w:rFonts w:hint="eastAsia" w:ascii="仿宋" w:hAnsi="仿宋" w:eastAsia="仿宋"/>
          <w:sz w:val="32"/>
          <w:szCs w:val="32"/>
        </w:rPr>
        <w:t>.</w:t>
      </w:r>
      <w:r>
        <w:rPr>
          <w:rFonts w:ascii="仿宋" w:hAnsi="仿宋" w:eastAsia="仿宋"/>
          <w:sz w:val="32"/>
          <w:szCs w:val="32"/>
        </w:rPr>
        <w:t>29</w:t>
      </w:r>
      <w:r>
        <w:rPr>
          <w:rFonts w:hint="eastAsia" w:ascii="仿宋" w:hAnsi="仿宋" w:eastAsia="仿宋"/>
          <w:sz w:val="32"/>
          <w:szCs w:val="32"/>
        </w:rPr>
        <w:t>万元、</w:t>
      </w:r>
      <w:r>
        <w:rPr>
          <w:rFonts w:ascii="仿宋" w:hAnsi="仿宋" w:eastAsia="仿宋"/>
          <w:sz w:val="32"/>
          <w:szCs w:val="32"/>
        </w:rPr>
        <w:t>绩效工资8</w:t>
      </w:r>
      <w:r>
        <w:rPr>
          <w:rFonts w:hint="eastAsia" w:ascii="仿宋" w:hAnsi="仿宋" w:eastAsia="仿宋"/>
          <w:sz w:val="32"/>
          <w:szCs w:val="32"/>
        </w:rPr>
        <w:t>.</w:t>
      </w:r>
      <w:r>
        <w:rPr>
          <w:rFonts w:ascii="仿宋" w:hAnsi="仿宋" w:eastAsia="仿宋"/>
          <w:sz w:val="32"/>
          <w:szCs w:val="32"/>
        </w:rPr>
        <w:t>59</w:t>
      </w:r>
      <w:r>
        <w:rPr>
          <w:rFonts w:hint="eastAsia" w:ascii="仿宋" w:hAnsi="仿宋" w:eastAsia="仿宋"/>
          <w:sz w:val="32"/>
          <w:szCs w:val="32"/>
        </w:rPr>
        <w:t>万元</w:t>
      </w:r>
      <w:r>
        <w:rPr>
          <w:rFonts w:ascii="仿宋" w:hAnsi="仿宋" w:eastAsia="仿宋"/>
          <w:sz w:val="32"/>
          <w:szCs w:val="32"/>
        </w:rPr>
        <w:t>、机关事业单位基本养老保险缴费11</w:t>
      </w:r>
      <w:r>
        <w:rPr>
          <w:rFonts w:hint="eastAsia" w:ascii="仿宋" w:hAnsi="仿宋" w:eastAsia="仿宋"/>
          <w:sz w:val="32"/>
          <w:szCs w:val="32"/>
        </w:rPr>
        <w:t>.</w:t>
      </w:r>
      <w:r>
        <w:rPr>
          <w:rFonts w:ascii="仿宋" w:hAnsi="仿宋" w:eastAsia="仿宋"/>
          <w:sz w:val="32"/>
          <w:szCs w:val="32"/>
        </w:rPr>
        <w:t>01</w:t>
      </w:r>
      <w:r>
        <w:rPr>
          <w:rFonts w:hint="eastAsia" w:ascii="仿宋" w:hAnsi="仿宋" w:eastAsia="仿宋"/>
          <w:sz w:val="32"/>
          <w:szCs w:val="32"/>
        </w:rPr>
        <w:t>万元</w:t>
      </w:r>
      <w:r>
        <w:rPr>
          <w:rFonts w:ascii="仿宋" w:hAnsi="仿宋" w:eastAsia="仿宋"/>
          <w:sz w:val="32"/>
          <w:szCs w:val="32"/>
        </w:rPr>
        <w:t>、</w:t>
      </w:r>
      <w:r>
        <w:rPr>
          <w:rFonts w:hint="eastAsia" w:ascii="仿宋" w:hAnsi="仿宋" w:eastAsia="仿宋"/>
          <w:sz w:val="32"/>
          <w:szCs w:val="32"/>
        </w:rPr>
        <w:t>医疗保险</w:t>
      </w:r>
      <w:r>
        <w:rPr>
          <w:rFonts w:ascii="仿宋" w:hAnsi="仿宋" w:eastAsia="仿宋"/>
          <w:sz w:val="32"/>
          <w:szCs w:val="32"/>
        </w:rPr>
        <w:t>3</w:t>
      </w:r>
      <w:r>
        <w:rPr>
          <w:rFonts w:hint="eastAsia" w:ascii="仿宋" w:hAnsi="仿宋" w:eastAsia="仿宋"/>
          <w:sz w:val="32"/>
          <w:szCs w:val="32"/>
        </w:rPr>
        <w:t>.</w:t>
      </w:r>
      <w:r>
        <w:rPr>
          <w:rFonts w:ascii="仿宋" w:hAnsi="仿宋" w:eastAsia="仿宋"/>
          <w:sz w:val="32"/>
          <w:szCs w:val="32"/>
        </w:rPr>
        <w:t>10</w:t>
      </w:r>
      <w:r>
        <w:rPr>
          <w:rFonts w:hint="eastAsia" w:ascii="仿宋" w:hAnsi="仿宋" w:eastAsia="仿宋"/>
          <w:sz w:val="32"/>
          <w:szCs w:val="32"/>
        </w:rPr>
        <w:t>万元、住房公积金</w:t>
      </w:r>
      <w:r>
        <w:rPr>
          <w:rFonts w:ascii="仿宋" w:hAnsi="仿宋" w:eastAsia="仿宋"/>
          <w:sz w:val="32"/>
          <w:szCs w:val="32"/>
        </w:rPr>
        <w:t>6</w:t>
      </w:r>
      <w:r>
        <w:rPr>
          <w:rFonts w:hint="eastAsia" w:ascii="仿宋" w:hAnsi="仿宋" w:eastAsia="仿宋"/>
          <w:sz w:val="32"/>
          <w:szCs w:val="32"/>
        </w:rPr>
        <w:t>.</w:t>
      </w:r>
      <w:r>
        <w:rPr>
          <w:rFonts w:ascii="仿宋" w:hAnsi="仿宋" w:eastAsia="仿宋"/>
          <w:sz w:val="32"/>
          <w:szCs w:val="32"/>
        </w:rPr>
        <w:t>2</w:t>
      </w:r>
      <w:r>
        <w:rPr>
          <w:rFonts w:hint="eastAsia" w:ascii="仿宋" w:hAnsi="仿宋" w:eastAsia="仿宋"/>
          <w:sz w:val="32"/>
          <w:szCs w:val="32"/>
        </w:rPr>
        <w:t>0万元、其他社保缴费0.</w:t>
      </w:r>
      <w:r>
        <w:rPr>
          <w:rFonts w:ascii="仿宋" w:hAnsi="仿宋" w:eastAsia="仿宋"/>
          <w:sz w:val="32"/>
          <w:szCs w:val="32"/>
        </w:rPr>
        <w:t>6</w:t>
      </w:r>
      <w:r>
        <w:rPr>
          <w:rFonts w:hint="eastAsia" w:ascii="仿宋" w:hAnsi="仿宋" w:eastAsia="仿宋"/>
          <w:sz w:val="32"/>
          <w:szCs w:val="32"/>
        </w:rPr>
        <w:t>1万元</w:t>
      </w:r>
      <w:r>
        <w:rPr>
          <w:rFonts w:ascii="仿宋" w:hAnsi="仿宋" w:eastAsia="仿宋"/>
          <w:sz w:val="32"/>
          <w:szCs w:val="32"/>
        </w:rPr>
        <w:t>；公用经费</w:t>
      </w:r>
      <w:r>
        <w:rPr>
          <w:rFonts w:hint="eastAsia" w:ascii="仿宋" w:hAnsi="仿宋" w:eastAsia="仿宋"/>
          <w:sz w:val="32"/>
          <w:szCs w:val="32"/>
        </w:rPr>
        <w:t>15.71</w:t>
      </w:r>
      <w:r>
        <w:rPr>
          <w:rFonts w:ascii="仿宋" w:hAnsi="仿宋" w:eastAsia="仿宋"/>
          <w:sz w:val="32"/>
          <w:szCs w:val="32"/>
        </w:rPr>
        <w:t>万元，主要包括办公费5</w:t>
      </w:r>
      <w:r>
        <w:rPr>
          <w:rFonts w:hint="eastAsia" w:ascii="仿宋" w:hAnsi="仿宋" w:eastAsia="仿宋"/>
          <w:sz w:val="32"/>
          <w:szCs w:val="32"/>
        </w:rPr>
        <w:t>.</w:t>
      </w:r>
      <w:r>
        <w:rPr>
          <w:rFonts w:ascii="仿宋" w:hAnsi="仿宋" w:eastAsia="仿宋"/>
          <w:sz w:val="32"/>
          <w:szCs w:val="32"/>
        </w:rPr>
        <w:t>3</w:t>
      </w:r>
      <w:r>
        <w:rPr>
          <w:rFonts w:hint="eastAsia" w:ascii="仿宋" w:hAnsi="仿宋" w:eastAsia="仿宋"/>
          <w:sz w:val="32"/>
          <w:szCs w:val="32"/>
        </w:rPr>
        <w:t>3万元</w:t>
      </w:r>
      <w:r>
        <w:rPr>
          <w:rFonts w:ascii="仿宋" w:hAnsi="仿宋" w:eastAsia="仿宋"/>
          <w:sz w:val="32"/>
          <w:szCs w:val="32"/>
        </w:rPr>
        <w:t>、印刷费1</w:t>
      </w:r>
      <w:r>
        <w:rPr>
          <w:rFonts w:hint="eastAsia" w:ascii="仿宋" w:hAnsi="仿宋" w:eastAsia="仿宋"/>
          <w:sz w:val="32"/>
          <w:szCs w:val="32"/>
        </w:rPr>
        <w:t>.</w:t>
      </w:r>
      <w:r>
        <w:rPr>
          <w:rFonts w:ascii="仿宋" w:hAnsi="仿宋" w:eastAsia="仿宋"/>
          <w:sz w:val="32"/>
          <w:szCs w:val="32"/>
        </w:rPr>
        <w:t>6</w:t>
      </w:r>
      <w:r>
        <w:rPr>
          <w:rFonts w:hint="eastAsia" w:ascii="仿宋" w:hAnsi="仿宋" w:eastAsia="仿宋"/>
          <w:sz w:val="32"/>
          <w:szCs w:val="32"/>
        </w:rPr>
        <w:t>2万元</w:t>
      </w:r>
      <w:r>
        <w:rPr>
          <w:rFonts w:ascii="仿宋" w:hAnsi="仿宋" w:eastAsia="仿宋"/>
          <w:sz w:val="32"/>
          <w:szCs w:val="32"/>
        </w:rPr>
        <w:t>、邮电费</w:t>
      </w:r>
      <w:r>
        <w:rPr>
          <w:rFonts w:hint="eastAsia" w:ascii="仿宋" w:hAnsi="仿宋" w:eastAsia="仿宋"/>
          <w:sz w:val="32"/>
          <w:szCs w:val="32"/>
        </w:rPr>
        <w:t>(含通讯补贴)</w:t>
      </w:r>
      <w:r>
        <w:rPr>
          <w:rFonts w:ascii="仿宋" w:hAnsi="仿宋" w:eastAsia="仿宋"/>
          <w:sz w:val="32"/>
          <w:szCs w:val="32"/>
        </w:rPr>
        <w:t xml:space="preserve"> 2</w:t>
      </w:r>
      <w:r>
        <w:rPr>
          <w:rFonts w:hint="eastAsia" w:ascii="仿宋" w:hAnsi="仿宋" w:eastAsia="仿宋"/>
          <w:sz w:val="32"/>
          <w:szCs w:val="32"/>
        </w:rPr>
        <w:t>.</w:t>
      </w:r>
      <w:r>
        <w:rPr>
          <w:rFonts w:ascii="仿宋" w:hAnsi="仿宋" w:eastAsia="仿宋"/>
          <w:sz w:val="32"/>
          <w:szCs w:val="32"/>
        </w:rPr>
        <w:t>51</w:t>
      </w:r>
      <w:r>
        <w:rPr>
          <w:rFonts w:hint="eastAsia" w:ascii="仿宋" w:hAnsi="仿宋" w:eastAsia="仿宋"/>
          <w:sz w:val="32"/>
          <w:szCs w:val="32"/>
        </w:rPr>
        <w:t>万元</w:t>
      </w:r>
      <w:r>
        <w:rPr>
          <w:rFonts w:ascii="仿宋" w:hAnsi="仿宋" w:eastAsia="仿宋"/>
          <w:sz w:val="32"/>
          <w:szCs w:val="32"/>
        </w:rPr>
        <w:t>、</w:t>
      </w:r>
      <w:r>
        <w:rPr>
          <w:rFonts w:hint="eastAsia" w:ascii="仿宋" w:hAnsi="仿宋" w:eastAsia="仿宋"/>
          <w:sz w:val="32"/>
          <w:szCs w:val="32"/>
        </w:rPr>
        <w:t>差旅费0.</w:t>
      </w:r>
      <w:r>
        <w:rPr>
          <w:rFonts w:ascii="仿宋" w:hAnsi="仿宋" w:eastAsia="仿宋"/>
          <w:sz w:val="32"/>
          <w:szCs w:val="32"/>
        </w:rPr>
        <w:t>6</w:t>
      </w:r>
      <w:r>
        <w:rPr>
          <w:rFonts w:hint="eastAsia" w:ascii="仿宋" w:hAnsi="仿宋" w:eastAsia="仿宋"/>
          <w:sz w:val="32"/>
          <w:szCs w:val="32"/>
        </w:rPr>
        <w:t>8万元、</w:t>
      </w:r>
      <w:r>
        <w:rPr>
          <w:rFonts w:ascii="仿宋" w:hAnsi="仿宋" w:eastAsia="仿宋"/>
          <w:sz w:val="32"/>
          <w:szCs w:val="32"/>
        </w:rPr>
        <w:t>维修（护）费</w:t>
      </w:r>
      <w:r>
        <w:rPr>
          <w:rFonts w:hint="eastAsia" w:ascii="仿宋" w:hAnsi="仿宋" w:eastAsia="仿宋"/>
          <w:sz w:val="32"/>
          <w:szCs w:val="32"/>
        </w:rPr>
        <w:t>0.0</w:t>
      </w:r>
      <w:r>
        <w:rPr>
          <w:rFonts w:ascii="仿宋" w:hAnsi="仿宋" w:eastAsia="仿宋"/>
          <w:sz w:val="32"/>
          <w:szCs w:val="32"/>
        </w:rPr>
        <w:t>3</w:t>
      </w:r>
      <w:r>
        <w:rPr>
          <w:rFonts w:hint="eastAsia" w:ascii="仿宋" w:hAnsi="仿宋" w:eastAsia="仿宋"/>
          <w:sz w:val="32"/>
          <w:szCs w:val="32"/>
        </w:rPr>
        <w:t>万元</w:t>
      </w:r>
      <w:r>
        <w:rPr>
          <w:rFonts w:ascii="仿宋" w:hAnsi="仿宋" w:eastAsia="仿宋"/>
          <w:sz w:val="32"/>
          <w:szCs w:val="32"/>
        </w:rPr>
        <w:t>、</w:t>
      </w:r>
      <w:r>
        <w:rPr>
          <w:rFonts w:hint="eastAsia" w:ascii="仿宋" w:hAnsi="仿宋" w:eastAsia="仿宋"/>
          <w:sz w:val="32"/>
          <w:szCs w:val="32"/>
        </w:rPr>
        <w:t>工会经费0.50万元、</w:t>
      </w:r>
      <w:r>
        <w:rPr>
          <w:rFonts w:ascii="仿宋" w:hAnsi="仿宋" w:eastAsia="仿宋"/>
          <w:sz w:val="32"/>
          <w:szCs w:val="32"/>
        </w:rPr>
        <w:t>公务用车运行维护费2</w:t>
      </w:r>
      <w:r>
        <w:rPr>
          <w:rFonts w:hint="eastAsia" w:ascii="仿宋" w:hAnsi="仿宋" w:eastAsia="仿宋"/>
          <w:sz w:val="32"/>
          <w:szCs w:val="32"/>
          <w:lang w:val="en-US" w:eastAsia="zh-CN"/>
        </w:rPr>
        <w:t>.00</w:t>
      </w:r>
      <w:r>
        <w:rPr>
          <w:rFonts w:hint="eastAsia" w:ascii="仿宋" w:hAnsi="仿宋" w:eastAsia="仿宋"/>
          <w:sz w:val="32"/>
          <w:szCs w:val="32"/>
        </w:rPr>
        <w:t>万元</w:t>
      </w:r>
      <w:r>
        <w:rPr>
          <w:rFonts w:ascii="仿宋" w:hAnsi="仿宋" w:eastAsia="仿宋"/>
          <w:sz w:val="32"/>
          <w:szCs w:val="32"/>
        </w:rPr>
        <w:t>、其他交通费</w:t>
      </w:r>
      <w:r>
        <w:rPr>
          <w:rFonts w:hint="eastAsia" w:ascii="仿宋" w:hAnsi="仿宋" w:eastAsia="仿宋"/>
          <w:sz w:val="32"/>
          <w:szCs w:val="32"/>
        </w:rPr>
        <w:t>(公务人员交通补贴)</w:t>
      </w:r>
      <w:r>
        <w:rPr>
          <w:rFonts w:ascii="仿宋" w:hAnsi="仿宋" w:eastAsia="仿宋"/>
          <w:sz w:val="32"/>
          <w:szCs w:val="32"/>
        </w:rPr>
        <w:t xml:space="preserve"> 3</w:t>
      </w:r>
      <w:r>
        <w:rPr>
          <w:rFonts w:hint="eastAsia" w:ascii="仿宋" w:hAnsi="仿宋" w:eastAsia="仿宋"/>
          <w:sz w:val="32"/>
          <w:szCs w:val="32"/>
        </w:rPr>
        <w:t>.</w:t>
      </w:r>
      <w:r>
        <w:rPr>
          <w:rFonts w:ascii="仿宋" w:hAnsi="仿宋" w:eastAsia="仿宋"/>
          <w:sz w:val="32"/>
          <w:szCs w:val="32"/>
        </w:rPr>
        <w:t>05</w:t>
      </w:r>
      <w:r>
        <w:rPr>
          <w:rFonts w:hint="eastAsia" w:ascii="仿宋" w:hAnsi="仿宋" w:eastAsia="仿宋"/>
          <w:sz w:val="32"/>
          <w:szCs w:val="32"/>
        </w:rPr>
        <w:t>万元。</w:t>
      </w:r>
    </w:p>
    <w:p>
      <w:pPr>
        <w:adjustRightInd w:val="0"/>
        <w:snapToGrid w:val="0"/>
        <w:spacing w:line="580" w:lineRule="exact"/>
        <w:ind w:firstLine="640" w:firstLineChars="200"/>
        <w:rPr>
          <w:rFonts w:ascii="黑体" w:hAnsi="Calibri" w:eastAsia="黑体"/>
          <w:sz w:val="32"/>
          <w:szCs w:val="32"/>
        </w:rPr>
      </w:pPr>
      <w:r>
        <w:rPr>
          <w:rFonts w:hint="eastAsia" w:ascii="黑体" w:hAnsi="Calibri" w:eastAsia="黑体"/>
          <w:sz w:val="32"/>
          <w:szCs w:val="32"/>
        </w:rPr>
        <w:t>五、一般公共预算“三公”</w:t>
      </w:r>
      <w:r>
        <w:rPr>
          <w:rFonts w:ascii="黑体" w:hAnsi="Calibri" w:eastAsia="黑体"/>
          <w:sz w:val="32"/>
          <w:szCs w:val="32"/>
        </w:rPr>
        <w:t xml:space="preserve"> </w:t>
      </w:r>
      <w:r>
        <w:rPr>
          <w:rFonts w:hint="eastAsia" w:ascii="黑体" w:hAnsi="Calibri" w:eastAsia="黑体"/>
          <w:sz w:val="32"/>
          <w:szCs w:val="32"/>
        </w:rPr>
        <w:t>经费支出决算情况说明</w:t>
      </w:r>
    </w:p>
    <w:p>
      <w:pPr>
        <w:spacing w:line="520" w:lineRule="exact"/>
        <w:ind w:firstLine="640" w:firstLineChars="200"/>
        <w:rPr>
          <w:rFonts w:ascii="仿宋" w:hAnsi="仿宋" w:eastAsia="仿宋"/>
          <w:color w:val="FF0000"/>
          <w:sz w:val="32"/>
          <w:szCs w:val="32"/>
        </w:rPr>
      </w:pPr>
      <w:r>
        <w:rPr>
          <w:rFonts w:ascii="仿宋" w:hAnsi="仿宋" w:eastAsia="仿宋"/>
          <w:sz w:val="32"/>
          <w:szCs w:val="32"/>
        </w:rPr>
        <w:t>201</w:t>
      </w:r>
      <w:r>
        <w:rPr>
          <w:rFonts w:hint="eastAsia" w:ascii="仿宋" w:hAnsi="仿宋" w:eastAsia="仿宋"/>
          <w:sz w:val="32"/>
          <w:szCs w:val="32"/>
        </w:rPr>
        <w:t>9</w:t>
      </w:r>
      <w:r>
        <w:rPr>
          <w:rFonts w:ascii="仿宋" w:hAnsi="仿宋" w:eastAsia="仿宋"/>
          <w:sz w:val="32"/>
          <w:szCs w:val="32"/>
        </w:rPr>
        <w:t>年，在做好各项工作的前提下，节省各项开支，尤其是严格控制“三公”经费的支出，全年一般公共预算财政拨款“三公”经费支出合计</w:t>
      </w:r>
      <w:r>
        <w:rPr>
          <w:rFonts w:hint="eastAsia" w:ascii="仿宋" w:hAnsi="仿宋" w:eastAsia="仿宋"/>
          <w:sz w:val="32"/>
          <w:szCs w:val="32"/>
        </w:rPr>
        <w:t>2</w:t>
      </w:r>
      <w:r>
        <w:rPr>
          <w:rFonts w:hint="eastAsia" w:ascii="仿宋" w:hAnsi="仿宋" w:eastAsia="仿宋"/>
          <w:sz w:val="32"/>
          <w:szCs w:val="32"/>
          <w:lang w:val="en-US" w:eastAsia="zh-CN"/>
        </w:rPr>
        <w:t>.00</w:t>
      </w:r>
      <w:r>
        <w:rPr>
          <w:rFonts w:ascii="仿宋" w:hAnsi="仿宋" w:eastAsia="仿宋"/>
          <w:sz w:val="32"/>
          <w:szCs w:val="32"/>
        </w:rPr>
        <w:t>万元，</w:t>
      </w:r>
      <w:r>
        <w:rPr>
          <w:rFonts w:hint="eastAsia" w:ascii="仿宋_GB2312" w:hAnsi="Times New Roman" w:eastAsia="仿宋_GB2312" w:cs="DengXian-Regular"/>
          <w:sz w:val="32"/>
          <w:szCs w:val="32"/>
        </w:rPr>
        <w:t>完成预算的64.10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r>
        <w:rPr>
          <w:rFonts w:hint="eastAsia" w:ascii="仿宋" w:hAnsi="仿宋" w:eastAsia="仿宋"/>
          <w:sz w:val="32"/>
          <w:szCs w:val="32"/>
        </w:rPr>
        <w:t>较年初算减少1.12万元，降低37.30%，主要原因是</w:t>
      </w:r>
      <w:r>
        <w:rPr>
          <w:rFonts w:hint="eastAsia" w:ascii="仿宋" w:hAnsi="仿宋" w:eastAsia="仿宋" w:cs="仿宋"/>
          <w:bCs/>
          <w:spacing w:val="12"/>
          <w:sz w:val="32"/>
          <w:szCs w:val="32"/>
        </w:rPr>
        <w:t>认真贯彻落实党中央、国务院厉行节约精神，</w:t>
      </w:r>
      <w:r>
        <w:rPr>
          <w:rFonts w:hint="eastAsia" w:ascii="仿宋" w:hAnsi="仿宋" w:eastAsia="仿宋"/>
          <w:sz w:val="32"/>
          <w:szCs w:val="32"/>
        </w:rPr>
        <w:t>大力压缩了公务用车下乡加油费；</w:t>
      </w:r>
      <w:r>
        <w:rPr>
          <w:rFonts w:ascii="仿宋" w:hAnsi="仿宋" w:eastAsia="仿宋"/>
          <w:sz w:val="32"/>
          <w:szCs w:val="32"/>
        </w:rPr>
        <w:t>较201</w:t>
      </w:r>
      <w:r>
        <w:rPr>
          <w:rFonts w:hint="eastAsia" w:ascii="仿宋" w:hAnsi="仿宋" w:eastAsia="仿宋"/>
          <w:sz w:val="32"/>
          <w:szCs w:val="32"/>
        </w:rPr>
        <w:t>8</w:t>
      </w:r>
      <w:r>
        <w:rPr>
          <w:rFonts w:ascii="仿宋" w:hAnsi="仿宋" w:eastAsia="仿宋"/>
          <w:sz w:val="32"/>
          <w:szCs w:val="32"/>
        </w:rPr>
        <w:t>年决算</w:t>
      </w:r>
      <w:r>
        <w:rPr>
          <w:rFonts w:hint="eastAsia" w:ascii="仿宋" w:hAnsi="仿宋" w:eastAsia="仿宋"/>
          <w:sz w:val="32"/>
          <w:szCs w:val="32"/>
        </w:rPr>
        <w:t>(</w:t>
      </w: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80</w:t>
      </w:r>
      <w:r>
        <w:rPr>
          <w:rFonts w:hint="eastAsia" w:ascii="仿宋" w:hAnsi="仿宋" w:eastAsia="仿宋" w:cs="仿宋"/>
          <w:bCs/>
          <w:color w:val="000000"/>
          <w:sz w:val="32"/>
          <w:szCs w:val="32"/>
        </w:rPr>
        <w:t>万元)增加0.20</w:t>
      </w:r>
      <w:r>
        <w:rPr>
          <w:rFonts w:ascii="仿宋" w:hAnsi="仿宋" w:eastAsia="仿宋"/>
          <w:sz w:val="32"/>
          <w:szCs w:val="32"/>
        </w:rPr>
        <w:t>万元，</w:t>
      </w:r>
      <w:r>
        <w:rPr>
          <w:rFonts w:hint="eastAsia" w:ascii="仿宋" w:hAnsi="仿宋" w:eastAsia="仿宋"/>
          <w:sz w:val="32"/>
          <w:szCs w:val="32"/>
        </w:rPr>
        <w:t>增长10.94%</w:t>
      </w:r>
      <w:r>
        <w:rPr>
          <w:rFonts w:ascii="仿宋" w:hAnsi="仿宋" w:eastAsia="仿宋"/>
          <w:sz w:val="32"/>
          <w:szCs w:val="32"/>
        </w:rPr>
        <w:t>。</w:t>
      </w:r>
      <w:r>
        <w:rPr>
          <w:rFonts w:hint="eastAsia" w:ascii="仿宋" w:hAnsi="仿宋" w:eastAsia="仿宋"/>
          <w:sz w:val="32"/>
          <w:szCs w:val="32"/>
        </w:rPr>
        <w:t>主要原因是公务用车保险和下乡出差增多造成金额增加。</w:t>
      </w:r>
      <w:r>
        <w:rPr>
          <w:rFonts w:hint="eastAsia" w:ascii="仿宋_GB2312" w:hAnsi="Times New Roman" w:eastAsia="仿宋_GB2312" w:cs="DengXian-Regular"/>
          <w:sz w:val="32"/>
          <w:szCs w:val="32"/>
        </w:rPr>
        <w:t>具体情况如下：</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（一）因公出国（境）费支出0万元。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年度因公出国（境）团组0个、共0人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参加其他单位组织的因公出国（境）团组0个、共0人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无本单位组织的出国（境）团组。因公出国（境）费支出较预算无增减变化；较上</w:t>
      </w:r>
      <w:bookmarkStart w:id="1" w:name="_GoBack"/>
      <w:bookmarkEnd w:id="1"/>
      <w:r>
        <w:rPr>
          <w:rFonts w:hint="eastAsia" w:ascii="仿宋_GB2312" w:hAnsi="Times New Roman" w:eastAsia="仿宋_GB2312" w:cs="DengXian-Regular"/>
          <w:sz w:val="32"/>
          <w:szCs w:val="32"/>
        </w:rPr>
        <w:t>年决算无增减变化。</w:t>
      </w:r>
    </w:p>
    <w:p>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（二）公务用车购置及运行维护费支出2</w:t>
      </w:r>
      <w:r>
        <w:rPr>
          <w:rFonts w:hint="eastAsia" w:ascii="楷体_GB2312" w:hAnsi="Times New Roman" w:eastAsia="楷体_GB2312" w:cs="DengXian-Bold"/>
          <w:b/>
          <w:bCs/>
          <w:sz w:val="32"/>
          <w:szCs w:val="32"/>
          <w:lang w:val="en-US" w:eastAsia="zh-CN"/>
        </w:rPr>
        <w:t>.00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年度公务用车购置及运行维护费较预算减少1</w:t>
      </w:r>
      <w:r>
        <w:rPr>
          <w:rFonts w:hint="eastAsia" w:ascii="仿宋_GB2312" w:hAnsi="Times New Roman" w:eastAsia="仿宋_GB2312" w:cs="DengXian-Regular"/>
          <w:sz w:val="32"/>
          <w:szCs w:val="32"/>
          <w:lang w:val="en-US" w:eastAsia="zh-CN"/>
        </w:rPr>
        <w:t>.00</w:t>
      </w:r>
      <w:r>
        <w:rPr>
          <w:rFonts w:hint="eastAsia" w:ascii="仿宋_GB2312" w:hAnsi="Times New Roman" w:eastAsia="仿宋_GB2312" w:cs="DengXian-Regular"/>
          <w:sz w:val="32"/>
          <w:szCs w:val="32"/>
        </w:rPr>
        <w:t>万元，降低</w:t>
      </w:r>
      <w:r>
        <w:rPr>
          <w:rFonts w:ascii="仿宋_GB2312" w:hAnsi="Times New Roman" w:eastAsia="仿宋_GB2312" w:cs="DengXian-Regular"/>
          <w:sz w:val="32"/>
          <w:szCs w:val="32"/>
        </w:rPr>
        <w:t>33.33%,</w:t>
      </w:r>
      <w:r>
        <w:rPr>
          <w:rFonts w:hint="eastAsia" w:ascii="仿宋_GB2312" w:hAnsi="Times New Roman" w:eastAsia="仿宋_GB2312" w:cs="DengXian-Regular"/>
          <w:sz w:val="32"/>
          <w:szCs w:val="32"/>
        </w:rPr>
        <w:t>主要是</w:t>
      </w:r>
      <w:r>
        <w:rPr>
          <w:rFonts w:hint="eastAsia" w:ascii="仿宋" w:hAnsi="仿宋" w:eastAsia="仿宋"/>
          <w:sz w:val="32"/>
          <w:szCs w:val="32"/>
        </w:rPr>
        <w:t>下乡次数减少节省了运行维护费；</w:t>
      </w:r>
      <w:r>
        <w:rPr>
          <w:rFonts w:hint="eastAsia" w:ascii="仿宋_GB2312" w:hAnsi="Times New Roman" w:eastAsia="仿宋_GB2312" w:cs="DengXian-Regular"/>
          <w:sz w:val="32"/>
          <w:szCs w:val="32"/>
        </w:rPr>
        <w:t>较上年决算增加0.2</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万元，增长10.94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hAnsi="仿宋" w:eastAsia="仿宋"/>
          <w:sz w:val="32"/>
          <w:szCs w:val="32"/>
        </w:rPr>
        <w:t>公务用车保险和下乡出差增多造成金额增加</w:t>
      </w:r>
      <w:r>
        <w:rPr>
          <w:rFonts w:hint="eastAsia" w:ascii="仿宋_GB2312" w:hAnsi="Times New Roman" w:eastAsia="仿宋_GB2312" w:cs="DengXian-Regular"/>
          <w:sz w:val="32"/>
          <w:szCs w:val="32"/>
        </w:rPr>
        <w:t>。</w:t>
      </w:r>
      <w:r>
        <w:rPr>
          <w:rFonts w:hint="eastAsia" w:ascii="仿宋_GB2312" w:hAnsi="Times New Roman" w:eastAsia="仿宋_GB2312" w:cs="DengXian-Bold"/>
          <w:b/>
          <w:bCs/>
          <w:sz w:val="32"/>
          <w:szCs w:val="32"/>
        </w:rPr>
        <w:t>其中：</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公务用车购置费</w:t>
      </w:r>
      <w:r>
        <w:rPr>
          <w:rFonts w:hint="eastAsia" w:ascii="仿宋_GB2312" w:hAnsi="Times New Roman" w:eastAsia="仿宋_GB2312" w:cs="DengXian-Regular"/>
          <w:b/>
          <w:sz w:val="32"/>
          <w:szCs w:val="32"/>
          <w:lang w:val="en-US" w:eastAsia="zh-CN"/>
        </w:rPr>
        <w:t>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年度公务用车购置量0辆，未发生“公务用车购置”经费支出。公务用车购置费支出与年初预算无增减变化，与2018年决算支出无</w:t>
      </w:r>
      <w:r>
        <w:rPr>
          <w:rFonts w:hint="eastAsia" w:ascii="仿宋" w:hAnsi="仿宋" w:eastAsia="仿宋" w:cs="DengXian-Regular"/>
          <w:sz w:val="32"/>
          <w:szCs w:val="32"/>
        </w:rPr>
        <w:t>增</w:t>
      </w:r>
      <w:r>
        <w:rPr>
          <w:rFonts w:hint="eastAsia" w:ascii="仿宋" w:hAnsi="仿宋" w:eastAsia="仿宋" w:cs="仿宋"/>
          <w:bCs/>
          <w:color w:val="000000"/>
          <w:sz w:val="32"/>
          <w:szCs w:val="32"/>
        </w:rPr>
        <w:t>减变化</w:t>
      </w:r>
      <w:r>
        <w:rPr>
          <w:rFonts w:hint="eastAsia" w:ascii="仿宋_GB2312" w:hAnsi="Times New Roman" w:eastAsia="仿宋_GB2312" w:cs="DengXian-Regular"/>
          <w:sz w:val="32"/>
          <w:szCs w:val="32"/>
        </w:rPr>
        <w:t>。</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楷体_GB2312" w:hAnsi="Times New Roman" w:eastAsia="楷体_GB2312" w:cs="DengXian-Bold"/>
          <w:b/>
          <w:bCs/>
          <w:sz w:val="32"/>
          <w:szCs w:val="32"/>
        </w:rPr>
        <w:t>2</w:t>
      </w:r>
      <w:r>
        <w:rPr>
          <w:rFonts w:hint="eastAsia" w:ascii="楷体_GB2312" w:hAnsi="Times New Roman" w:eastAsia="楷体_GB2312" w:cs="DengXian-Bold"/>
          <w:b/>
          <w:bCs/>
          <w:sz w:val="32"/>
          <w:szCs w:val="32"/>
          <w:lang w:val="en-US" w:eastAsia="zh-CN"/>
        </w:rPr>
        <w:t>.00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年度单位公务用车保有量1辆。公车运行维护费支出较预算减少1</w:t>
      </w:r>
      <w:r>
        <w:rPr>
          <w:rFonts w:hint="eastAsia" w:ascii="仿宋_GB2312" w:hAnsi="Times New Roman" w:eastAsia="仿宋_GB2312" w:cs="DengXian-Regular"/>
          <w:sz w:val="32"/>
          <w:szCs w:val="32"/>
          <w:lang w:val="en-US" w:eastAsia="zh-CN"/>
        </w:rPr>
        <w:t>.00</w:t>
      </w:r>
      <w:r>
        <w:rPr>
          <w:rFonts w:hint="eastAsia" w:ascii="仿宋_GB2312" w:hAnsi="Times New Roman" w:eastAsia="仿宋_GB2312" w:cs="DengXian-Regular"/>
          <w:sz w:val="32"/>
          <w:szCs w:val="32"/>
        </w:rPr>
        <w:t>万元，降低33.33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主要是主要是</w:t>
      </w:r>
      <w:r>
        <w:rPr>
          <w:rFonts w:hint="eastAsia" w:ascii="仿宋" w:hAnsi="仿宋" w:eastAsia="仿宋"/>
          <w:sz w:val="32"/>
          <w:szCs w:val="32"/>
        </w:rPr>
        <w:t>下乡次数减少节省了运行维护费</w:t>
      </w:r>
      <w:r>
        <w:rPr>
          <w:rFonts w:hint="eastAsia" w:ascii="仿宋_GB2312" w:hAnsi="Times New Roman" w:eastAsia="仿宋_GB2312" w:cs="DengXian-Regular"/>
          <w:sz w:val="32"/>
          <w:szCs w:val="32"/>
        </w:rPr>
        <w:t>；较上年决算增加0.20万元，增长10.94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，主要是主要是</w:t>
      </w:r>
      <w:r>
        <w:rPr>
          <w:rFonts w:hint="eastAsia" w:ascii="仿宋" w:hAnsi="仿宋" w:eastAsia="仿宋"/>
          <w:sz w:val="32"/>
          <w:szCs w:val="32"/>
        </w:rPr>
        <w:t>公务用车保险和下乡出差增多造成金额增加</w:t>
      </w:r>
      <w:r>
        <w:rPr>
          <w:rFonts w:hint="eastAsia" w:ascii="仿宋_GB2312" w:hAnsi="Times New Roman" w:eastAsia="仿宋_GB2312" w:cs="DengXian-Regular"/>
          <w:sz w:val="32"/>
          <w:szCs w:val="32"/>
        </w:rPr>
        <w:t>。</w:t>
      </w:r>
    </w:p>
    <w:p>
      <w:pPr>
        <w:spacing w:line="520" w:lineRule="exact"/>
        <w:ind w:firstLine="643" w:firstLineChars="200"/>
        <w:rPr>
          <w:rFonts w:ascii="仿宋" w:hAnsi="仿宋" w:eastAsia="仿宋"/>
          <w:sz w:val="32"/>
          <w:szCs w:val="32"/>
        </w:rPr>
      </w:pPr>
      <w:r>
        <w:rPr>
          <w:rFonts w:hint="eastAsia" w:ascii="楷体_GB2312" w:hAnsi="Times New Roman" w:eastAsia="楷体_GB2312" w:cs="DengXian-Bold"/>
          <w:b/>
          <w:bCs/>
          <w:sz w:val="32"/>
          <w:szCs w:val="32"/>
        </w:rPr>
        <w:t>（三）公务接待费支出0万元。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年度公务接待共0批次、0人次。公务接待费支出较预算减少0.12万元，降低100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 w:hAnsi="仿宋" w:eastAsia="仿宋"/>
          <w:sz w:val="32"/>
          <w:szCs w:val="32"/>
        </w:rPr>
        <w:t>大力压缩了接待人员和次数；与</w:t>
      </w:r>
      <w:r>
        <w:rPr>
          <w:rFonts w:ascii="仿宋" w:hAnsi="仿宋" w:eastAsia="仿宋"/>
          <w:sz w:val="32"/>
          <w:szCs w:val="32"/>
        </w:rPr>
        <w:t>201</w:t>
      </w:r>
      <w:r>
        <w:rPr>
          <w:rFonts w:hint="eastAsia" w:ascii="仿宋" w:hAnsi="仿宋" w:eastAsia="仿宋"/>
          <w:sz w:val="32"/>
          <w:szCs w:val="32"/>
        </w:rPr>
        <w:t>8</w:t>
      </w:r>
      <w:r>
        <w:rPr>
          <w:rFonts w:ascii="仿宋" w:hAnsi="仿宋" w:eastAsia="仿宋"/>
          <w:sz w:val="32"/>
          <w:szCs w:val="32"/>
        </w:rPr>
        <w:t>年决算</w:t>
      </w:r>
      <w:r>
        <w:rPr>
          <w:rFonts w:hint="eastAsia" w:ascii="仿宋" w:hAnsi="仿宋" w:eastAsia="仿宋"/>
          <w:sz w:val="32"/>
          <w:szCs w:val="32"/>
        </w:rPr>
        <w:t>无</w:t>
      </w:r>
      <w:r>
        <w:rPr>
          <w:rFonts w:hint="eastAsia" w:ascii="仿宋" w:hAnsi="仿宋" w:eastAsia="仿宋" w:cs="DengXian-Regular"/>
          <w:sz w:val="32"/>
          <w:szCs w:val="32"/>
        </w:rPr>
        <w:t>增</w:t>
      </w:r>
      <w:r>
        <w:rPr>
          <w:rFonts w:hint="eastAsia" w:ascii="仿宋" w:hAnsi="仿宋" w:eastAsia="仿宋" w:cs="仿宋"/>
          <w:bCs/>
          <w:color w:val="000000"/>
          <w:sz w:val="32"/>
          <w:szCs w:val="32"/>
        </w:rPr>
        <w:t>减</w:t>
      </w:r>
      <w:r>
        <w:rPr>
          <w:rFonts w:hint="eastAsia" w:ascii="仿宋" w:hAnsi="仿宋" w:eastAsia="仿宋"/>
          <w:sz w:val="32"/>
          <w:szCs w:val="32"/>
        </w:rPr>
        <w:t>变化。</w:t>
      </w:r>
    </w:p>
    <w:p>
      <w:pPr>
        <w:adjustRightInd w:val="0"/>
        <w:snapToGrid w:val="0"/>
        <w:spacing w:line="580" w:lineRule="exact"/>
        <w:ind w:firstLine="640" w:firstLineChars="200"/>
        <w:rPr>
          <w:rFonts w:ascii="黑体" w:hAnsi="Times New Roman" w:eastAsia="黑体"/>
          <w:sz w:val="32"/>
          <w:szCs w:val="40"/>
        </w:rPr>
      </w:pPr>
      <w:r>
        <w:rPr>
          <w:rFonts w:hint="eastAsia" w:ascii="黑体" w:hAnsi="Times New Roman" w:eastAsia="黑体"/>
          <w:sz w:val="32"/>
          <w:szCs w:val="40"/>
        </w:rPr>
        <w:t>六、预算绩效情况说明</w:t>
      </w:r>
    </w:p>
    <w:p>
      <w:pPr>
        <w:adjustRightInd w:val="0"/>
        <w:snapToGrid w:val="0"/>
        <w:spacing w:line="58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1. </w:t>
      </w:r>
      <w:r>
        <w:rPr>
          <w:rFonts w:hint="eastAsia" w:ascii="仿宋_GB2312" w:hAnsi="仿宋_GB2312" w:eastAsia="仿宋_GB2312" w:cs="仿宋_GB2312"/>
          <w:b/>
          <w:bCs/>
          <w:sz w:val="32"/>
          <w:szCs w:val="32"/>
        </w:rPr>
        <w:t>预算绩效管理工作开展情况。</w:t>
      </w:r>
    </w:p>
    <w:p>
      <w:pPr>
        <w:spacing w:line="520" w:lineRule="exact"/>
        <w:ind w:firstLine="640" w:firstLineChars="200"/>
        <w:rPr>
          <w:rFonts w:ascii="方正书宋_GBK" w:eastAsia="方正书宋_GBK"/>
          <w:b/>
        </w:rPr>
      </w:pPr>
      <w:r>
        <w:rPr>
          <w:rFonts w:hint="eastAsia" w:ascii="仿宋" w:hAnsi="仿宋" w:eastAsia="仿宋" w:cs="仿宋_GB2312"/>
          <w:sz w:val="32"/>
          <w:szCs w:val="32"/>
        </w:rPr>
        <w:t>根据预算绩效管理要求，本部门组织对</w:t>
      </w:r>
      <w:r>
        <w:rPr>
          <w:rFonts w:ascii="仿宋" w:hAnsi="仿宋" w:eastAsia="仿宋" w:cs="仿宋_GB2312"/>
          <w:sz w:val="32"/>
          <w:szCs w:val="32"/>
        </w:rPr>
        <w:t>2019</w:t>
      </w:r>
      <w:r>
        <w:rPr>
          <w:rFonts w:hint="eastAsia" w:ascii="仿宋" w:hAnsi="仿宋" w:eastAsia="仿宋" w:cs="仿宋_GB2312"/>
          <w:sz w:val="32"/>
          <w:szCs w:val="32"/>
        </w:rPr>
        <w:t>年度一般公共预算项目支出全面开展绩效自评，其中项目4个，共涉及资金16.87万元，占一般公共预算项目支出总额的100%。组织对“</w:t>
      </w:r>
      <w:r>
        <w:rPr>
          <w:rFonts w:hint="eastAsia" w:ascii="仿宋" w:hAnsi="仿宋" w:eastAsia="仿宋"/>
          <w:sz w:val="32"/>
          <w:szCs w:val="32"/>
        </w:rPr>
        <w:t>全县行政事业单位管理体制改革和机构编制管理工作</w:t>
      </w:r>
      <w:r>
        <w:rPr>
          <w:rFonts w:hint="eastAsia" w:ascii="仿宋" w:hAnsi="仿宋" w:eastAsia="仿宋" w:cs="仿宋_GB2312"/>
          <w:sz w:val="32"/>
          <w:szCs w:val="32"/>
        </w:rPr>
        <w:t>”“</w:t>
      </w:r>
      <w:r>
        <w:rPr>
          <w:rFonts w:hint="eastAsia" w:ascii="仿宋" w:hAnsi="仿宋" w:eastAsia="仿宋"/>
          <w:sz w:val="32"/>
          <w:szCs w:val="32"/>
        </w:rPr>
        <w:t>事业单位法人登记管理</w:t>
      </w:r>
      <w:r>
        <w:rPr>
          <w:rFonts w:hint="eastAsia" w:ascii="仿宋" w:hAnsi="仿宋" w:eastAsia="仿宋" w:cs="仿宋_GB2312"/>
          <w:sz w:val="32"/>
          <w:szCs w:val="32"/>
        </w:rPr>
        <w:t>”</w:t>
      </w:r>
      <w:r>
        <w:rPr>
          <w:rFonts w:hint="eastAsia" w:ascii="仿宋" w:hAnsi="仿宋" w:eastAsia="仿宋"/>
          <w:sz w:val="32"/>
          <w:szCs w:val="32"/>
        </w:rPr>
        <w:t>“行政审批制度改革工作和促进政府职能转变工作”“机构编制各系统各网络事务管理</w:t>
      </w:r>
      <w:r>
        <w:rPr>
          <w:rFonts w:ascii="仿宋" w:hAnsi="仿宋" w:eastAsia="仿宋"/>
          <w:sz w:val="32"/>
          <w:szCs w:val="32"/>
        </w:rPr>
        <w:t>”</w:t>
      </w:r>
      <w:r>
        <w:rPr>
          <w:rFonts w:hint="eastAsia" w:ascii="仿宋" w:hAnsi="仿宋" w:eastAsia="仿宋" w:cs="仿宋_GB2312"/>
          <w:sz w:val="32"/>
          <w:szCs w:val="32"/>
        </w:rPr>
        <w:t>等4个项目开展了部门评价，涉及一般公共预算支出16.87万元。其中，对“</w:t>
      </w:r>
      <w:r>
        <w:rPr>
          <w:rFonts w:hint="eastAsia" w:ascii="仿宋" w:hAnsi="仿宋" w:eastAsia="仿宋"/>
          <w:sz w:val="32"/>
          <w:szCs w:val="32"/>
        </w:rPr>
        <w:t>全县行政事业单位管理体制改革和机构编制管理工作</w:t>
      </w:r>
      <w:r>
        <w:rPr>
          <w:rFonts w:hint="eastAsia" w:ascii="仿宋" w:hAnsi="仿宋" w:eastAsia="仿宋" w:cs="仿宋_GB2312"/>
          <w:sz w:val="32"/>
          <w:szCs w:val="32"/>
        </w:rPr>
        <w:t>”“</w:t>
      </w:r>
      <w:r>
        <w:rPr>
          <w:rFonts w:hint="eastAsia" w:ascii="仿宋" w:hAnsi="仿宋" w:eastAsia="仿宋"/>
          <w:sz w:val="32"/>
          <w:szCs w:val="32"/>
        </w:rPr>
        <w:t>事业单位法人登记管理</w:t>
      </w:r>
      <w:r>
        <w:rPr>
          <w:rFonts w:hint="eastAsia" w:ascii="仿宋" w:hAnsi="仿宋" w:eastAsia="仿宋" w:cs="仿宋_GB2312"/>
          <w:sz w:val="32"/>
          <w:szCs w:val="32"/>
        </w:rPr>
        <w:t>”</w:t>
      </w:r>
      <w:r>
        <w:rPr>
          <w:rFonts w:hint="eastAsia" w:ascii="仿宋" w:hAnsi="仿宋" w:eastAsia="仿宋"/>
          <w:sz w:val="32"/>
          <w:szCs w:val="32"/>
        </w:rPr>
        <w:t>“行政审批制度改革工作和促进政府职能转变工作”“机构编制各系统各网络事务管理</w:t>
      </w:r>
      <w:r>
        <w:rPr>
          <w:rFonts w:ascii="仿宋" w:hAnsi="仿宋" w:eastAsia="仿宋"/>
          <w:sz w:val="32"/>
          <w:szCs w:val="32"/>
        </w:rPr>
        <w:t>”</w:t>
      </w:r>
      <w:r>
        <w:rPr>
          <w:rFonts w:hint="eastAsia" w:ascii="仿宋_GB2312" w:hAnsi="仿宋_GB2312" w:eastAsia="仿宋_GB2312" w:cs="仿宋_GB2312"/>
          <w:sz w:val="32"/>
          <w:szCs w:val="32"/>
        </w:rPr>
        <w:t>内部开展绩效评价。</w:t>
      </w:r>
      <w:r>
        <w:rPr>
          <w:rFonts w:hint="eastAsia" w:ascii="仿宋" w:hAnsi="仿宋" w:eastAsia="仿宋" w:cs="仿宋_GB2312"/>
          <w:sz w:val="32"/>
          <w:szCs w:val="32"/>
        </w:rPr>
        <w:t>根据</w:t>
      </w:r>
      <w:bookmarkStart w:id="0" w:name="_Toc477179486"/>
      <w:r>
        <w:rPr>
          <w:rFonts w:hint="eastAsia" w:ascii="仿宋" w:hAnsi="仿宋" w:eastAsia="仿宋" w:cs="仿宋_GB2312"/>
          <w:sz w:val="32"/>
          <w:szCs w:val="32"/>
        </w:rPr>
        <w:t>部门职责</w:t>
      </w:r>
      <w:r>
        <w:rPr>
          <w:rFonts w:ascii="仿宋" w:hAnsi="仿宋" w:eastAsia="仿宋" w:cs="仿宋_GB2312"/>
          <w:sz w:val="32"/>
          <w:szCs w:val="32"/>
        </w:rPr>
        <w:t>-</w:t>
      </w:r>
      <w:r>
        <w:rPr>
          <w:rFonts w:hint="eastAsia" w:ascii="仿宋" w:hAnsi="仿宋" w:eastAsia="仿宋" w:cs="仿宋_GB2312"/>
          <w:sz w:val="32"/>
          <w:szCs w:val="32"/>
        </w:rPr>
        <w:t>工作活动绩效目标</w:t>
      </w:r>
      <w:bookmarkEnd w:id="0"/>
      <w:r>
        <w:rPr>
          <w:rFonts w:hint="eastAsia" w:ascii="仿宋" w:hAnsi="仿宋" w:eastAsia="仿宋" w:cs="仿宋_GB2312"/>
          <w:sz w:val="32"/>
          <w:szCs w:val="32"/>
        </w:rPr>
        <w:t>评分，部门整体支出绩效为“优秀”。本部门依法合理有效地使用财政资金，提高财政资金使用效率，在完成部门职能目标中合理分配人、财、物，各个股室之间相配合，互为监督，使之达到较高的使用效率和实施效果。较好地实现了预算项目绩效目标，</w:t>
      </w:r>
      <w:r>
        <w:rPr>
          <w:rFonts w:ascii="仿宋" w:hAnsi="仿宋" w:eastAsia="仿宋" w:cs="仿宋_GB2312"/>
          <w:sz w:val="32"/>
          <w:szCs w:val="32"/>
        </w:rPr>
        <w:t>绩效自评覆盖率达到100%。</w:t>
      </w:r>
    </w:p>
    <w:p>
      <w:p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2. </w:t>
      </w:r>
      <w:r>
        <w:rPr>
          <w:rFonts w:hint="eastAsia" w:ascii="仿宋_GB2312" w:hAnsi="仿宋_GB2312" w:eastAsia="仿宋_GB2312" w:cs="仿宋_GB2312"/>
          <w:b/>
          <w:bCs/>
          <w:sz w:val="32"/>
          <w:szCs w:val="32"/>
        </w:rPr>
        <w:t>部门决算中项目绩效自评结果。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本部门在今年部门决算公开中反映“</w:t>
      </w:r>
      <w:r>
        <w:rPr>
          <w:rFonts w:hint="eastAsia" w:ascii="仿宋" w:hAnsi="仿宋" w:eastAsia="仿宋"/>
          <w:sz w:val="32"/>
          <w:szCs w:val="32"/>
        </w:rPr>
        <w:t>全县行政事业单位管理体制改革和机构编制管理工作</w:t>
      </w:r>
      <w:r>
        <w:rPr>
          <w:rFonts w:hint="eastAsia" w:ascii="仿宋_GB2312" w:hAnsi="Calibri" w:eastAsia="仿宋_GB2312" w:cs="ArialUnicodeMS"/>
          <w:kern w:val="0"/>
          <w:sz w:val="32"/>
          <w:szCs w:val="32"/>
        </w:rPr>
        <w:t>”项目绩效自评结果。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w:t>
      </w:r>
      <w:r>
        <w:rPr>
          <w:rFonts w:hint="eastAsia" w:ascii="仿宋" w:hAnsi="仿宋" w:eastAsia="仿宋"/>
          <w:sz w:val="32"/>
          <w:szCs w:val="32"/>
        </w:rPr>
        <w:t>全县行政事业单位管理体制改革和机构编制管理工作</w:t>
      </w:r>
      <w:r>
        <w:rPr>
          <w:rFonts w:hint="eastAsia" w:ascii="仿宋_GB2312" w:hAnsi="Calibri" w:eastAsia="仿宋_GB2312" w:cs="ArialUnicodeMS"/>
          <w:kern w:val="0"/>
          <w:sz w:val="32"/>
          <w:szCs w:val="32"/>
        </w:rPr>
        <w:t>”项目绩效自评综述：</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绩效自评综述：稳妥推进全县机构改革工作。组织实施县级党政机构改革巩固工作，调整优化党政机构和职能，统筹推进其他各项改革：深化群团组织改革，深化县委、县政府直属事业单位改革及承担行政职能的事业单位改革，做好深化乡镇机构改革准备工作。除纪委监委外，涉及改革其他</w:t>
      </w:r>
      <w:r>
        <w:rPr>
          <w:rFonts w:ascii="仿宋_GB2312" w:hAnsi="Calibri" w:eastAsia="仿宋_GB2312" w:cs="ArialUnicodeMS"/>
          <w:kern w:val="0"/>
          <w:sz w:val="32"/>
          <w:szCs w:val="32"/>
        </w:rPr>
        <w:t>32个党政部门核定科级领导职数96名；改革的33个部门核定行政编制共413名，政法专项编制204名，设置内设机构155个。</w:t>
      </w:r>
    </w:p>
    <w:p>
      <w:pPr>
        <w:spacing w:line="580" w:lineRule="exact"/>
        <w:ind w:firstLine="640" w:firstLineChars="200"/>
        <w:rPr>
          <w:rFonts w:ascii="仿宋_GB2312" w:hAnsi="Calibri" w:eastAsia="仿宋_GB2312" w:cs="ArialUnicodeMS"/>
          <w:kern w:val="0"/>
          <w:sz w:val="32"/>
          <w:szCs w:val="32"/>
        </w:rPr>
      </w:pPr>
      <w:r>
        <w:rPr>
          <w:rFonts w:ascii="仿宋_GB2312" w:hAnsi="Calibri" w:eastAsia="仿宋_GB2312" w:cs="ArialUnicodeMS"/>
          <w:kern w:val="0"/>
          <w:sz w:val="32"/>
          <w:szCs w:val="32"/>
        </w:rPr>
        <w:t>结合机构改革、行业体制改革，进一步精简收回各类编制。在严格控制机构编制总量的前提下，加大动态调整力度，推动编制资源向重点领域和基层倾斜，把有限的机构编制资源用于经济社会发展最大化。</w:t>
      </w:r>
    </w:p>
    <w:p>
      <w:pPr>
        <w:keepNext/>
        <w:keepLines/>
        <w:snapToGrid w:val="0"/>
        <w:spacing w:line="580" w:lineRule="exact"/>
        <w:ind w:firstLine="643" w:firstLineChars="200"/>
        <w:outlineLvl w:val="1"/>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3.财政评价项目绩效评价结果</w:t>
      </w:r>
    </w:p>
    <w:p>
      <w:pPr>
        <w:keepNext/>
        <w:keepLines/>
        <w:snapToGrid w:val="0"/>
        <w:spacing w:line="580" w:lineRule="exact"/>
        <w:ind w:firstLine="640" w:firstLineChars="200"/>
        <w:outlineLvl w:val="1"/>
        <w:rPr>
          <w:rFonts w:ascii="黑体" w:hAnsi="Calibri" w:eastAsia="黑体"/>
          <w:sz w:val="32"/>
          <w:szCs w:val="32"/>
        </w:rPr>
      </w:pPr>
      <w:r>
        <w:rPr>
          <w:rFonts w:hint="eastAsia" w:ascii="仿宋_GB2312" w:hAnsi="仿宋_GB2312" w:eastAsia="仿宋_GB2312" w:cs="仿宋_GB2312"/>
          <w:bCs/>
          <w:sz w:val="32"/>
          <w:szCs w:val="32"/>
        </w:rPr>
        <w:t>本部门没有财政评价项目。</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七、其他重要事项的说明</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年度机关运行经费支出15.71万元，比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年度决算减少2.32万元，降低12.87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 w:hAnsi="仿宋" w:eastAsia="仿宋"/>
          <w:sz w:val="32"/>
          <w:szCs w:val="32"/>
        </w:rPr>
        <w:t>公务员调出减少了通讯补贴和车补等。</w:t>
      </w:r>
      <w:r>
        <w:rPr>
          <w:rFonts w:hint="eastAsia" w:ascii="仿宋_GB2312" w:eastAsia="仿宋_GB2312" w:cs="DengXian-Regular"/>
          <w:sz w:val="32"/>
          <w:szCs w:val="32"/>
        </w:rPr>
        <w:t>本部门</w:t>
      </w:r>
      <w:r>
        <w:rPr>
          <w:rFonts w:ascii="仿宋_GB2312" w:eastAsia="仿宋_GB2312" w:cs="DengXian-Regular"/>
          <w:sz w:val="32"/>
          <w:szCs w:val="32"/>
        </w:rPr>
        <w:t>2019</w:t>
      </w:r>
      <w:r>
        <w:rPr>
          <w:rFonts w:hint="eastAsia" w:ascii="仿宋_GB2312" w:eastAsia="仿宋_GB2312" w:cs="DengXian-Regular"/>
          <w:sz w:val="32"/>
          <w:szCs w:val="32"/>
        </w:rPr>
        <w:t>年度机关运行经费支出15.71万元，比年初预算数减少2.29万元，降低12.72</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 w:hAnsi="仿宋" w:eastAsia="仿宋"/>
          <w:sz w:val="32"/>
          <w:szCs w:val="32"/>
        </w:rPr>
        <w:t>公务员调出减少了通讯补贴和车补等。</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年度政府采购支出总额0万元，从采购类型来看，</w:t>
      </w:r>
      <w:r>
        <w:rPr>
          <w:rFonts w:hint="eastAsia" w:ascii="仿宋_GB2312" w:hAnsi="仿宋_GB2312" w:eastAsia="仿宋_GB2312" w:cs="仿宋_GB2312"/>
          <w:color w:val="000000"/>
          <w:kern w:val="0"/>
          <w:sz w:val="32"/>
          <w:szCs w:val="32"/>
        </w:rPr>
        <w:t>政府采购货物支出0万元、政府采购工程支出0万元、政府采购服务支出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0万元。授予中小企业合同金额0万元，占政府采购支出总额的0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，其中授予小微企业合同金额0万元，占政府采购支出总额的</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1辆，与上年一致。其中，副部（省）级及以上领导用车0辆，主要领导干部用车0辆，机要通信用车0辆，应急保障用车1辆，执法执勤用车0辆，特种专业技术用车0辆，离退休干部用车0辆，其他用车0辆；</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万元以上通用设备0台（套），与上年一致，单位价值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万元以上专用设备0台（套），与上年一致。</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pPr>
        <w:spacing w:line="500" w:lineRule="exact"/>
        <w:ind w:firstLine="480" w:firstLineChars="150"/>
        <w:rPr>
          <w:rFonts w:ascii="仿宋" w:hAnsi="仿宋" w:eastAsia="仿宋" w:cs="仿宋_GB2312"/>
          <w:color w:val="000000"/>
          <w:sz w:val="32"/>
          <w:szCs w:val="32"/>
        </w:rPr>
      </w:pPr>
      <w:r>
        <w:rPr>
          <w:rFonts w:ascii="仿宋_GB2312" w:hAnsi="Times New Roman" w:eastAsia="仿宋_GB2312" w:cs="DengXian-Regular"/>
          <w:sz w:val="32"/>
          <w:szCs w:val="32"/>
        </w:rPr>
        <w:t xml:space="preserve">1. </w:t>
      </w:r>
      <w:r>
        <w:rPr>
          <w:rFonts w:hint="eastAsia" w:ascii="仿宋" w:hAnsi="仿宋" w:eastAsia="仿宋" w:cs="仿宋_GB2312"/>
          <w:color w:val="000000"/>
          <w:sz w:val="32"/>
          <w:szCs w:val="32"/>
        </w:rPr>
        <w:t>本部门2019年度</w:t>
      </w:r>
      <w:r>
        <w:rPr>
          <w:rFonts w:hint="eastAsia" w:ascii="仿宋" w:hAnsi="仿宋" w:eastAsia="仿宋" w:cs="黑体"/>
          <w:color w:val="000000"/>
          <w:kern w:val="0"/>
          <w:sz w:val="32"/>
          <w:szCs w:val="32"/>
        </w:rPr>
        <w:t>政府性基金预算财政拨款</w:t>
      </w:r>
      <w:r>
        <w:rPr>
          <w:rFonts w:hint="eastAsia" w:ascii="仿宋" w:hAnsi="仿宋" w:eastAsia="仿宋" w:cs="仿宋_GB2312"/>
          <w:color w:val="000000"/>
          <w:sz w:val="32"/>
          <w:szCs w:val="32"/>
        </w:rPr>
        <w:t>无收支及结转结余情况，故“</w:t>
      </w:r>
      <w:r>
        <w:rPr>
          <w:rFonts w:hint="eastAsia" w:ascii="仿宋" w:hAnsi="仿宋" w:eastAsia="仿宋" w:cs="黑体"/>
          <w:color w:val="000000"/>
          <w:kern w:val="0"/>
          <w:sz w:val="32"/>
          <w:szCs w:val="32"/>
        </w:rPr>
        <w:t>政府性基金预算财政拨款收入支出决算表”</w:t>
      </w:r>
      <w:r>
        <w:rPr>
          <w:rFonts w:hint="eastAsia" w:ascii="仿宋" w:hAnsi="仿宋" w:eastAsia="仿宋" w:cs="仿宋_GB2312"/>
          <w:color w:val="000000"/>
          <w:sz w:val="32"/>
          <w:szCs w:val="32"/>
        </w:rPr>
        <w:t>以空表列示</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 w:hAnsi="仿宋" w:eastAsia="仿宋" w:cs="仿宋_GB2312"/>
          <w:color w:val="000000"/>
          <w:sz w:val="32"/>
          <w:szCs w:val="32"/>
        </w:rPr>
      </w:pPr>
      <w:r>
        <w:rPr>
          <w:rFonts w:hint="eastAsia" w:ascii="仿宋" w:hAnsi="仿宋" w:eastAsia="仿宋" w:cs="仿宋_GB2312"/>
          <w:color w:val="000000"/>
          <w:sz w:val="32"/>
          <w:szCs w:val="32"/>
        </w:rPr>
        <w:t>本部门2019年度国有资本经营预算财政拨款无收支及结转结余情况，故 “国有资本经营预算财政拨款支出决算表”以空表列示。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pPr>
        <w:jc w:val="center"/>
        <w:rPr>
          <w:rFonts w:ascii="黑体" w:hAnsi="黑体" w:eastAsia="黑体" w:cs="黑体"/>
          <w:sz w:val="56"/>
          <w:szCs w:val="72"/>
        </w:rPr>
      </w:pPr>
    </w:p>
    <w:p>
      <w:pPr>
        <w:jc w:val="cente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pPr>
        <w:rPr>
          <w:rFonts w:ascii="黑体" w:hAnsi="黑体" w:eastAsia="黑体" w:cs="黑体"/>
          <w:sz w:val="56"/>
          <w:szCs w:val="72"/>
        </w:rPr>
      </w:pPr>
    </w:p>
    <w:p>
      <w:pPr>
        <w:jc w:val="center"/>
        <w:rPr>
          <w:sz w:val="72"/>
        </w:rPr>
      </w:pPr>
      <w:r>
        <w:pict>
          <v:shape id="_x0000_s1088" o:spid="_x0000_s1088" o:spt="202" type="#_x0000_t202" style="position:absolute;left:0pt;margin-left:-80.45pt;margin-top:34.8pt;height:263.1pt;width:613.65pt;z-index:251670528;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w:r>
    </w:p>
    <w:p/>
    <w:p/>
    <w:p/>
    <w:p/>
    <w:p/>
    <w:p/>
    <w:p/>
    <w:p/>
    <w:p/>
    <w:p/>
    <w:p/>
    <w:p/>
    <w:p/>
    <w:p>
      <w:pPr>
        <w:tabs>
          <w:tab w:val="left" w:pos="886"/>
        </w:tabs>
        <w:jc w:val="left"/>
        <w:sectPr>
          <w:headerReference r:id="rId16" w:type="first"/>
          <w:pgSz w:w="11906" w:h="16838"/>
          <w:pgMar w:top="2041" w:right="1531" w:bottom="2041" w:left="1531" w:header="851" w:footer="992" w:gutter="0"/>
          <w:pgNumType w:fmt="numberInDash"/>
          <w:cols w:space="0" w:num="1"/>
          <w:titlePg/>
          <w:docGrid w:type="lines" w:linePitch="312" w:charSpace="0"/>
        </w:sectPr>
      </w:pPr>
    </w:p>
    <w:p>
      <w:pPr>
        <w:rPr>
          <w:rFonts w:ascii="仿宋_GB2312" w:hAnsi="宋体" w:eastAsia="仿宋_GB2312" w:cs="ArialUnicodeMS"/>
          <w:sz w:val="32"/>
          <w:szCs w:val="32"/>
          <w:highlight w:val="yellow"/>
        </w:rPr>
      </w:pPr>
    </w:p>
    <w:p>
      <w:pPr>
        <w:widowControl/>
        <w:spacing w:line="560" w:lineRule="exact"/>
        <w:ind w:firstLine="643" w:firstLineChars="200"/>
        <w:rPr>
          <w:rFonts w:ascii="仿宋_GB2312" w:hAnsi="宋体" w:eastAsia="仿宋_GB2312"/>
          <w:b/>
          <w:bCs/>
          <w:color w:val="000000"/>
          <w:kern w:val="0"/>
          <w:sz w:val="32"/>
          <w:szCs w:val="32"/>
        </w:rPr>
      </w:pPr>
    </w:p>
    <w:p>
      <w:pPr>
        <w:widowControl/>
        <w:spacing w:line="560" w:lineRule="exact"/>
        <w:ind w:firstLine="643" w:firstLineChars="200"/>
        <w:rPr>
          <w:rFonts w:ascii="仿宋_GB2312" w:hAnsi="宋体" w:eastAsia="仿宋_GB2312"/>
          <w:b/>
          <w:bCs/>
          <w:color w:val="000000"/>
          <w:kern w:val="0"/>
          <w:sz w:val="32"/>
          <w:szCs w:val="32"/>
        </w:rPr>
      </w:pPr>
    </w:p>
    <w:p>
      <w:pPr>
        <w:widowControl/>
        <w:spacing w:line="560" w:lineRule="exact"/>
        <w:rPr>
          <w:rFonts w:hint="eastAsia" w:ascii="仿宋_GB2312" w:hAnsi="宋体" w:eastAsia="仿宋_GB2312"/>
          <w:b/>
          <w:bCs/>
          <w:color w:val="000000"/>
          <w:kern w:val="0"/>
          <w:sz w:val="32"/>
          <w:szCs w:val="32"/>
        </w:rPr>
      </w:pP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
    <w:p>
      <w:pPr>
        <w:jc w:val="left"/>
        <w:sectPr>
          <w:headerReference r:id="rId17" w:type="default"/>
          <w:type w:val="continuous"/>
          <w:pgSz w:w="11906" w:h="16838"/>
          <w:pgMar w:top="2098" w:right="1474" w:bottom="1985" w:left="1588" w:header="851" w:footer="992" w:gutter="0"/>
          <w:pgNumType w:fmt="numberInDash"/>
          <w:cols w:space="425" w:num="1"/>
          <w:docGrid w:type="lines" w:linePitch="312" w:charSpace="0"/>
        </w:sectPr>
      </w:pPr>
    </w:p>
    <w:p>
      <w:pPr>
        <w:tabs>
          <w:tab w:val="left" w:pos="235"/>
        </w:tabs>
        <w:jc w:val="left"/>
        <w:sectPr>
          <w:pgSz w:w="11906" w:h="16838"/>
          <w:pgMar w:top="2098" w:right="1474" w:bottom="1985" w:left="1588" w:header="851" w:footer="992" w:gutter="0"/>
          <w:pgNumType w:fmt="numberInDash"/>
          <w:cols w:space="425" w:num="1"/>
          <w:docGrid w:type="lines" w:linePitch="312" w:charSpace="0"/>
        </w:sectPr>
      </w:pPr>
      <w:r>
        <w:pict>
          <v:shape id="_x0000_s1089" o:spid="_x0000_s1089" o:spt="202" type="#_x0000_t202" style="position:absolute;left:0pt;margin-left:-82.05pt;margin-top:135.85pt;height:263.1pt;width:613.65pt;z-index:-251656192;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w:r>
    </w:p>
    <w:tbl>
      <w:tblPr>
        <w:tblStyle w:val="6"/>
        <w:tblpPr w:leftFromText="180" w:rightFromText="180" w:vertAnchor="text" w:horzAnchor="page" w:tblpXSpec="center" w:tblpY="31"/>
        <w:tblOverlap w:val="never"/>
        <w:tblW w:w="9517" w:type="dxa"/>
        <w:jc w:val="center"/>
        <w:tblLayout w:type="fixed"/>
        <w:tblCellMar>
          <w:top w:w="0" w:type="dxa"/>
          <w:left w:w="0" w:type="dxa"/>
          <w:bottom w:w="0" w:type="dxa"/>
          <w:right w:w="0" w:type="dxa"/>
        </w:tblCellMar>
      </w:tblPr>
      <w:tblGrid>
        <w:gridCol w:w="9517"/>
      </w:tblGrid>
      <w:tr>
        <w:tblPrEx>
          <w:tblCellMar>
            <w:top w:w="0" w:type="dxa"/>
            <w:left w:w="0" w:type="dxa"/>
            <w:bottom w:w="0" w:type="dxa"/>
            <w:right w:w="0" w:type="dxa"/>
          </w:tblCellMar>
        </w:tblPrEx>
        <w:trPr>
          <w:trHeight w:val="489" w:hRule="atLeast"/>
          <w:jc w:val="center"/>
        </w:trPr>
        <w:tc>
          <w:tcPr>
            <w:tcW w:w="9517" w:type="dxa"/>
            <w:tcBorders>
              <w:top w:val="nil"/>
              <w:left w:val="nil"/>
              <w:bottom w:val="nil"/>
              <w:right w:val="nil"/>
            </w:tcBorders>
            <w:noWrap/>
            <w:tcMar>
              <w:top w:w="15" w:type="dxa"/>
              <w:left w:w="15" w:type="dxa"/>
              <w:right w:w="15" w:type="dxa"/>
            </w:tcMar>
            <w:vAlign w:val="bottom"/>
          </w:tcPr>
          <w:p>
            <w:pPr>
              <w:spacing w:line="400" w:lineRule="exact"/>
              <w:jc w:val="left"/>
              <w:rPr>
                <w:rFonts w:ascii="黑体" w:hAnsi="宋体" w:eastAsia="黑体" w:cs="黑体"/>
                <w:color w:val="000000"/>
                <w:sz w:val="32"/>
                <w:szCs w:val="32"/>
              </w:rPr>
            </w:pPr>
            <w:r>
              <w:rPr>
                <w:rFonts w:hint="eastAsia" w:ascii="黑体" w:hAnsi="宋体" w:eastAsia="黑体" w:cs="黑体"/>
                <w:color w:val="000000"/>
                <w:kern w:val="0"/>
                <w:sz w:val="32"/>
                <w:szCs w:val="32"/>
              </w:rPr>
              <w:t>一、收入支出决算总表</w:t>
            </w:r>
          </w:p>
        </w:tc>
      </w:tr>
    </w:tbl>
    <w:tbl>
      <w:tblPr>
        <w:tblStyle w:val="6"/>
        <w:tblW w:w="9829" w:type="dxa"/>
        <w:jc w:val="center"/>
        <w:tblLayout w:type="autofit"/>
        <w:tblCellMar>
          <w:top w:w="0" w:type="dxa"/>
          <w:left w:w="0" w:type="dxa"/>
          <w:bottom w:w="0" w:type="dxa"/>
          <w:right w:w="0" w:type="dxa"/>
        </w:tblCellMar>
      </w:tblPr>
      <w:tblGrid>
        <w:gridCol w:w="9834"/>
      </w:tblGrid>
      <w:tr>
        <w:tblPrEx>
          <w:tblCellMar>
            <w:top w:w="0" w:type="dxa"/>
            <w:left w:w="0" w:type="dxa"/>
            <w:bottom w:w="0" w:type="dxa"/>
            <w:right w:w="0" w:type="dxa"/>
          </w:tblCellMar>
        </w:tblPrEx>
        <w:trPr>
          <w:trHeight w:val="402" w:hRule="atLeast"/>
          <w:jc w:val="center"/>
        </w:trPr>
        <w:tc>
          <w:tcPr>
            <w:tcW w:w="9829" w:type="dxa"/>
            <w:tcBorders>
              <w:top w:val="nil"/>
              <w:left w:val="nil"/>
              <w:bottom w:val="nil"/>
              <w:right w:val="nil"/>
            </w:tcBorders>
            <w:noWrap/>
            <w:tcMar>
              <w:top w:w="15" w:type="dxa"/>
              <w:left w:w="15" w:type="dxa"/>
              <w:right w:w="15" w:type="dxa"/>
            </w:tcMar>
            <w:vAlign w:val="bottom"/>
          </w:tcPr>
          <w:p>
            <w:pPr>
              <w:widowControl/>
              <w:jc w:val="center"/>
              <w:textAlignment w:val="bottom"/>
              <w:rPr>
                <w:rFonts w:ascii="黑体" w:hAnsi="宋体" w:eastAsia="黑体" w:cs="黑体"/>
                <w:color w:val="000000"/>
                <w:kern w:val="0"/>
                <w:sz w:val="32"/>
                <w:szCs w:val="32"/>
              </w:rPr>
            </w:pPr>
          </w:p>
          <w:p>
            <w:pPr>
              <w:widowControl/>
              <w:jc w:val="center"/>
              <w:textAlignment w:val="bottom"/>
              <w:rPr>
                <w:rFonts w:ascii="黑体" w:hAnsi="宋体" w:eastAsia="黑体" w:cs="黑体"/>
                <w:color w:val="000000"/>
                <w:kern w:val="0"/>
                <w:sz w:val="32"/>
                <w:szCs w:val="32"/>
              </w:rPr>
            </w:pPr>
            <w:r>
              <w:rPr>
                <w:rFonts w:ascii="黑体" w:hAnsi="宋体" w:eastAsia="黑体" w:cs="黑体"/>
                <w:color w:val="000000"/>
                <w:kern w:val="0"/>
                <w:sz w:val="32"/>
                <w:szCs w:val="32"/>
              </w:rPr>
              <w:pict>
                <v:shape id="_x0000_i1025" o:spt="75" type="#_x0000_t75" style="height:361.2pt;width:490.2pt;" filled="f" o:preferrelative="t" stroked="f" coordsize="21600,21600">
                  <v:path/>
                  <v:fill on="f" focussize="0,0"/>
                  <v:stroke on="f" joinstyle="miter"/>
                  <v:imagedata r:id="rId19" o:title=""/>
                  <o:lock v:ext="edit" aspectratio="t"/>
                  <w10:wrap type="none"/>
                  <w10:anchorlock/>
                </v:shape>
              </w:pict>
            </w:r>
          </w:p>
          <w:p>
            <w:pPr>
              <w:widowControl/>
              <w:jc w:val="center"/>
              <w:textAlignment w:val="bottom"/>
              <w:rPr>
                <w:rFonts w:ascii="黑体" w:hAnsi="宋体" w:eastAsia="黑体" w:cs="黑体"/>
                <w:color w:val="000000"/>
                <w:kern w:val="0"/>
                <w:sz w:val="32"/>
                <w:szCs w:val="32"/>
              </w:rPr>
            </w:pPr>
          </w:p>
          <w:p>
            <w:pPr>
              <w:widowControl/>
              <w:jc w:val="center"/>
              <w:textAlignment w:val="bottom"/>
              <w:rPr>
                <w:rFonts w:ascii="黑体" w:hAnsi="宋体" w:eastAsia="黑体" w:cs="黑体"/>
                <w:color w:val="000000"/>
                <w:kern w:val="0"/>
                <w:sz w:val="32"/>
                <w:szCs w:val="32"/>
              </w:rPr>
            </w:pPr>
          </w:p>
          <w:p>
            <w:pPr>
              <w:widowControl/>
              <w:jc w:val="center"/>
              <w:textAlignment w:val="bottom"/>
              <w:rPr>
                <w:rFonts w:ascii="黑体" w:hAnsi="宋体" w:eastAsia="黑体" w:cs="黑体"/>
                <w:color w:val="000000"/>
                <w:kern w:val="0"/>
                <w:sz w:val="32"/>
                <w:szCs w:val="32"/>
              </w:rPr>
            </w:pPr>
          </w:p>
          <w:p>
            <w:pPr>
              <w:widowControl/>
              <w:jc w:val="center"/>
              <w:textAlignment w:val="bottom"/>
              <w:rPr>
                <w:rFonts w:ascii="黑体" w:hAnsi="宋体" w:eastAsia="黑体" w:cs="黑体"/>
                <w:color w:val="000000"/>
                <w:kern w:val="0"/>
                <w:sz w:val="32"/>
                <w:szCs w:val="32"/>
              </w:rPr>
            </w:pPr>
          </w:p>
          <w:p>
            <w:pPr>
              <w:widowControl/>
              <w:jc w:val="center"/>
              <w:textAlignment w:val="bottom"/>
              <w:rPr>
                <w:rFonts w:ascii="黑体" w:hAnsi="宋体" w:eastAsia="黑体" w:cs="黑体"/>
                <w:color w:val="000000"/>
                <w:kern w:val="0"/>
                <w:sz w:val="32"/>
                <w:szCs w:val="32"/>
              </w:rPr>
            </w:pPr>
          </w:p>
          <w:p>
            <w:pPr>
              <w:widowControl/>
              <w:jc w:val="center"/>
              <w:textAlignment w:val="bottom"/>
              <w:rPr>
                <w:rFonts w:ascii="黑体" w:hAnsi="宋体" w:eastAsia="黑体" w:cs="黑体"/>
                <w:color w:val="000000"/>
                <w:kern w:val="0"/>
                <w:sz w:val="32"/>
                <w:szCs w:val="32"/>
              </w:rPr>
            </w:pPr>
          </w:p>
          <w:p>
            <w:pPr>
              <w:widowControl/>
              <w:jc w:val="center"/>
              <w:textAlignment w:val="bottom"/>
              <w:rPr>
                <w:rFonts w:ascii="黑体" w:hAnsi="宋体" w:eastAsia="黑体" w:cs="黑体"/>
                <w:color w:val="000000"/>
                <w:kern w:val="0"/>
                <w:sz w:val="32"/>
                <w:szCs w:val="32"/>
              </w:rPr>
            </w:pPr>
          </w:p>
          <w:p>
            <w:pPr>
              <w:widowControl/>
              <w:jc w:val="center"/>
              <w:textAlignment w:val="bottom"/>
              <w:rPr>
                <w:rFonts w:ascii="黑体" w:hAnsi="宋体" w:eastAsia="黑体" w:cs="黑体"/>
                <w:color w:val="000000"/>
                <w:kern w:val="0"/>
                <w:sz w:val="32"/>
                <w:szCs w:val="32"/>
              </w:rPr>
            </w:pPr>
          </w:p>
          <w:p>
            <w:pPr>
              <w:widowControl/>
              <w:ind w:firstLine="640" w:firstLineChars="200"/>
              <w:jc w:val="left"/>
              <w:textAlignment w:val="bottom"/>
              <w:rPr>
                <w:rFonts w:ascii="黑体" w:hAnsi="宋体" w:eastAsia="黑体" w:cs="黑体"/>
                <w:color w:val="000000"/>
                <w:sz w:val="32"/>
                <w:szCs w:val="32"/>
              </w:rPr>
            </w:pPr>
            <w:r>
              <w:rPr>
                <w:rFonts w:hint="eastAsia" w:ascii="黑体" w:hAnsi="宋体" w:eastAsia="黑体" w:cs="黑体"/>
                <w:color w:val="000000"/>
                <w:kern w:val="0"/>
                <w:sz w:val="32"/>
                <w:szCs w:val="32"/>
              </w:rPr>
              <w:t>二、收入决算表</w:t>
            </w:r>
          </w:p>
        </w:tc>
      </w:tr>
    </w:tbl>
    <w:p/>
    <w:p>
      <w:r>
        <w:pict>
          <v:shape id="_x0000_i1026" o:spt="75" type="#_x0000_t75" style="height:209.4pt;width:478.8pt;" filled="f" o:preferrelative="t" stroked="f" coordsize="21600,21600">
            <v:path/>
            <v:fill on="f" focussize="0,0"/>
            <v:stroke on="f" joinstyle="miter"/>
            <v:imagedata r:id="rId20" o:title=""/>
            <o:lock v:ext="edit" aspectratio="t"/>
            <w10:wrap type="none"/>
            <w10:anchorlock/>
          </v:shape>
        </w:pict>
      </w:r>
    </w:p>
    <w:p/>
    <w:p/>
    <w:tbl>
      <w:tblPr>
        <w:tblStyle w:val="6"/>
        <w:tblW w:w="9680" w:type="dxa"/>
        <w:jc w:val="center"/>
        <w:tblLayout w:type="fixed"/>
        <w:tblCellMar>
          <w:top w:w="0" w:type="dxa"/>
          <w:left w:w="0" w:type="dxa"/>
          <w:bottom w:w="0" w:type="dxa"/>
          <w:right w:w="0" w:type="dxa"/>
        </w:tblCellMar>
      </w:tblPr>
      <w:tblGrid>
        <w:gridCol w:w="9680"/>
      </w:tblGrid>
      <w:tr>
        <w:tblPrEx>
          <w:tblCellMar>
            <w:top w:w="0" w:type="dxa"/>
            <w:left w:w="0" w:type="dxa"/>
            <w:bottom w:w="0" w:type="dxa"/>
            <w:right w:w="0" w:type="dxa"/>
          </w:tblCellMar>
        </w:tblPrEx>
        <w:trPr>
          <w:trHeight w:val="260" w:hRule="atLeast"/>
          <w:jc w:val="center"/>
        </w:trPr>
        <w:tc>
          <w:tcPr>
            <w:tcW w:w="9680" w:type="dxa"/>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jc w:val="center"/>
              <w:textAlignment w:val="center"/>
              <w:rPr>
                <w:rFonts w:ascii="黑体" w:hAnsi="宋体" w:eastAsia="黑体" w:cs="黑体"/>
                <w:color w:val="000000"/>
                <w:kern w:val="0"/>
                <w:sz w:val="32"/>
                <w:szCs w:val="32"/>
              </w:rPr>
            </w:pPr>
          </w:p>
          <w:p>
            <w:pPr>
              <w:widowControl/>
              <w:ind w:firstLine="640" w:firstLineChars="200"/>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三、支出决算表</w:t>
            </w:r>
          </w:p>
        </w:tc>
      </w:tr>
    </w:tbl>
    <w:p>
      <w:r>
        <w:pict>
          <v:shape id="_x0000_i1027" o:spt="75" type="#_x0000_t75" style="height:225.6pt;width:483.6pt;" filled="f" o:preferrelative="t" stroked="f" coordsize="21600,21600">
            <v:path/>
            <v:fill on="f" focussize="0,0"/>
            <v:stroke on="f" joinstyle="miter"/>
            <v:imagedata r:id="rId21" o:title=""/>
            <o:lock v:ext="edit" aspectratio="t"/>
            <w10:wrap type="none"/>
            <w10:anchorlock/>
          </v:shape>
        </w:pict>
      </w:r>
      <w:r>
        <w:br w:type="page"/>
      </w:r>
    </w:p>
    <w:tbl>
      <w:tblPr>
        <w:tblStyle w:val="6"/>
        <w:tblW w:w="9520" w:type="dxa"/>
        <w:jc w:val="center"/>
        <w:tblLayout w:type="fixed"/>
        <w:tblCellMar>
          <w:top w:w="0" w:type="dxa"/>
          <w:left w:w="0" w:type="dxa"/>
          <w:bottom w:w="0" w:type="dxa"/>
          <w:right w:w="0" w:type="dxa"/>
        </w:tblCellMar>
      </w:tblPr>
      <w:tblGrid>
        <w:gridCol w:w="2922"/>
        <w:gridCol w:w="425"/>
        <w:gridCol w:w="662"/>
        <w:gridCol w:w="2946"/>
        <w:gridCol w:w="507"/>
        <w:gridCol w:w="2058"/>
      </w:tblGrid>
      <w:tr>
        <w:tblPrEx>
          <w:tblCellMar>
            <w:top w:w="0" w:type="dxa"/>
            <w:left w:w="0" w:type="dxa"/>
            <w:bottom w:w="0" w:type="dxa"/>
            <w:right w:w="0" w:type="dxa"/>
          </w:tblCellMar>
        </w:tblPrEx>
        <w:trPr>
          <w:trHeight w:val="406" w:hRule="atLeast"/>
          <w:jc w:val="center"/>
        </w:trPr>
        <w:tc>
          <w:tcPr>
            <w:tcW w:w="9520" w:type="dxa"/>
            <w:gridSpan w:val="6"/>
            <w:tcBorders>
              <w:top w:val="nil"/>
              <w:left w:val="nil"/>
              <w:bottom w:val="nil"/>
              <w:right w:val="nil"/>
            </w:tcBorders>
            <w:noWrap/>
            <w:tcMar>
              <w:top w:w="15" w:type="dxa"/>
              <w:left w:w="15" w:type="dxa"/>
              <w:right w:w="15" w:type="dxa"/>
            </w:tcMar>
            <w:vAlign w:val="bottom"/>
          </w:tcPr>
          <w:p>
            <w:pPr>
              <w:ind w:firstLine="640" w:firstLineChars="200"/>
              <w:rPr>
                <w:rFonts w:ascii="黑体" w:hAnsi="宋体" w:eastAsia="黑体" w:cs="黑体"/>
                <w:color w:val="000000"/>
                <w:sz w:val="32"/>
                <w:szCs w:val="32"/>
              </w:rPr>
            </w:pPr>
            <w:r>
              <w:rPr>
                <w:rFonts w:hint="eastAsia" w:ascii="黑体" w:hAnsi="宋体" w:eastAsia="黑体" w:cs="黑体"/>
                <w:color w:val="000000"/>
                <w:kern w:val="0"/>
                <w:sz w:val="32"/>
                <w:szCs w:val="32"/>
              </w:rPr>
              <w:t>四、财政拨款收入支出决算总表</w:t>
            </w:r>
          </w:p>
        </w:tc>
      </w:tr>
      <w:tr>
        <w:tblPrEx>
          <w:tblCellMar>
            <w:top w:w="0" w:type="dxa"/>
            <w:left w:w="0" w:type="dxa"/>
            <w:bottom w:w="0" w:type="dxa"/>
            <w:right w:w="0" w:type="dxa"/>
          </w:tblCellMar>
        </w:tblPrEx>
        <w:trPr>
          <w:trHeight w:val="90" w:hRule="atLeast"/>
          <w:jc w:val="center"/>
        </w:trPr>
        <w:tc>
          <w:tcPr>
            <w:tcW w:w="292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2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66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946"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507"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058" w:type="dxa"/>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p>
        </w:tc>
      </w:tr>
    </w:tbl>
    <w:p>
      <w:r>
        <w:pict>
          <v:shape id="_x0000_i1028" o:spt="75" type="#_x0000_t75" style="height:352.8pt;width:471.6pt;" filled="f" o:preferrelative="t" stroked="f" coordsize="21600,21600">
            <v:path/>
            <v:fill on="f" focussize="0,0"/>
            <v:stroke on="f" joinstyle="miter"/>
            <v:imagedata r:id="rId22" o:title=""/>
            <o:lock v:ext="edit" aspectratio="t"/>
            <w10:wrap type="none"/>
            <w10:anchorlock/>
          </v:shape>
        </w:pict>
      </w:r>
      <w:r>
        <w:br w:type="page"/>
      </w:r>
    </w:p>
    <w:tbl>
      <w:tblPr>
        <w:tblStyle w:val="6"/>
        <w:tblW w:w="9990" w:type="dxa"/>
        <w:jc w:val="center"/>
        <w:tblLayout w:type="autofit"/>
        <w:tblCellMar>
          <w:top w:w="0" w:type="dxa"/>
          <w:left w:w="0" w:type="dxa"/>
          <w:bottom w:w="0" w:type="dxa"/>
          <w:right w:w="0" w:type="dxa"/>
        </w:tblCellMar>
      </w:tblPr>
      <w:tblGrid>
        <w:gridCol w:w="9990"/>
      </w:tblGrid>
      <w:tr>
        <w:tblPrEx>
          <w:tblCellMar>
            <w:top w:w="0" w:type="dxa"/>
            <w:left w:w="0" w:type="dxa"/>
            <w:bottom w:w="0" w:type="dxa"/>
            <w:right w:w="0" w:type="dxa"/>
          </w:tblCellMar>
        </w:tblPrEx>
        <w:trPr>
          <w:trHeight w:val="600" w:hRule="atLeast"/>
          <w:jc w:val="center"/>
        </w:trPr>
        <w:tc>
          <w:tcPr>
            <w:tcW w:w="9990" w:type="dxa"/>
            <w:tcBorders>
              <w:top w:val="nil"/>
              <w:left w:val="nil"/>
              <w:bottom w:val="nil"/>
              <w:right w:val="nil"/>
            </w:tcBorders>
            <w:noWrap/>
            <w:tcMar>
              <w:top w:w="15" w:type="dxa"/>
              <w:left w:w="15" w:type="dxa"/>
              <w:right w:w="15" w:type="dxa"/>
            </w:tcMar>
            <w:vAlign w:val="center"/>
          </w:tcPr>
          <w:p>
            <w:pPr>
              <w:widowControl/>
              <w:ind w:firstLine="640" w:firstLineChars="200"/>
              <w:jc w:val="left"/>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五、一般公共预算财政拨款支出决算表</w:t>
            </w:r>
          </w:p>
        </w:tc>
      </w:tr>
    </w:tbl>
    <w:p>
      <w:r>
        <w:pict>
          <v:shape id="_x0000_i1029" o:spt="75" type="#_x0000_t75" style="height:228pt;width:453pt;" filled="f" o:preferrelative="t" stroked="f" coordsize="21600,21600">
            <v:path/>
            <v:fill on="f" focussize="0,0"/>
            <v:stroke on="f" joinstyle="miter"/>
            <v:imagedata r:id="rId23" o:title=""/>
            <o:lock v:ext="edit" aspectratio="t"/>
            <w10:wrap type="none"/>
            <w10:anchorlock/>
          </v:shape>
        </w:pict>
      </w:r>
      <w:r>
        <w:br w:type="page"/>
      </w:r>
    </w:p>
    <w:tbl>
      <w:tblPr>
        <w:tblStyle w:val="6"/>
        <w:tblW w:w="10000" w:type="dxa"/>
        <w:jc w:val="center"/>
        <w:tblLayout w:type="fixed"/>
        <w:tblCellMar>
          <w:top w:w="0" w:type="dxa"/>
          <w:left w:w="0" w:type="dxa"/>
          <w:bottom w:w="0" w:type="dxa"/>
          <w:right w:w="0" w:type="dxa"/>
        </w:tblCellMar>
      </w:tblPr>
      <w:tblGrid>
        <w:gridCol w:w="10000"/>
      </w:tblGrid>
      <w:tr>
        <w:tblPrEx>
          <w:tblCellMar>
            <w:top w:w="0" w:type="dxa"/>
            <w:left w:w="0" w:type="dxa"/>
            <w:bottom w:w="0" w:type="dxa"/>
            <w:right w:w="0" w:type="dxa"/>
          </w:tblCellMar>
        </w:tblPrEx>
        <w:trPr>
          <w:trHeight w:val="662" w:hRule="atLeast"/>
          <w:jc w:val="center"/>
        </w:trPr>
        <w:tc>
          <w:tcPr>
            <w:tcW w:w="10000" w:type="dxa"/>
            <w:tcBorders>
              <w:top w:val="nil"/>
              <w:left w:val="nil"/>
              <w:bottom w:val="nil"/>
              <w:right w:val="nil"/>
            </w:tcBorders>
            <w:tcMar>
              <w:top w:w="15" w:type="dxa"/>
              <w:left w:w="15" w:type="dxa"/>
              <w:right w:w="15" w:type="dxa"/>
            </w:tcMar>
            <w:vAlign w:val="center"/>
          </w:tcPr>
          <w:p>
            <w:pPr>
              <w:widowControl/>
              <w:ind w:firstLine="640" w:firstLineChars="200"/>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六、一般公共预算财政拨款基本支出决算表</w:t>
            </w:r>
          </w:p>
        </w:tc>
      </w:tr>
    </w:tbl>
    <w:p>
      <w:r>
        <w:pict>
          <v:shape id="_x0000_i1030" o:spt="75" type="#_x0000_t75" style="height:304.2pt;width:511.2pt;" filled="f" o:preferrelative="t" stroked="f" coordsize="21600,21600">
            <v:path/>
            <v:fill on="f" focussize="0,0"/>
            <v:stroke on="f" joinstyle="miter"/>
            <v:imagedata r:id="rId24" o:title=""/>
            <o:lock v:ext="edit" aspectratio="t"/>
            <w10:wrap type="none"/>
            <w10:anchorlock/>
          </v:shape>
        </w:pict>
      </w:r>
      <w:r>
        <w:br w:type="page"/>
      </w:r>
    </w:p>
    <w:tbl>
      <w:tblPr>
        <w:tblStyle w:val="6"/>
        <w:tblW w:w="9220" w:type="dxa"/>
        <w:jc w:val="center"/>
        <w:tblLayout w:type="autofit"/>
        <w:tblCellMar>
          <w:top w:w="0" w:type="dxa"/>
          <w:left w:w="0" w:type="dxa"/>
          <w:bottom w:w="0" w:type="dxa"/>
          <w:right w:w="0" w:type="dxa"/>
        </w:tblCellMar>
      </w:tblPr>
      <w:tblGrid>
        <w:gridCol w:w="9220"/>
      </w:tblGrid>
      <w:tr>
        <w:tblPrEx>
          <w:tblCellMar>
            <w:top w:w="0" w:type="dxa"/>
            <w:left w:w="0" w:type="dxa"/>
            <w:bottom w:w="0" w:type="dxa"/>
            <w:right w:w="0" w:type="dxa"/>
          </w:tblCellMar>
        </w:tblPrEx>
        <w:trPr>
          <w:trHeight w:val="638" w:hRule="atLeast"/>
          <w:jc w:val="center"/>
        </w:trPr>
        <w:tc>
          <w:tcPr>
            <w:tcW w:w="9220" w:type="dxa"/>
            <w:tcBorders>
              <w:top w:val="nil"/>
              <w:left w:val="nil"/>
              <w:bottom w:val="nil"/>
              <w:right w:val="nil"/>
            </w:tcBorders>
            <w:noWrap/>
            <w:tcMar>
              <w:top w:w="15" w:type="dxa"/>
              <w:left w:w="15" w:type="dxa"/>
              <w:right w:w="15" w:type="dxa"/>
            </w:tcMar>
            <w:vAlign w:val="center"/>
          </w:tcPr>
          <w:p>
            <w:pPr>
              <w:widowControl/>
              <w:ind w:firstLine="640" w:firstLineChars="200"/>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七、一般公共预算财政拨款“三公”经费支出决算表</w:t>
            </w:r>
          </w:p>
        </w:tc>
      </w:tr>
    </w:tbl>
    <w:p>
      <w:r>
        <w:pict>
          <v:shape id="_x0000_i1031" o:spt="75" type="#_x0000_t75" style="height:123pt;width:485.4pt;" filled="f" o:preferrelative="t" stroked="f" coordsize="21600,21600">
            <v:path/>
            <v:fill on="f" focussize="0,0"/>
            <v:stroke on="f" joinstyle="miter"/>
            <v:imagedata r:id="rId25" o:title=""/>
            <o:lock v:ext="edit" aspectratio="t"/>
            <w10:wrap type="none"/>
            <w10:anchorlock/>
          </v:shape>
        </w:pict>
      </w:r>
      <w:r>
        <w:br w:type="page"/>
      </w:r>
    </w:p>
    <w:tbl>
      <w:tblPr>
        <w:tblStyle w:val="6"/>
        <w:tblW w:w="9511" w:type="dxa"/>
        <w:jc w:val="center"/>
        <w:tblLayout w:type="autofit"/>
        <w:tblCellMar>
          <w:top w:w="0" w:type="dxa"/>
          <w:left w:w="0" w:type="dxa"/>
          <w:bottom w:w="0" w:type="dxa"/>
          <w:right w:w="0" w:type="dxa"/>
        </w:tblCellMar>
      </w:tblPr>
      <w:tblGrid>
        <w:gridCol w:w="9511"/>
      </w:tblGrid>
      <w:tr>
        <w:tblPrEx>
          <w:tblCellMar>
            <w:top w:w="0" w:type="dxa"/>
            <w:left w:w="0" w:type="dxa"/>
            <w:bottom w:w="0" w:type="dxa"/>
            <w:right w:w="0" w:type="dxa"/>
          </w:tblCellMar>
        </w:tblPrEx>
        <w:trPr>
          <w:trHeight w:val="780" w:hRule="atLeast"/>
          <w:jc w:val="center"/>
        </w:trPr>
        <w:tc>
          <w:tcPr>
            <w:tcW w:w="9511" w:type="dxa"/>
            <w:tcBorders>
              <w:top w:val="nil"/>
              <w:left w:val="nil"/>
              <w:bottom w:val="nil"/>
              <w:right w:val="nil"/>
            </w:tcBorders>
            <w:noWrap/>
            <w:tcMar>
              <w:top w:w="15" w:type="dxa"/>
              <w:left w:w="15" w:type="dxa"/>
              <w:right w:w="15" w:type="dxa"/>
            </w:tcMar>
            <w:vAlign w:val="center"/>
          </w:tcPr>
          <w:p>
            <w:pPr>
              <w:widowControl/>
              <w:ind w:firstLine="640" w:firstLineChars="200"/>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八、政府性基金预算财政拨款收入支出决算表</w:t>
            </w:r>
          </w:p>
        </w:tc>
      </w:tr>
    </w:tbl>
    <w:p>
      <w:r>
        <w:pict>
          <v:shape id="_x0000_s1121" o:spid="_x0000_s1121" o:spt="202" type="#_x0000_t202" style="position:absolute;left:0pt;margin-left:438.15pt;margin-top:33.6pt;height:33pt;width:39pt;z-index:251673600;mso-width-relative:page;mso-height-relative:page;" filled="f" stroked="f" coordsize="21600,21600">
            <v:path/>
            <v:fill on="f" focussize="0,0"/>
            <v:stroke on="f" joinstyle="miter"/>
            <v:imagedata o:title=""/>
            <o:lock v:ext="edit"/>
            <v:textbox>
              <w:txbxContent>
                <w:p>
                  <w:pPr>
                    <w:rPr>
                      <w:rFonts w:ascii="黑体" w:hAnsi="黑体" w:eastAsia="黑体"/>
                      <w:sz w:val="15"/>
                      <w:szCs w:val="15"/>
                    </w:rPr>
                  </w:pPr>
                  <w:r>
                    <w:rPr>
                      <w:rFonts w:hint="eastAsia" w:ascii="黑体" w:hAnsi="黑体" w:eastAsia="黑体"/>
                      <w:sz w:val="15"/>
                      <w:szCs w:val="15"/>
                    </w:rPr>
                    <w:t>万元</w:t>
                  </w:r>
                </w:p>
              </w:txbxContent>
            </v:textbox>
          </v:shape>
        </w:pict>
      </w:r>
      <w:r>
        <w:pict>
          <v:shape id="_x0000_i1032" o:spt="75" type="#_x0000_t75" style="height:272.4pt;width:453pt;" filled="f" o:preferrelative="t" stroked="f" coordsize="21600,21600">
            <v:path/>
            <v:fill on="f" focussize="0,0"/>
            <v:stroke on="f" joinstyle="miter"/>
            <v:imagedata r:id="rId26" o:title=""/>
            <o:lock v:ext="edit" aspectratio="t"/>
            <w10:wrap type="none"/>
            <w10:anchorlock/>
          </v:shape>
        </w:pict>
      </w:r>
      <w:r>
        <w:br w:type="page"/>
      </w:r>
    </w:p>
    <w:tbl>
      <w:tblPr>
        <w:tblStyle w:val="6"/>
        <w:tblW w:w="9916" w:type="dxa"/>
        <w:jc w:val="center"/>
        <w:tblLayout w:type="autofit"/>
        <w:tblCellMar>
          <w:top w:w="0" w:type="dxa"/>
          <w:left w:w="0" w:type="dxa"/>
          <w:bottom w:w="0" w:type="dxa"/>
          <w:right w:w="0" w:type="dxa"/>
        </w:tblCellMar>
      </w:tblPr>
      <w:tblGrid>
        <w:gridCol w:w="9916"/>
      </w:tblGrid>
      <w:tr>
        <w:tblPrEx>
          <w:tblCellMar>
            <w:top w:w="0" w:type="dxa"/>
            <w:left w:w="0" w:type="dxa"/>
            <w:bottom w:w="0" w:type="dxa"/>
            <w:right w:w="0" w:type="dxa"/>
          </w:tblCellMar>
        </w:tblPrEx>
        <w:trPr>
          <w:trHeight w:val="765" w:hRule="atLeast"/>
          <w:jc w:val="center"/>
        </w:trPr>
        <w:tc>
          <w:tcPr>
            <w:tcW w:w="9916" w:type="dxa"/>
            <w:tcBorders>
              <w:top w:val="nil"/>
              <w:left w:val="nil"/>
              <w:bottom w:val="nil"/>
              <w:right w:val="nil"/>
            </w:tcBorders>
            <w:noWrap/>
            <w:tcMar>
              <w:top w:w="15" w:type="dxa"/>
              <w:left w:w="15" w:type="dxa"/>
              <w:right w:w="15" w:type="dxa"/>
            </w:tcMar>
            <w:vAlign w:val="center"/>
          </w:tcPr>
          <w:p>
            <w:pPr>
              <w:widowControl/>
              <w:ind w:firstLine="640" w:firstLineChars="200"/>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九、国有资本经营预算财政拨款支出决算表</w:t>
            </w:r>
          </w:p>
        </w:tc>
      </w:tr>
    </w:tbl>
    <w:p>
      <w:r>
        <w:pict>
          <v:shape id="_x0000_s1120" o:spid="_x0000_s1120" o:spt="202" type="#_x0000_t202" style="position:absolute;left:0pt;margin-left:432.15pt;margin-top:62.35pt;height:33pt;width:39pt;z-index:251672576;mso-width-relative:page;mso-height-relative:page;" filled="f" stroked="f" coordsize="21600,21600">
            <v:path/>
            <v:fill on="f" focussize="0,0"/>
            <v:stroke on="f" joinstyle="miter"/>
            <v:imagedata o:title=""/>
            <o:lock v:ext="edit"/>
            <v:textbox>
              <w:txbxContent>
                <w:p>
                  <w:pPr>
                    <w:rPr>
                      <w:rFonts w:ascii="黑体" w:hAnsi="黑体" w:eastAsia="黑体"/>
                      <w:sz w:val="15"/>
                      <w:szCs w:val="15"/>
                    </w:rPr>
                  </w:pPr>
                  <w:r>
                    <w:rPr>
                      <w:rFonts w:hint="eastAsia" w:ascii="黑体" w:hAnsi="黑体" w:eastAsia="黑体"/>
                      <w:sz w:val="15"/>
                      <w:szCs w:val="15"/>
                    </w:rPr>
                    <w:t>万元</w:t>
                  </w:r>
                </w:p>
              </w:txbxContent>
            </v:textbox>
          </v:shape>
        </w:pict>
      </w:r>
      <w:r>
        <w:pict>
          <v:shape id="_x0000_i1033" o:spt="75" type="#_x0000_t75" style="height:346.2pt;width:446.4pt;" filled="f" o:preferrelative="t" stroked="f" coordsize="21600,21600">
            <v:path/>
            <v:fill on="f" focussize="0,0"/>
            <v:stroke on="f" joinstyle="miter"/>
            <v:imagedata r:id="rId27" o:title=""/>
            <o:lock v:ext="edit" aspectratio="t"/>
            <w10:wrap type="none"/>
            <w10:anchorlock/>
          </v:shape>
        </w:pict>
      </w:r>
      <w:r>
        <w:br w:type="page"/>
      </w:r>
    </w:p>
    <w:p>
      <w:r>
        <w:pict>
          <v:rect id="_x0000_s1105" o:spid="_x0000_s1105" o:spt="1" style="position:absolute;left:0pt;margin-left:-70.5pt;margin-top:-85.25pt;height:841.15pt;width:595.1pt;z-index:251671552;v-text-anchor:middle;mso-width-relative:page;mso-height-relative:page;" fillcolor="#FFC000" filled="t" stroked="f" coordsize="21600,21600">
            <v:path/>
            <v:fill on="t" focussize="0,0"/>
            <v:stroke on="f" weight="1pt"/>
            <v:imagedata o:title=""/>
            <o:lock v:ext="edit"/>
          </v:rect>
        </w:pict>
      </w:r>
    </w:p>
    <w:sectPr>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Yu Gothic UI Semibold">
    <w:altName w:val="Meiryo UI"/>
    <w:panose1 w:val="020B0700000000000000"/>
    <w:charset w:val="80"/>
    <w:family w:val="swiss"/>
    <w:pitch w:val="default"/>
    <w:sig w:usb0="00000000" w:usb1="00000000" w:usb2="00000016" w:usb3="00000000" w:csb0="0002009F" w:csb1="00000000"/>
  </w:font>
  <w:font w:name="Meiryo UI">
    <w:panose1 w:val="020B0604030504040204"/>
    <w:charset w:val="80"/>
    <w:family w:val="auto"/>
    <w:pitch w:val="default"/>
    <w:sig w:usb0="E10102FF" w:usb1="EAC7FFFF" w:usb2="00010012" w:usb3="00000000" w:csb0="6002009F" w:csb1="DFD70000"/>
  </w:font>
  <w:font w:name="思源黑体 HW Bold">
    <w:altName w:val="宋体"/>
    <w:panose1 w:val="00000000000000000000"/>
    <w:charset w:val="86"/>
    <w:family w:val="swiss"/>
    <w:pitch w:val="default"/>
    <w:sig w:usb0="00000000" w:usb1="00000000" w:usb2="0000001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Cambria">
    <w:panose1 w:val="02040503050406030204"/>
    <w:charset w:val="00"/>
    <w:family w:val="roman"/>
    <w:pitch w:val="default"/>
    <w:sig w:usb0="A00002EF" w:usb1="4000004B" w:usb2="00000000" w:usb3="00000000" w:csb0="2000019F"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6AAF1C96"/>
    <w:rsid w:val="000028A0"/>
    <w:rsid w:val="00004EED"/>
    <w:rsid w:val="0003683B"/>
    <w:rsid w:val="0007063E"/>
    <w:rsid w:val="00071ADD"/>
    <w:rsid w:val="00073392"/>
    <w:rsid w:val="00073F4E"/>
    <w:rsid w:val="00086C89"/>
    <w:rsid w:val="00091746"/>
    <w:rsid w:val="000A39FB"/>
    <w:rsid w:val="000C6E0C"/>
    <w:rsid w:val="00112773"/>
    <w:rsid w:val="00117746"/>
    <w:rsid w:val="00144874"/>
    <w:rsid w:val="00163F95"/>
    <w:rsid w:val="0017572A"/>
    <w:rsid w:val="00180A9A"/>
    <w:rsid w:val="001829C0"/>
    <w:rsid w:val="00184809"/>
    <w:rsid w:val="00192112"/>
    <w:rsid w:val="001938E2"/>
    <w:rsid w:val="00196DF3"/>
    <w:rsid w:val="001B0127"/>
    <w:rsid w:val="001C12D5"/>
    <w:rsid w:val="001C1E6C"/>
    <w:rsid w:val="001C4475"/>
    <w:rsid w:val="001C69F7"/>
    <w:rsid w:val="001E45D3"/>
    <w:rsid w:val="001E5738"/>
    <w:rsid w:val="002650EC"/>
    <w:rsid w:val="002A6C46"/>
    <w:rsid w:val="002A6DC9"/>
    <w:rsid w:val="002B20FB"/>
    <w:rsid w:val="002C19B5"/>
    <w:rsid w:val="002E70F4"/>
    <w:rsid w:val="00301828"/>
    <w:rsid w:val="00314C06"/>
    <w:rsid w:val="0033115A"/>
    <w:rsid w:val="0034724F"/>
    <w:rsid w:val="003540FC"/>
    <w:rsid w:val="00365A74"/>
    <w:rsid w:val="00371224"/>
    <w:rsid w:val="003A4EE8"/>
    <w:rsid w:val="003D4EC4"/>
    <w:rsid w:val="004048A4"/>
    <w:rsid w:val="00441F2C"/>
    <w:rsid w:val="00442CC2"/>
    <w:rsid w:val="00446244"/>
    <w:rsid w:val="00473C20"/>
    <w:rsid w:val="00483456"/>
    <w:rsid w:val="004C168A"/>
    <w:rsid w:val="004D61CB"/>
    <w:rsid w:val="005011D6"/>
    <w:rsid w:val="00503F2E"/>
    <w:rsid w:val="00547A34"/>
    <w:rsid w:val="00552226"/>
    <w:rsid w:val="00556F6E"/>
    <w:rsid w:val="00566120"/>
    <w:rsid w:val="00581BFC"/>
    <w:rsid w:val="00582E6D"/>
    <w:rsid w:val="005954D5"/>
    <w:rsid w:val="005A53FA"/>
    <w:rsid w:val="005D1293"/>
    <w:rsid w:val="00610578"/>
    <w:rsid w:val="00644D5F"/>
    <w:rsid w:val="00655977"/>
    <w:rsid w:val="006727AD"/>
    <w:rsid w:val="00691425"/>
    <w:rsid w:val="006A516E"/>
    <w:rsid w:val="006B0830"/>
    <w:rsid w:val="006B0B63"/>
    <w:rsid w:val="006F54A9"/>
    <w:rsid w:val="00716E2B"/>
    <w:rsid w:val="0072015C"/>
    <w:rsid w:val="007351E6"/>
    <w:rsid w:val="00770F18"/>
    <w:rsid w:val="00773B74"/>
    <w:rsid w:val="0078290C"/>
    <w:rsid w:val="007A4479"/>
    <w:rsid w:val="007B4506"/>
    <w:rsid w:val="007C06CA"/>
    <w:rsid w:val="007C67CE"/>
    <w:rsid w:val="007D175E"/>
    <w:rsid w:val="008163FB"/>
    <w:rsid w:val="0082605B"/>
    <w:rsid w:val="00855C36"/>
    <w:rsid w:val="00857DBE"/>
    <w:rsid w:val="008701BC"/>
    <w:rsid w:val="00883D92"/>
    <w:rsid w:val="008A5362"/>
    <w:rsid w:val="008E02A4"/>
    <w:rsid w:val="008F21F1"/>
    <w:rsid w:val="008F221B"/>
    <w:rsid w:val="008F5A2D"/>
    <w:rsid w:val="00905334"/>
    <w:rsid w:val="00920271"/>
    <w:rsid w:val="00921602"/>
    <w:rsid w:val="00933FA9"/>
    <w:rsid w:val="00957EA1"/>
    <w:rsid w:val="00964352"/>
    <w:rsid w:val="00966E5B"/>
    <w:rsid w:val="00973FB6"/>
    <w:rsid w:val="00977B36"/>
    <w:rsid w:val="009B4EF0"/>
    <w:rsid w:val="009D271F"/>
    <w:rsid w:val="009D3A5D"/>
    <w:rsid w:val="009F1183"/>
    <w:rsid w:val="00A4028C"/>
    <w:rsid w:val="00A42BB5"/>
    <w:rsid w:val="00A4337A"/>
    <w:rsid w:val="00A539B5"/>
    <w:rsid w:val="00A67BA3"/>
    <w:rsid w:val="00A929C2"/>
    <w:rsid w:val="00A96CFF"/>
    <w:rsid w:val="00AD009E"/>
    <w:rsid w:val="00AD097F"/>
    <w:rsid w:val="00B43B80"/>
    <w:rsid w:val="00B45F7C"/>
    <w:rsid w:val="00B519A1"/>
    <w:rsid w:val="00B71AAA"/>
    <w:rsid w:val="00B844F4"/>
    <w:rsid w:val="00BA06A1"/>
    <w:rsid w:val="00BA4E4A"/>
    <w:rsid w:val="00BA770A"/>
    <w:rsid w:val="00BC73D0"/>
    <w:rsid w:val="00BD7EC0"/>
    <w:rsid w:val="00BE52CD"/>
    <w:rsid w:val="00BF4D15"/>
    <w:rsid w:val="00C054DE"/>
    <w:rsid w:val="00C679A9"/>
    <w:rsid w:val="00C7541C"/>
    <w:rsid w:val="00CC0FAA"/>
    <w:rsid w:val="00CD0736"/>
    <w:rsid w:val="00CD76A2"/>
    <w:rsid w:val="00CF6D83"/>
    <w:rsid w:val="00D04AD0"/>
    <w:rsid w:val="00D1570F"/>
    <w:rsid w:val="00D22757"/>
    <w:rsid w:val="00D32830"/>
    <w:rsid w:val="00D70AB5"/>
    <w:rsid w:val="00D75E5D"/>
    <w:rsid w:val="00DA2F44"/>
    <w:rsid w:val="00DB7153"/>
    <w:rsid w:val="00DB7F05"/>
    <w:rsid w:val="00DD5B8A"/>
    <w:rsid w:val="00E028C3"/>
    <w:rsid w:val="00E14F77"/>
    <w:rsid w:val="00E3076B"/>
    <w:rsid w:val="00E36978"/>
    <w:rsid w:val="00E82A1E"/>
    <w:rsid w:val="00EB43DD"/>
    <w:rsid w:val="00EB5685"/>
    <w:rsid w:val="00EC06F4"/>
    <w:rsid w:val="00EE4E36"/>
    <w:rsid w:val="00F665F4"/>
    <w:rsid w:val="00F80726"/>
    <w:rsid w:val="00F90CF2"/>
    <w:rsid w:val="00FB1D00"/>
    <w:rsid w:val="00FB5C67"/>
    <w:rsid w:val="00FD225F"/>
    <w:rsid w:val="20BD57F5"/>
    <w:rsid w:val="314B4420"/>
    <w:rsid w:val="31C2036A"/>
    <w:rsid w:val="320D02A5"/>
    <w:rsid w:val="34320690"/>
    <w:rsid w:val="348E566F"/>
    <w:rsid w:val="3A226944"/>
    <w:rsid w:val="3AEE6A48"/>
    <w:rsid w:val="3C1620AA"/>
    <w:rsid w:val="3C596673"/>
    <w:rsid w:val="3D8F080F"/>
    <w:rsid w:val="44C5284B"/>
    <w:rsid w:val="44CE1FA4"/>
    <w:rsid w:val="468D3267"/>
    <w:rsid w:val="487F73ED"/>
    <w:rsid w:val="4A347EAE"/>
    <w:rsid w:val="52600405"/>
    <w:rsid w:val="529B4319"/>
    <w:rsid w:val="57520345"/>
    <w:rsid w:val="57773DD6"/>
    <w:rsid w:val="578B79AB"/>
    <w:rsid w:val="5CCD3FD5"/>
    <w:rsid w:val="61FA5F9D"/>
    <w:rsid w:val="63697214"/>
    <w:rsid w:val="64CD6910"/>
    <w:rsid w:val="6789158D"/>
    <w:rsid w:val="67D81BA4"/>
    <w:rsid w:val="6AAF1C96"/>
    <w:rsid w:val="6B180D17"/>
    <w:rsid w:val="75681757"/>
    <w:rsid w:val="75A346A8"/>
    <w:rsid w:val="79B9382C"/>
    <w:rsid w:val="7B043B76"/>
    <w:rsid w:val="7C041A6A"/>
    <w:rsid w:val="7E32757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9"/>
    <w:qFormat/>
    <w:uiPriority w:val="9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qFormat/>
    <w:uiPriority w:val="99"/>
    <w:rPr>
      <w:rFonts w:ascii="仿宋_GB2312" w:hAnsi="仿宋_GB2312" w:eastAsia="仿宋_GB2312" w:cs="仿宋_GB2312"/>
      <w:sz w:val="32"/>
      <w:szCs w:val="32"/>
      <w:lang w:val="zh-CN"/>
    </w:rPr>
  </w:style>
  <w:style w:type="paragraph" w:styleId="4">
    <w:name w:val="footer"/>
    <w:basedOn w:val="1"/>
    <w:link w:val="11"/>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basedOn w:val="6"/>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标题 1 Char"/>
    <w:basedOn w:val="8"/>
    <w:link w:val="2"/>
    <w:uiPriority w:val="9"/>
    <w:rPr>
      <w:rFonts w:ascii="等线" w:hAnsi="等线" w:eastAsia="等线"/>
      <w:b/>
      <w:bCs/>
      <w:kern w:val="44"/>
      <w:sz w:val="44"/>
      <w:szCs w:val="44"/>
    </w:rPr>
  </w:style>
  <w:style w:type="character" w:customStyle="1" w:styleId="10">
    <w:name w:val="正文文本 Char"/>
    <w:basedOn w:val="8"/>
    <w:link w:val="3"/>
    <w:semiHidden/>
    <w:uiPriority w:val="99"/>
    <w:rPr>
      <w:rFonts w:ascii="等线" w:hAnsi="等线" w:eastAsia="等线"/>
    </w:rPr>
  </w:style>
  <w:style w:type="character" w:customStyle="1" w:styleId="11">
    <w:name w:val="页脚 Char"/>
    <w:basedOn w:val="8"/>
    <w:link w:val="4"/>
    <w:locked/>
    <w:uiPriority w:val="99"/>
    <w:rPr>
      <w:rFonts w:cs="Times New Roman"/>
      <w:sz w:val="18"/>
      <w:szCs w:val="18"/>
    </w:rPr>
  </w:style>
  <w:style w:type="character" w:customStyle="1" w:styleId="12">
    <w:name w:val="页眉 Char"/>
    <w:basedOn w:val="8"/>
    <w:link w:val="5"/>
    <w:locked/>
    <w:uiPriority w:val="99"/>
    <w:rPr>
      <w:rFonts w:ascii="等线" w:hAnsi="等线" w:eastAsia="等线" w:cs="Times New Roman"/>
      <w:sz w:val="18"/>
      <w:szCs w:val="18"/>
    </w:rPr>
  </w:style>
  <w:style w:type="paragraph" w:customStyle="1" w:styleId="13">
    <w:name w:val="列出段落1"/>
    <w:basedOn w:val="1"/>
    <w:qFormat/>
    <w:uiPriority w:val="99"/>
    <w:pPr>
      <w:spacing w:before="2"/>
      <w:ind w:left="119" w:right="434" w:firstLine="643"/>
    </w:pPr>
    <w:rPr>
      <w:rFonts w:ascii="仿宋_GB2312" w:hAnsi="仿宋_GB2312" w:eastAsia="仿宋_GB2312" w:cs="仿宋_GB2312"/>
      <w:lang w:val="zh-CN"/>
    </w:rPr>
  </w:style>
  <w:style w:type="paragraph" w:customStyle="1" w:styleId="14">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33"/>
    <customShpInfo spid="_x0000_s1034"/>
    <customShpInfo spid="_x0000_s1035"/>
    <customShpInfo spid="_x0000_s1036"/>
    <customShpInfo spid="_x0000_s1038"/>
    <customShpInfo spid="_x0000_s1039"/>
    <customShpInfo spid="_x0000_s1037"/>
    <customShpInfo spid="_x0000_s1043"/>
    <customShpInfo spid="_x0000_s1041"/>
    <customShpInfo spid="_x0000_s1042"/>
    <customShpInfo spid="_x0000_s1040"/>
    <customShpInfo spid="_x0000_s1053"/>
    <customShpInfo spid="_x0000_s1061"/>
    <customShpInfo spid="_x0000_s1062"/>
    <customShpInfo spid="_x0000_s1088"/>
    <customShpInfo spid="_x0000_s1089"/>
    <customShpInfo spid="_x0000_s1121"/>
    <customShpInfo spid="_x0000_s1120"/>
    <customShpInfo spid="_x0000_s1105"/>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E75B9B-9E52-49F8-9327-149226EFB4EC}">
  <ds:schemaRefs/>
</ds:datastoreItem>
</file>

<file path=docProps/app.xml><?xml version="1.0" encoding="utf-8"?>
<Properties xmlns="http://schemas.openxmlformats.org/officeDocument/2006/extended-properties" xmlns:vt="http://schemas.openxmlformats.org/officeDocument/2006/docPropsVTypes">
  <Template>简约文档封面模板</Template>
  <Company>MS</Company>
  <Pages>30</Pages>
  <Words>5871</Words>
  <Characters>764</Characters>
  <Lines>6</Lines>
  <Paragraphs>13</Paragraphs>
  <TotalTime>2</TotalTime>
  <ScaleCrop>false</ScaleCrop>
  <LinksUpToDate>false</LinksUpToDate>
  <CharactersWithSpaces>6622</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Administrator</cp:lastModifiedBy>
  <cp:lastPrinted>2020-07-30T02:37:00Z</cp:lastPrinted>
  <dcterms:modified xsi:type="dcterms:W3CDTF">2021-06-24T03:39:12Z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5FF0DB10CD6E44CCAA8E287898CE81F7</vt:lpwstr>
  </property>
</Properties>
</file>