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一、中共阜平县委机构编制委员会办公室本级收支预算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一、中共阜平县委机构编制委员会办公室本级收支预算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225001中共阜平县委机构编制委员会办公室本级</w:t>
            </w:r>
          </w:p>
        </w:tc>
        <w:tc>
          <w:tcPr>
            <w:tcW w:w="2126" w:type="dxa"/>
            <w:tcBorders>
              <w:top w:val="single" w:color="FFFFFF" w:sz="6" w:space="0"/>
              <w:left w:val="single" w:color="FFFFFF" w:sz="6" w:space="0"/>
              <w:right w:val="single" w:color="FFFFFF" w:sz="6" w:space="0"/>
            </w:tcBorders>
            <w:vAlign w:val="center"/>
          </w:tcPr>
          <w:p>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259.01</w:t>
            </w:r>
          </w:p>
        </w:tc>
        <w:tc>
          <w:tcPr>
            <w:tcW w:w="4535" w:type="dxa"/>
            <w:vAlign w:val="center"/>
          </w:tcPr>
          <w:p>
            <w:pPr>
              <w:pStyle w:val="12"/>
            </w:pPr>
            <w:r>
              <w:t>一、一般公共服务支出</w:t>
            </w:r>
          </w:p>
        </w:tc>
        <w:tc>
          <w:tcPr>
            <w:tcW w:w="2126" w:type="dxa"/>
            <w:vAlign w:val="center"/>
          </w:tcPr>
          <w:p>
            <w:pPr>
              <w:pStyle w:val="11"/>
            </w:pPr>
            <w:r>
              <w:t>201.50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24.26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15.32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17.92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259.01</w:t>
            </w:r>
          </w:p>
        </w:tc>
        <w:tc>
          <w:tcPr>
            <w:tcW w:w="4535" w:type="dxa"/>
            <w:vAlign w:val="center"/>
          </w:tcPr>
          <w:p>
            <w:pPr>
              <w:pStyle w:val="14"/>
            </w:pPr>
            <w:r>
              <w:t>本年支出合计</w:t>
            </w:r>
          </w:p>
        </w:tc>
        <w:tc>
          <w:tcPr>
            <w:tcW w:w="2126" w:type="dxa"/>
            <w:vAlign w:val="center"/>
          </w:tcPr>
          <w:p>
            <w:pPr>
              <w:pStyle w:val="15"/>
            </w:pPr>
            <w:r>
              <w:t>259.01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259.01</w:t>
            </w:r>
          </w:p>
        </w:tc>
        <w:tc>
          <w:tcPr>
            <w:tcW w:w="4535" w:type="dxa"/>
            <w:vAlign w:val="center"/>
          </w:tcPr>
          <w:p>
            <w:pPr>
              <w:pStyle w:val="14"/>
            </w:pPr>
            <w:r>
              <w:t>支出总计</w:t>
            </w:r>
          </w:p>
        </w:tc>
        <w:tc>
          <w:tcPr>
            <w:tcW w:w="2126" w:type="dxa"/>
            <w:vAlign w:val="center"/>
          </w:tcPr>
          <w:p>
            <w:pPr>
              <w:pStyle w:val="15"/>
            </w:pPr>
            <w:r>
              <w:t>259.01</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225001中共阜平县委机构编制委员会办公室本级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259.01</w:t>
            </w:r>
          </w:p>
        </w:tc>
        <w:tc>
          <w:tcPr>
            <w:tcW w:w="1134" w:type="dxa"/>
            <w:vAlign w:val="center"/>
          </w:tcPr>
          <w:p>
            <w:pPr>
              <w:pStyle w:val="15"/>
            </w:pPr>
            <w:r>
              <w:t>259.01</w:t>
            </w:r>
          </w:p>
        </w:tc>
        <w:tc>
          <w:tcPr>
            <w:tcW w:w="1134" w:type="dxa"/>
            <w:vAlign w:val="center"/>
          </w:tcPr>
          <w:p>
            <w:pPr>
              <w:pStyle w:val="15"/>
            </w:pPr>
            <w:r>
              <w:t>259.01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201</w:t>
            </w:r>
          </w:p>
        </w:tc>
        <w:tc>
          <w:tcPr>
            <w:tcW w:w="1559" w:type="dxa"/>
            <w:vAlign w:val="center"/>
          </w:tcPr>
          <w:p>
            <w:pPr>
              <w:pStyle w:val="12"/>
            </w:pPr>
            <w:r>
              <w:t>一般公共服务支出</w:t>
            </w:r>
          </w:p>
        </w:tc>
        <w:tc>
          <w:tcPr>
            <w:tcW w:w="1134" w:type="dxa"/>
            <w:vAlign w:val="center"/>
          </w:tcPr>
          <w:p>
            <w:pPr>
              <w:pStyle w:val="11"/>
            </w:pPr>
            <w:r>
              <w:t>201.50</w:t>
            </w:r>
          </w:p>
        </w:tc>
        <w:tc>
          <w:tcPr>
            <w:tcW w:w="1134" w:type="dxa"/>
            <w:vAlign w:val="center"/>
          </w:tcPr>
          <w:p>
            <w:pPr>
              <w:pStyle w:val="11"/>
            </w:pPr>
            <w:r>
              <w:t>201.50</w:t>
            </w:r>
          </w:p>
        </w:tc>
        <w:tc>
          <w:tcPr>
            <w:tcW w:w="1134" w:type="dxa"/>
            <w:vAlign w:val="center"/>
          </w:tcPr>
          <w:p>
            <w:pPr>
              <w:pStyle w:val="11"/>
            </w:pPr>
            <w:r>
              <w:t>201.50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20132</w:t>
            </w:r>
          </w:p>
        </w:tc>
        <w:tc>
          <w:tcPr>
            <w:tcW w:w="1559" w:type="dxa"/>
            <w:vAlign w:val="center"/>
          </w:tcPr>
          <w:p>
            <w:pPr>
              <w:pStyle w:val="12"/>
            </w:pPr>
            <w:r>
              <w:t>组织事务</w:t>
            </w:r>
          </w:p>
        </w:tc>
        <w:tc>
          <w:tcPr>
            <w:tcW w:w="1134" w:type="dxa"/>
            <w:vAlign w:val="center"/>
          </w:tcPr>
          <w:p>
            <w:pPr>
              <w:pStyle w:val="11"/>
            </w:pPr>
            <w:r>
              <w:t>201.50</w:t>
            </w:r>
          </w:p>
        </w:tc>
        <w:tc>
          <w:tcPr>
            <w:tcW w:w="1134" w:type="dxa"/>
            <w:vAlign w:val="center"/>
          </w:tcPr>
          <w:p>
            <w:pPr>
              <w:pStyle w:val="11"/>
            </w:pPr>
            <w:r>
              <w:t>201.50</w:t>
            </w:r>
          </w:p>
        </w:tc>
        <w:tc>
          <w:tcPr>
            <w:tcW w:w="1134" w:type="dxa"/>
            <w:vAlign w:val="center"/>
          </w:tcPr>
          <w:p>
            <w:pPr>
              <w:pStyle w:val="11"/>
            </w:pPr>
            <w:r>
              <w:t>201.50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2013201</w:t>
            </w:r>
          </w:p>
        </w:tc>
        <w:tc>
          <w:tcPr>
            <w:tcW w:w="1559" w:type="dxa"/>
            <w:vAlign w:val="center"/>
          </w:tcPr>
          <w:p>
            <w:pPr>
              <w:pStyle w:val="12"/>
            </w:pPr>
            <w:r>
              <w:t>行政运行</w:t>
            </w:r>
          </w:p>
        </w:tc>
        <w:tc>
          <w:tcPr>
            <w:tcW w:w="1134" w:type="dxa"/>
            <w:vAlign w:val="center"/>
          </w:tcPr>
          <w:p>
            <w:pPr>
              <w:pStyle w:val="11"/>
            </w:pPr>
            <w:r>
              <w:t>60.25</w:t>
            </w:r>
          </w:p>
        </w:tc>
        <w:tc>
          <w:tcPr>
            <w:tcW w:w="1134" w:type="dxa"/>
            <w:vAlign w:val="center"/>
          </w:tcPr>
          <w:p>
            <w:pPr>
              <w:pStyle w:val="11"/>
            </w:pPr>
            <w:r>
              <w:t>60.25</w:t>
            </w:r>
          </w:p>
        </w:tc>
        <w:tc>
          <w:tcPr>
            <w:tcW w:w="1134" w:type="dxa"/>
            <w:vAlign w:val="center"/>
          </w:tcPr>
          <w:p>
            <w:pPr>
              <w:pStyle w:val="11"/>
            </w:pPr>
            <w:r>
              <w:t>60.25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2013202</w:t>
            </w:r>
          </w:p>
        </w:tc>
        <w:tc>
          <w:tcPr>
            <w:tcW w:w="1559" w:type="dxa"/>
            <w:vAlign w:val="center"/>
          </w:tcPr>
          <w:p>
            <w:pPr>
              <w:pStyle w:val="12"/>
            </w:pPr>
            <w:r>
              <w:t>一般行政管理事务</w:t>
            </w:r>
          </w:p>
        </w:tc>
        <w:tc>
          <w:tcPr>
            <w:tcW w:w="1134" w:type="dxa"/>
            <w:vAlign w:val="center"/>
          </w:tcPr>
          <w:p>
            <w:pPr>
              <w:pStyle w:val="11"/>
            </w:pPr>
            <w:r>
              <w:t>37.00</w:t>
            </w:r>
          </w:p>
        </w:tc>
        <w:tc>
          <w:tcPr>
            <w:tcW w:w="1134" w:type="dxa"/>
            <w:vAlign w:val="center"/>
          </w:tcPr>
          <w:p>
            <w:pPr>
              <w:pStyle w:val="11"/>
            </w:pPr>
            <w:r>
              <w:t>37.00</w:t>
            </w:r>
          </w:p>
        </w:tc>
        <w:tc>
          <w:tcPr>
            <w:tcW w:w="1134" w:type="dxa"/>
            <w:vAlign w:val="center"/>
          </w:tcPr>
          <w:p>
            <w:pPr>
              <w:pStyle w:val="11"/>
            </w:pPr>
            <w:r>
              <w:t>37.00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2013250</w:t>
            </w:r>
          </w:p>
        </w:tc>
        <w:tc>
          <w:tcPr>
            <w:tcW w:w="1559" w:type="dxa"/>
            <w:vAlign w:val="center"/>
          </w:tcPr>
          <w:p>
            <w:pPr>
              <w:pStyle w:val="12"/>
            </w:pPr>
            <w:r>
              <w:t>事业运行</w:t>
            </w:r>
          </w:p>
        </w:tc>
        <w:tc>
          <w:tcPr>
            <w:tcW w:w="1134" w:type="dxa"/>
            <w:vAlign w:val="center"/>
          </w:tcPr>
          <w:p>
            <w:pPr>
              <w:pStyle w:val="11"/>
            </w:pPr>
            <w:r>
              <w:t>104.25</w:t>
            </w:r>
          </w:p>
        </w:tc>
        <w:tc>
          <w:tcPr>
            <w:tcW w:w="1134" w:type="dxa"/>
            <w:vAlign w:val="center"/>
          </w:tcPr>
          <w:p>
            <w:pPr>
              <w:pStyle w:val="11"/>
            </w:pPr>
            <w:r>
              <w:t>104.25</w:t>
            </w:r>
          </w:p>
        </w:tc>
        <w:tc>
          <w:tcPr>
            <w:tcW w:w="1134" w:type="dxa"/>
            <w:vAlign w:val="center"/>
          </w:tcPr>
          <w:p>
            <w:pPr>
              <w:pStyle w:val="11"/>
            </w:pPr>
            <w:r>
              <w:t>104.25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24.26</w:t>
            </w:r>
          </w:p>
        </w:tc>
        <w:tc>
          <w:tcPr>
            <w:tcW w:w="1134" w:type="dxa"/>
            <w:vAlign w:val="center"/>
          </w:tcPr>
          <w:p>
            <w:pPr>
              <w:pStyle w:val="11"/>
            </w:pPr>
            <w:r>
              <w:t>24.26</w:t>
            </w:r>
          </w:p>
        </w:tc>
        <w:tc>
          <w:tcPr>
            <w:tcW w:w="1134" w:type="dxa"/>
            <w:vAlign w:val="center"/>
          </w:tcPr>
          <w:p>
            <w:pPr>
              <w:pStyle w:val="11"/>
            </w:pPr>
            <w:r>
              <w:t>24.26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24.26</w:t>
            </w:r>
          </w:p>
        </w:tc>
        <w:tc>
          <w:tcPr>
            <w:tcW w:w="1134" w:type="dxa"/>
            <w:vAlign w:val="center"/>
          </w:tcPr>
          <w:p>
            <w:pPr>
              <w:pStyle w:val="11"/>
            </w:pPr>
            <w:r>
              <w:t>24.26</w:t>
            </w:r>
          </w:p>
        </w:tc>
        <w:tc>
          <w:tcPr>
            <w:tcW w:w="1134" w:type="dxa"/>
            <w:vAlign w:val="center"/>
          </w:tcPr>
          <w:p>
            <w:pPr>
              <w:pStyle w:val="11"/>
            </w:pPr>
            <w:r>
              <w:t>24.26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2.82</w:t>
            </w:r>
          </w:p>
        </w:tc>
        <w:tc>
          <w:tcPr>
            <w:tcW w:w="1134" w:type="dxa"/>
            <w:vAlign w:val="center"/>
          </w:tcPr>
          <w:p>
            <w:pPr>
              <w:pStyle w:val="11"/>
            </w:pPr>
            <w:r>
              <w:t>2.82</w:t>
            </w:r>
          </w:p>
        </w:tc>
        <w:tc>
          <w:tcPr>
            <w:tcW w:w="1134" w:type="dxa"/>
            <w:vAlign w:val="center"/>
          </w:tcPr>
          <w:p>
            <w:pPr>
              <w:pStyle w:val="11"/>
            </w:pPr>
            <w:r>
              <w:t>2.82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21.44</w:t>
            </w:r>
          </w:p>
        </w:tc>
        <w:tc>
          <w:tcPr>
            <w:tcW w:w="1134" w:type="dxa"/>
            <w:vAlign w:val="center"/>
          </w:tcPr>
          <w:p>
            <w:pPr>
              <w:pStyle w:val="11"/>
            </w:pPr>
            <w:r>
              <w:t>21.44</w:t>
            </w:r>
          </w:p>
        </w:tc>
        <w:tc>
          <w:tcPr>
            <w:tcW w:w="1134" w:type="dxa"/>
            <w:vAlign w:val="center"/>
          </w:tcPr>
          <w:p>
            <w:pPr>
              <w:pStyle w:val="11"/>
            </w:pPr>
            <w:r>
              <w:t>21.44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15.32</w:t>
            </w:r>
          </w:p>
        </w:tc>
        <w:tc>
          <w:tcPr>
            <w:tcW w:w="1134" w:type="dxa"/>
            <w:vAlign w:val="center"/>
          </w:tcPr>
          <w:p>
            <w:pPr>
              <w:pStyle w:val="11"/>
            </w:pPr>
            <w:r>
              <w:t>15.32</w:t>
            </w:r>
          </w:p>
        </w:tc>
        <w:tc>
          <w:tcPr>
            <w:tcW w:w="1134" w:type="dxa"/>
            <w:vAlign w:val="center"/>
          </w:tcPr>
          <w:p>
            <w:pPr>
              <w:pStyle w:val="11"/>
            </w:pPr>
            <w:r>
              <w:t>15.32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15.32</w:t>
            </w:r>
          </w:p>
        </w:tc>
        <w:tc>
          <w:tcPr>
            <w:tcW w:w="1134" w:type="dxa"/>
            <w:vAlign w:val="center"/>
          </w:tcPr>
          <w:p>
            <w:pPr>
              <w:pStyle w:val="11"/>
            </w:pPr>
            <w:r>
              <w:t>15.32</w:t>
            </w:r>
          </w:p>
        </w:tc>
        <w:tc>
          <w:tcPr>
            <w:tcW w:w="1134" w:type="dxa"/>
            <w:vAlign w:val="center"/>
          </w:tcPr>
          <w:p>
            <w:pPr>
              <w:pStyle w:val="11"/>
            </w:pPr>
            <w:r>
              <w:t>15.32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3.42</w:t>
            </w:r>
          </w:p>
        </w:tc>
        <w:tc>
          <w:tcPr>
            <w:tcW w:w="1134" w:type="dxa"/>
            <w:vAlign w:val="center"/>
          </w:tcPr>
          <w:p>
            <w:pPr>
              <w:pStyle w:val="11"/>
            </w:pPr>
            <w:r>
              <w:t>3.42</w:t>
            </w:r>
          </w:p>
        </w:tc>
        <w:tc>
          <w:tcPr>
            <w:tcW w:w="1134" w:type="dxa"/>
            <w:vAlign w:val="center"/>
          </w:tcPr>
          <w:p>
            <w:pPr>
              <w:pStyle w:val="11"/>
            </w:pPr>
            <w:r>
              <w:t>3.42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2101102</w:t>
            </w:r>
          </w:p>
        </w:tc>
        <w:tc>
          <w:tcPr>
            <w:tcW w:w="1559" w:type="dxa"/>
            <w:vAlign w:val="center"/>
          </w:tcPr>
          <w:p>
            <w:pPr>
              <w:pStyle w:val="12"/>
            </w:pPr>
            <w:r>
              <w:t>事业单位医疗</w:t>
            </w:r>
          </w:p>
        </w:tc>
        <w:tc>
          <w:tcPr>
            <w:tcW w:w="1134" w:type="dxa"/>
            <w:vAlign w:val="center"/>
          </w:tcPr>
          <w:p>
            <w:pPr>
              <w:pStyle w:val="11"/>
            </w:pPr>
            <w:r>
              <w:t>8.72</w:t>
            </w:r>
          </w:p>
        </w:tc>
        <w:tc>
          <w:tcPr>
            <w:tcW w:w="1134" w:type="dxa"/>
            <w:vAlign w:val="center"/>
          </w:tcPr>
          <w:p>
            <w:pPr>
              <w:pStyle w:val="11"/>
            </w:pPr>
            <w:r>
              <w:t>8.72</w:t>
            </w:r>
          </w:p>
        </w:tc>
        <w:tc>
          <w:tcPr>
            <w:tcW w:w="1134" w:type="dxa"/>
            <w:vAlign w:val="center"/>
          </w:tcPr>
          <w:p>
            <w:pPr>
              <w:pStyle w:val="11"/>
            </w:pPr>
            <w:r>
              <w:t>8.72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2101103</w:t>
            </w:r>
          </w:p>
        </w:tc>
        <w:tc>
          <w:tcPr>
            <w:tcW w:w="1559" w:type="dxa"/>
            <w:vAlign w:val="center"/>
          </w:tcPr>
          <w:p>
            <w:pPr>
              <w:pStyle w:val="12"/>
            </w:pPr>
            <w:r>
              <w:t>公务员医疗补助</w:t>
            </w:r>
          </w:p>
        </w:tc>
        <w:tc>
          <w:tcPr>
            <w:tcW w:w="1134" w:type="dxa"/>
            <w:vAlign w:val="center"/>
          </w:tcPr>
          <w:p>
            <w:pPr>
              <w:pStyle w:val="11"/>
            </w:pPr>
            <w:r>
              <w:t>3.18</w:t>
            </w:r>
          </w:p>
        </w:tc>
        <w:tc>
          <w:tcPr>
            <w:tcW w:w="1134" w:type="dxa"/>
            <w:vAlign w:val="center"/>
          </w:tcPr>
          <w:p>
            <w:pPr>
              <w:pStyle w:val="11"/>
            </w:pPr>
            <w:r>
              <w:t>3.18</w:t>
            </w:r>
          </w:p>
        </w:tc>
        <w:tc>
          <w:tcPr>
            <w:tcW w:w="1134" w:type="dxa"/>
            <w:vAlign w:val="center"/>
          </w:tcPr>
          <w:p>
            <w:pPr>
              <w:pStyle w:val="11"/>
            </w:pPr>
            <w:r>
              <w:t>3.18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17.92</w:t>
            </w:r>
          </w:p>
        </w:tc>
        <w:tc>
          <w:tcPr>
            <w:tcW w:w="1134" w:type="dxa"/>
            <w:vAlign w:val="center"/>
          </w:tcPr>
          <w:p>
            <w:pPr>
              <w:pStyle w:val="11"/>
            </w:pPr>
            <w:r>
              <w:t>17.92</w:t>
            </w:r>
          </w:p>
        </w:tc>
        <w:tc>
          <w:tcPr>
            <w:tcW w:w="1134" w:type="dxa"/>
            <w:vAlign w:val="center"/>
          </w:tcPr>
          <w:p>
            <w:pPr>
              <w:pStyle w:val="11"/>
            </w:pPr>
            <w:r>
              <w:t>17.92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17.92</w:t>
            </w:r>
          </w:p>
        </w:tc>
        <w:tc>
          <w:tcPr>
            <w:tcW w:w="1134" w:type="dxa"/>
            <w:vAlign w:val="center"/>
          </w:tcPr>
          <w:p>
            <w:pPr>
              <w:pStyle w:val="11"/>
            </w:pPr>
            <w:r>
              <w:t>17.92</w:t>
            </w:r>
          </w:p>
        </w:tc>
        <w:tc>
          <w:tcPr>
            <w:tcW w:w="1134" w:type="dxa"/>
            <w:vAlign w:val="center"/>
          </w:tcPr>
          <w:p>
            <w:pPr>
              <w:pStyle w:val="11"/>
            </w:pPr>
            <w:r>
              <w:t>17.92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17.92</w:t>
            </w:r>
          </w:p>
        </w:tc>
        <w:tc>
          <w:tcPr>
            <w:tcW w:w="1134" w:type="dxa"/>
            <w:vAlign w:val="center"/>
          </w:tcPr>
          <w:p>
            <w:pPr>
              <w:pStyle w:val="11"/>
            </w:pPr>
            <w:r>
              <w:t>17.92</w:t>
            </w:r>
          </w:p>
        </w:tc>
        <w:tc>
          <w:tcPr>
            <w:tcW w:w="1134" w:type="dxa"/>
            <w:vAlign w:val="center"/>
          </w:tcPr>
          <w:p>
            <w:pPr>
              <w:pStyle w:val="11"/>
            </w:pPr>
            <w:r>
              <w:t>17.92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225001中共阜平县委机构编制委员会办公室本级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259.01</w:t>
            </w:r>
          </w:p>
        </w:tc>
        <w:tc>
          <w:tcPr>
            <w:tcW w:w="1361" w:type="dxa"/>
            <w:vAlign w:val="center"/>
          </w:tcPr>
          <w:p>
            <w:pPr>
              <w:pStyle w:val="15"/>
            </w:pPr>
            <w:r>
              <w:t>222.01</w:t>
            </w:r>
          </w:p>
        </w:tc>
        <w:tc>
          <w:tcPr>
            <w:tcW w:w="1361" w:type="dxa"/>
            <w:vAlign w:val="center"/>
          </w:tcPr>
          <w:p>
            <w:pPr>
              <w:pStyle w:val="15"/>
            </w:pPr>
            <w:r>
              <w:t>37.00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201</w:t>
            </w:r>
          </w:p>
        </w:tc>
        <w:tc>
          <w:tcPr>
            <w:tcW w:w="4535" w:type="dxa"/>
            <w:vAlign w:val="center"/>
          </w:tcPr>
          <w:p>
            <w:pPr>
              <w:pStyle w:val="12"/>
            </w:pPr>
            <w:r>
              <w:t>一般公共服务支出</w:t>
            </w:r>
          </w:p>
        </w:tc>
        <w:tc>
          <w:tcPr>
            <w:tcW w:w="1361" w:type="dxa"/>
            <w:vAlign w:val="center"/>
          </w:tcPr>
          <w:p>
            <w:pPr>
              <w:pStyle w:val="11"/>
            </w:pPr>
            <w:r>
              <w:t>201.50</w:t>
            </w:r>
          </w:p>
        </w:tc>
        <w:tc>
          <w:tcPr>
            <w:tcW w:w="1361" w:type="dxa"/>
            <w:vAlign w:val="center"/>
          </w:tcPr>
          <w:p>
            <w:pPr>
              <w:pStyle w:val="11"/>
            </w:pPr>
            <w:r>
              <w:t>164.50</w:t>
            </w:r>
          </w:p>
        </w:tc>
        <w:tc>
          <w:tcPr>
            <w:tcW w:w="1361" w:type="dxa"/>
            <w:vAlign w:val="center"/>
          </w:tcPr>
          <w:p>
            <w:pPr>
              <w:pStyle w:val="11"/>
            </w:pPr>
            <w:r>
              <w:t>37.00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20132</w:t>
            </w:r>
          </w:p>
        </w:tc>
        <w:tc>
          <w:tcPr>
            <w:tcW w:w="4535" w:type="dxa"/>
            <w:vAlign w:val="center"/>
          </w:tcPr>
          <w:p>
            <w:pPr>
              <w:pStyle w:val="12"/>
            </w:pPr>
            <w:r>
              <w:t>组织事务</w:t>
            </w:r>
          </w:p>
        </w:tc>
        <w:tc>
          <w:tcPr>
            <w:tcW w:w="1361" w:type="dxa"/>
            <w:vAlign w:val="center"/>
          </w:tcPr>
          <w:p>
            <w:pPr>
              <w:pStyle w:val="11"/>
            </w:pPr>
            <w:r>
              <w:t>201.50</w:t>
            </w:r>
          </w:p>
        </w:tc>
        <w:tc>
          <w:tcPr>
            <w:tcW w:w="1361" w:type="dxa"/>
            <w:vAlign w:val="center"/>
          </w:tcPr>
          <w:p>
            <w:pPr>
              <w:pStyle w:val="11"/>
            </w:pPr>
            <w:r>
              <w:t>164.50</w:t>
            </w:r>
          </w:p>
        </w:tc>
        <w:tc>
          <w:tcPr>
            <w:tcW w:w="1361" w:type="dxa"/>
            <w:vAlign w:val="center"/>
          </w:tcPr>
          <w:p>
            <w:pPr>
              <w:pStyle w:val="11"/>
            </w:pPr>
            <w:r>
              <w:t>37.00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4</w:t>
            </w:r>
          </w:p>
        </w:tc>
        <w:tc>
          <w:tcPr>
            <w:tcW w:w="992" w:type="dxa"/>
            <w:vAlign w:val="center"/>
          </w:tcPr>
          <w:p>
            <w:pPr>
              <w:pStyle w:val="12"/>
            </w:pPr>
            <w:r>
              <w:t>2013201</w:t>
            </w:r>
          </w:p>
        </w:tc>
        <w:tc>
          <w:tcPr>
            <w:tcW w:w="4535" w:type="dxa"/>
            <w:vAlign w:val="center"/>
          </w:tcPr>
          <w:p>
            <w:pPr>
              <w:pStyle w:val="12"/>
            </w:pPr>
            <w:r>
              <w:t>行政运行</w:t>
            </w:r>
          </w:p>
        </w:tc>
        <w:tc>
          <w:tcPr>
            <w:tcW w:w="1361" w:type="dxa"/>
            <w:vAlign w:val="center"/>
          </w:tcPr>
          <w:p>
            <w:pPr>
              <w:pStyle w:val="11"/>
            </w:pPr>
            <w:r>
              <w:t>60.25</w:t>
            </w:r>
          </w:p>
        </w:tc>
        <w:tc>
          <w:tcPr>
            <w:tcW w:w="1361" w:type="dxa"/>
            <w:vAlign w:val="center"/>
          </w:tcPr>
          <w:p>
            <w:pPr>
              <w:pStyle w:val="11"/>
            </w:pPr>
            <w:r>
              <w:t>60.25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2013202</w:t>
            </w:r>
          </w:p>
        </w:tc>
        <w:tc>
          <w:tcPr>
            <w:tcW w:w="4535" w:type="dxa"/>
            <w:vAlign w:val="center"/>
          </w:tcPr>
          <w:p>
            <w:pPr>
              <w:pStyle w:val="12"/>
            </w:pPr>
            <w:r>
              <w:t>一般行政管理事务</w:t>
            </w:r>
          </w:p>
        </w:tc>
        <w:tc>
          <w:tcPr>
            <w:tcW w:w="1361" w:type="dxa"/>
            <w:vAlign w:val="center"/>
          </w:tcPr>
          <w:p>
            <w:pPr>
              <w:pStyle w:val="11"/>
            </w:pPr>
            <w:r>
              <w:t>37.00</w:t>
            </w:r>
          </w:p>
        </w:tc>
        <w:tc>
          <w:tcPr>
            <w:tcW w:w="1361" w:type="dxa"/>
            <w:vAlign w:val="center"/>
          </w:tcPr>
          <w:p>
            <w:pPr>
              <w:pStyle w:val="11"/>
            </w:pPr>
          </w:p>
        </w:tc>
        <w:tc>
          <w:tcPr>
            <w:tcW w:w="1361" w:type="dxa"/>
            <w:vAlign w:val="center"/>
          </w:tcPr>
          <w:p>
            <w:pPr>
              <w:pStyle w:val="11"/>
            </w:pPr>
            <w:r>
              <w:t>37.00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2013250</w:t>
            </w:r>
          </w:p>
        </w:tc>
        <w:tc>
          <w:tcPr>
            <w:tcW w:w="4535" w:type="dxa"/>
            <w:vAlign w:val="center"/>
          </w:tcPr>
          <w:p>
            <w:pPr>
              <w:pStyle w:val="12"/>
            </w:pPr>
            <w:r>
              <w:t>事业运行</w:t>
            </w:r>
          </w:p>
        </w:tc>
        <w:tc>
          <w:tcPr>
            <w:tcW w:w="1361" w:type="dxa"/>
            <w:vAlign w:val="center"/>
          </w:tcPr>
          <w:p>
            <w:pPr>
              <w:pStyle w:val="11"/>
            </w:pPr>
            <w:r>
              <w:t>104.25</w:t>
            </w:r>
          </w:p>
        </w:tc>
        <w:tc>
          <w:tcPr>
            <w:tcW w:w="1361" w:type="dxa"/>
            <w:vAlign w:val="center"/>
          </w:tcPr>
          <w:p>
            <w:pPr>
              <w:pStyle w:val="11"/>
            </w:pPr>
            <w:r>
              <w:t>104.25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24.26</w:t>
            </w:r>
          </w:p>
        </w:tc>
        <w:tc>
          <w:tcPr>
            <w:tcW w:w="1361" w:type="dxa"/>
            <w:vAlign w:val="center"/>
          </w:tcPr>
          <w:p>
            <w:pPr>
              <w:pStyle w:val="11"/>
            </w:pPr>
            <w:r>
              <w:t>24.26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24.26</w:t>
            </w:r>
          </w:p>
        </w:tc>
        <w:tc>
          <w:tcPr>
            <w:tcW w:w="1361" w:type="dxa"/>
            <w:vAlign w:val="center"/>
          </w:tcPr>
          <w:p>
            <w:pPr>
              <w:pStyle w:val="11"/>
            </w:pPr>
            <w:r>
              <w:t>24.26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2.82</w:t>
            </w:r>
          </w:p>
        </w:tc>
        <w:tc>
          <w:tcPr>
            <w:tcW w:w="1361" w:type="dxa"/>
            <w:vAlign w:val="center"/>
          </w:tcPr>
          <w:p>
            <w:pPr>
              <w:pStyle w:val="11"/>
            </w:pPr>
            <w:r>
              <w:t>2.82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21.44</w:t>
            </w:r>
          </w:p>
        </w:tc>
        <w:tc>
          <w:tcPr>
            <w:tcW w:w="1361" w:type="dxa"/>
            <w:vAlign w:val="center"/>
          </w:tcPr>
          <w:p>
            <w:pPr>
              <w:pStyle w:val="11"/>
            </w:pPr>
            <w:r>
              <w:t>21.44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15.32</w:t>
            </w:r>
          </w:p>
        </w:tc>
        <w:tc>
          <w:tcPr>
            <w:tcW w:w="1361" w:type="dxa"/>
            <w:vAlign w:val="center"/>
          </w:tcPr>
          <w:p>
            <w:pPr>
              <w:pStyle w:val="11"/>
            </w:pPr>
            <w:r>
              <w:t>15.32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12</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15.32</w:t>
            </w:r>
          </w:p>
        </w:tc>
        <w:tc>
          <w:tcPr>
            <w:tcW w:w="1361" w:type="dxa"/>
            <w:vAlign w:val="center"/>
          </w:tcPr>
          <w:p>
            <w:pPr>
              <w:pStyle w:val="11"/>
            </w:pPr>
            <w:r>
              <w:t>15.32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13</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3.42</w:t>
            </w:r>
          </w:p>
        </w:tc>
        <w:tc>
          <w:tcPr>
            <w:tcW w:w="1361" w:type="dxa"/>
            <w:vAlign w:val="center"/>
          </w:tcPr>
          <w:p>
            <w:pPr>
              <w:pStyle w:val="11"/>
            </w:pPr>
            <w:r>
              <w:t>3.42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2101102</w:t>
            </w:r>
          </w:p>
        </w:tc>
        <w:tc>
          <w:tcPr>
            <w:tcW w:w="4535" w:type="dxa"/>
            <w:vAlign w:val="center"/>
          </w:tcPr>
          <w:p>
            <w:pPr>
              <w:pStyle w:val="12"/>
            </w:pPr>
            <w:r>
              <w:t>事业单位医疗</w:t>
            </w:r>
          </w:p>
        </w:tc>
        <w:tc>
          <w:tcPr>
            <w:tcW w:w="1361" w:type="dxa"/>
            <w:vAlign w:val="center"/>
          </w:tcPr>
          <w:p>
            <w:pPr>
              <w:pStyle w:val="11"/>
            </w:pPr>
            <w:r>
              <w:t>8.72</w:t>
            </w:r>
          </w:p>
        </w:tc>
        <w:tc>
          <w:tcPr>
            <w:tcW w:w="1361" w:type="dxa"/>
            <w:vAlign w:val="center"/>
          </w:tcPr>
          <w:p>
            <w:pPr>
              <w:pStyle w:val="11"/>
            </w:pPr>
            <w:r>
              <w:t>8.72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15</w:t>
            </w:r>
          </w:p>
        </w:tc>
        <w:tc>
          <w:tcPr>
            <w:tcW w:w="992" w:type="dxa"/>
            <w:vAlign w:val="center"/>
          </w:tcPr>
          <w:p>
            <w:pPr>
              <w:pStyle w:val="12"/>
            </w:pPr>
            <w:r>
              <w:t>2101103</w:t>
            </w:r>
          </w:p>
        </w:tc>
        <w:tc>
          <w:tcPr>
            <w:tcW w:w="4535" w:type="dxa"/>
            <w:vAlign w:val="center"/>
          </w:tcPr>
          <w:p>
            <w:pPr>
              <w:pStyle w:val="12"/>
            </w:pPr>
            <w:r>
              <w:t>公务员医疗补助</w:t>
            </w:r>
          </w:p>
        </w:tc>
        <w:tc>
          <w:tcPr>
            <w:tcW w:w="1361" w:type="dxa"/>
            <w:vAlign w:val="center"/>
          </w:tcPr>
          <w:p>
            <w:pPr>
              <w:pStyle w:val="11"/>
            </w:pPr>
            <w:r>
              <w:t>3.18</w:t>
            </w:r>
          </w:p>
        </w:tc>
        <w:tc>
          <w:tcPr>
            <w:tcW w:w="1361" w:type="dxa"/>
            <w:vAlign w:val="center"/>
          </w:tcPr>
          <w:p>
            <w:pPr>
              <w:pStyle w:val="11"/>
            </w:pPr>
            <w:r>
              <w:t>3.18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17.92</w:t>
            </w:r>
          </w:p>
        </w:tc>
        <w:tc>
          <w:tcPr>
            <w:tcW w:w="1361" w:type="dxa"/>
            <w:vAlign w:val="center"/>
          </w:tcPr>
          <w:p>
            <w:pPr>
              <w:pStyle w:val="11"/>
            </w:pPr>
            <w:r>
              <w:t>17.92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17.92</w:t>
            </w:r>
          </w:p>
        </w:tc>
        <w:tc>
          <w:tcPr>
            <w:tcW w:w="1361" w:type="dxa"/>
            <w:vAlign w:val="center"/>
          </w:tcPr>
          <w:p>
            <w:pPr>
              <w:pStyle w:val="11"/>
            </w:pPr>
            <w:r>
              <w:t>17.92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17.92</w:t>
            </w:r>
          </w:p>
        </w:tc>
        <w:tc>
          <w:tcPr>
            <w:tcW w:w="1361" w:type="dxa"/>
            <w:vAlign w:val="center"/>
          </w:tcPr>
          <w:p>
            <w:pPr>
              <w:pStyle w:val="11"/>
            </w:pPr>
            <w:r>
              <w:t>17.92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225001中共阜平县委机构编制委员会办公室本级</w:t>
            </w:r>
          </w:p>
        </w:tc>
        <w:tc>
          <w:tcPr>
            <w:tcW w:w="3402" w:type="dxa"/>
            <w:tcBorders>
              <w:top w:val="single" w:color="FFFFFF" w:sz="6" w:space="0"/>
              <w:left w:val="single" w:color="FFFFFF" w:sz="6" w:space="0"/>
              <w:right w:val="single" w:color="FFFFFF" w:sz="6" w:space="0"/>
            </w:tcBorders>
            <w:vAlign w:val="center"/>
          </w:tcPr>
          <w:p>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259.01</w:t>
            </w:r>
          </w:p>
        </w:tc>
        <w:tc>
          <w:tcPr>
            <w:tcW w:w="3402" w:type="dxa"/>
            <w:vAlign w:val="center"/>
          </w:tcPr>
          <w:p>
            <w:pPr>
              <w:pStyle w:val="12"/>
            </w:pPr>
            <w:r>
              <w:t>一、一般公共服务支出</w:t>
            </w:r>
          </w:p>
        </w:tc>
        <w:tc>
          <w:tcPr>
            <w:tcW w:w="1474" w:type="dxa"/>
            <w:vAlign w:val="center"/>
          </w:tcPr>
          <w:p>
            <w:pPr>
              <w:pStyle w:val="11"/>
            </w:pPr>
            <w:r>
              <w:t>201.50</w:t>
            </w:r>
          </w:p>
        </w:tc>
        <w:tc>
          <w:tcPr>
            <w:tcW w:w="1474" w:type="dxa"/>
            <w:vAlign w:val="center"/>
          </w:tcPr>
          <w:p>
            <w:pPr>
              <w:pStyle w:val="11"/>
            </w:pPr>
            <w:r>
              <w:t>201.50</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24.26</w:t>
            </w:r>
          </w:p>
        </w:tc>
        <w:tc>
          <w:tcPr>
            <w:tcW w:w="1474" w:type="dxa"/>
            <w:vAlign w:val="center"/>
          </w:tcPr>
          <w:p>
            <w:pPr>
              <w:pStyle w:val="11"/>
            </w:pPr>
            <w:r>
              <w:t>24.26</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15.32</w:t>
            </w:r>
          </w:p>
        </w:tc>
        <w:tc>
          <w:tcPr>
            <w:tcW w:w="1474" w:type="dxa"/>
            <w:vAlign w:val="center"/>
          </w:tcPr>
          <w:p>
            <w:pPr>
              <w:pStyle w:val="11"/>
            </w:pPr>
            <w:r>
              <w:t>15.32</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17.92</w:t>
            </w:r>
          </w:p>
        </w:tc>
        <w:tc>
          <w:tcPr>
            <w:tcW w:w="1474" w:type="dxa"/>
            <w:vAlign w:val="center"/>
          </w:tcPr>
          <w:p>
            <w:pPr>
              <w:pStyle w:val="11"/>
            </w:pPr>
            <w:r>
              <w:t>17.92</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259.01</w:t>
            </w:r>
          </w:p>
        </w:tc>
        <w:tc>
          <w:tcPr>
            <w:tcW w:w="3402" w:type="dxa"/>
            <w:vAlign w:val="center"/>
          </w:tcPr>
          <w:p>
            <w:pPr>
              <w:pStyle w:val="14"/>
            </w:pPr>
            <w:r>
              <w:t>本年支出合计</w:t>
            </w:r>
          </w:p>
        </w:tc>
        <w:tc>
          <w:tcPr>
            <w:tcW w:w="1474" w:type="dxa"/>
            <w:vAlign w:val="center"/>
          </w:tcPr>
          <w:p>
            <w:pPr>
              <w:pStyle w:val="15"/>
            </w:pPr>
            <w:r>
              <w:t>259.01</w:t>
            </w:r>
          </w:p>
        </w:tc>
        <w:tc>
          <w:tcPr>
            <w:tcW w:w="1474" w:type="dxa"/>
            <w:vAlign w:val="center"/>
          </w:tcPr>
          <w:p>
            <w:pPr>
              <w:pStyle w:val="15"/>
            </w:pPr>
            <w:r>
              <w:t>259.01</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259.01</w:t>
            </w:r>
          </w:p>
        </w:tc>
        <w:tc>
          <w:tcPr>
            <w:tcW w:w="3402" w:type="dxa"/>
            <w:vAlign w:val="center"/>
          </w:tcPr>
          <w:p>
            <w:pPr>
              <w:pStyle w:val="14"/>
            </w:pPr>
            <w:r>
              <w:t>支出总计</w:t>
            </w:r>
          </w:p>
        </w:tc>
        <w:tc>
          <w:tcPr>
            <w:tcW w:w="1474" w:type="dxa"/>
            <w:vAlign w:val="center"/>
          </w:tcPr>
          <w:p>
            <w:pPr>
              <w:pStyle w:val="15"/>
            </w:pPr>
            <w:r>
              <w:t>259.01</w:t>
            </w:r>
          </w:p>
        </w:tc>
        <w:tc>
          <w:tcPr>
            <w:tcW w:w="1474" w:type="dxa"/>
            <w:vAlign w:val="center"/>
          </w:tcPr>
          <w:p>
            <w:pPr>
              <w:pStyle w:val="15"/>
            </w:pPr>
            <w:r>
              <w:t>259.01</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225001中共阜平县委机构编制委员会办公室本级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259.01</w:t>
            </w:r>
          </w:p>
        </w:tc>
        <w:tc>
          <w:tcPr>
            <w:tcW w:w="2551" w:type="dxa"/>
            <w:vAlign w:val="center"/>
          </w:tcPr>
          <w:p>
            <w:pPr>
              <w:pStyle w:val="15"/>
            </w:pPr>
            <w:r>
              <w:t>222.01</w:t>
            </w:r>
          </w:p>
        </w:tc>
        <w:tc>
          <w:tcPr>
            <w:tcW w:w="2551" w:type="dxa"/>
            <w:vAlign w:val="center"/>
          </w:tcPr>
          <w:p>
            <w:pPr>
              <w:pStyle w:val="15"/>
            </w:pPr>
            <w:r>
              <w:t>37.00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2</w:t>
            </w:r>
          </w:p>
        </w:tc>
        <w:tc>
          <w:tcPr>
            <w:tcW w:w="1191" w:type="dxa"/>
            <w:vAlign w:val="center"/>
          </w:tcPr>
          <w:p>
            <w:pPr>
              <w:pStyle w:val="12"/>
            </w:pPr>
            <w:r>
              <w:t>201</w:t>
            </w:r>
          </w:p>
        </w:tc>
        <w:tc>
          <w:tcPr>
            <w:tcW w:w="4535" w:type="dxa"/>
            <w:vAlign w:val="center"/>
          </w:tcPr>
          <w:p>
            <w:pPr>
              <w:pStyle w:val="12"/>
            </w:pPr>
            <w:r>
              <w:t>一般公共服务支出</w:t>
            </w:r>
          </w:p>
        </w:tc>
        <w:tc>
          <w:tcPr>
            <w:tcW w:w="2551" w:type="dxa"/>
            <w:vAlign w:val="center"/>
          </w:tcPr>
          <w:p>
            <w:pPr>
              <w:pStyle w:val="11"/>
            </w:pPr>
            <w:r>
              <w:t>201.50</w:t>
            </w:r>
          </w:p>
        </w:tc>
        <w:tc>
          <w:tcPr>
            <w:tcW w:w="2551" w:type="dxa"/>
            <w:vAlign w:val="center"/>
          </w:tcPr>
          <w:p>
            <w:pPr>
              <w:pStyle w:val="11"/>
            </w:pPr>
            <w:r>
              <w:t>164.50</w:t>
            </w:r>
          </w:p>
        </w:tc>
        <w:tc>
          <w:tcPr>
            <w:tcW w:w="2551" w:type="dxa"/>
            <w:vAlign w:val="center"/>
          </w:tcPr>
          <w:p>
            <w:pPr>
              <w:pStyle w:val="11"/>
            </w:pPr>
            <w:r>
              <w:t>37.00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20132</w:t>
            </w:r>
          </w:p>
        </w:tc>
        <w:tc>
          <w:tcPr>
            <w:tcW w:w="4535" w:type="dxa"/>
            <w:vAlign w:val="center"/>
          </w:tcPr>
          <w:p>
            <w:pPr>
              <w:pStyle w:val="12"/>
            </w:pPr>
            <w:r>
              <w:t>组织事务</w:t>
            </w:r>
          </w:p>
        </w:tc>
        <w:tc>
          <w:tcPr>
            <w:tcW w:w="2551" w:type="dxa"/>
            <w:vAlign w:val="center"/>
          </w:tcPr>
          <w:p>
            <w:pPr>
              <w:pStyle w:val="11"/>
            </w:pPr>
            <w:r>
              <w:t>201.50</w:t>
            </w:r>
          </w:p>
        </w:tc>
        <w:tc>
          <w:tcPr>
            <w:tcW w:w="2551" w:type="dxa"/>
            <w:vAlign w:val="center"/>
          </w:tcPr>
          <w:p>
            <w:pPr>
              <w:pStyle w:val="11"/>
            </w:pPr>
            <w:r>
              <w:t>164.50</w:t>
            </w:r>
          </w:p>
        </w:tc>
        <w:tc>
          <w:tcPr>
            <w:tcW w:w="2551" w:type="dxa"/>
            <w:vAlign w:val="center"/>
          </w:tcPr>
          <w:p>
            <w:pPr>
              <w:pStyle w:val="11"/>
            </w:pPr>
            <w:r>
              <w:t>37.00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2013201</w:t>
            </w:r>
          </w:p>
        </w:tc>
        <w:tc>
          <w:tcPr>
            <w:tcW w:w="4535" w:type="dxa"/>
            <w:vAlign w:val="center"/>
          </w:tcPr>
          <w:p>
            <w:pPr>
              <w:pStyle w:val="12"/>
            </w:pPr>
            <w:r>
              <w:t>行政运行</w:t>
            </w:r>
          </w:p>
        </w:tc>
        <w:tc>
          <w:tcPr>
            <w:tcW w:w="2551" w:type="dxa"/>
            <w:vAlign w:val="center"/>
          </w:tcPr>
          <w:p>
            <w:pPr>
              <w:pStyle w:val="11"/>
            </w:pPr>
            <w:r>
              <w:t>60.25</w:t>
            </w:r>
          </w:p>
        </w:tc>
        <w:tc>
          <w:tcPr>
            <w:tcW w:w="2551" w:type="dxa"/>
            <w:vAlign w:val="center"/>
          </w:tcPr>
          <w:p>
            <w:pPr>
              <w:pStyle w:val="11"/>
            </w:pPr>
            <w:r>
              <w:t>60.25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2013202</w:t>
            </w:r>
          </w:p>
        </w:tc>
        <w:tc>
          <w:tcPr>
            <w:tcW w:w="4535" w:type="dxa"/>
            <w:vAlign w:val="center"/>
          </w:tcPr>
          <w:p>
            <w:pPr>
              <w:pStyle w:val="12"/>
            </w:pPr>
            <w:r>
              <w:t>一般行政管理事务</w:t>
            </w:r>
          </w:p>
        </w:tc>
        <w:tc>
          <w:tcPr>
            <w:tcW w:w="2551" w:type="dxa"/>
            <w:vAlign w:val="center"/>
          </w:tcPr>
          <w:p>
            <w:pPr>
              <w:pStyle w:val="11"/>
            </w:pPr>
            <w:r>
              <w:t>37.00</w:t>
            </w:r>
          </w:p>
        </w:tc>
        <w:tc>
          <w:tcPr>
            <w:tcW w:w="2551" w:type="dxa"/>
            <w:vAlign w:val="center"/>
          </w:tcPr>
          <w:p>
            <w:pPr>
              <w:pStyle w:val="11"/>
            </w:pPr>
          </w:p>
        </w:tc>
        <w:tc>
          <w:tcPr>
            <w:tcW w:w="2551" w:type="dxa"/>
            <w:vAlign w:val="center"/>
          </w:tcPr>
          <w:p>
            <w:pPr>
              <w:pStyle w:val="11"/>
            </w:pPr>
            <w:r>
              <w:t>37.00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2013250</w:t>
            </w:r>
          </w:p>
        </w:tc>
        <w:tc>
          <w:tcPr>
            <w:tcW w:w="4535" w:type="dxa"/>
            <w:vAlign w:val="center"/>
          </w:tcPr>
          <w:p>
            <w:pPr>
              <w:pStyle w:val="12"/>
            </w:pPr>
            <w:r>
              <w:t>事业运行</w:t>
            </w:r>
          </w:p>
        </w:tc>
        <w:tc>
          <w:tcPr>
            <w:tcW w:w="2551" w:type="dxa"/>
            <w:vAlign w:val="center"/>
          </w:tcPr>
          <w:p>
            <w:pPr>
              <w:pStyle w:val="11"/>
            </w:pPr>
            <w:r>
              <w:t>104.25</w:t>
            </w:r>
          </w:p>
        </w:tc>
        <w:tc>
          <w:tcPr>
            <w:tcW w:w="2551" w:type="dxa"/>
            <w:vAlign w:val="center"/>
          </w:tcPr>
          <w:p>
            <w:pPr>
              <w:pStyle w:val="11"/>
            </w:pPr>
            <w:r>
              <w:t>104.25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24.26</w:t>
            </w:r>
          </w:p>
        </w:tc>
        <w:tc>
          <w:tcPr>
            <w:tcW w:w="2551" w:type="dxa"/>
            <w:vAlign w:val="center"/>
          </w:tcPr>
          <w:p>
            <w:pPr>
              <w:pStyle w:val="11"/>
            </w:pPr>
            <w:r>
              <w:t>24.26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24.26</w:t>
            </w:r>
          </w:p>
        </w:tc>
        <w:tc>
          <w:tcPr>
            <w:tcW w:w="2551" w:type="dxa"/>
            <w:vAlign w:val="center"/>
          </w:tcPr>
          <w:p>
            <w:pPr>
              <w:pStyle w:val="11"/>
            </w:pPr>
            <w:r>
              <w:t>24.26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2.82</w:t>
            </w:r>
          </w:p>
        </w:tc>
        <w:tc>
          <w:tcPr>
            <w:tcW w:w="2551" w:type="dxa"/>
            <w:vAlign w:val="center"/>
          </w:tcPr>
          <w:p>
            <w:pPr>
              <w:pStyle w:val="11"/>
            </w:pPr>
            <w:r>
              <w:t>2.82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10</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21.44</w:t>
            </w:r>
          </w:p>
        </w:tc>
        <w:tc>
          <w:tcPr>
            <w:tcW w:w="2551" w:type="dxa"/>
            <w:vAlign w:val="center"/>
          </w:tcPr>
          <w:p>
            <w:pPr>
              <w:pStyle w:val="11"/>
            </w:pPr>
            <w:r>
              <w:t>21.44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15.32</w:t>
            </w:r>
          </w:p>
        </w:tc>
        <w:tc>
          <w:tcPr>
            <w:tcW w:w="2551" w:type="dxa"/>
            <w:vAlign w:val="center"/>
          </w:tcPr>
          <w:p>
            <w:pPr>
              <w:pStyle w:val="11"/>
            </w:pPr>
            <w:r>
              <w:t>15.32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15.32</w:t>
            </w:r>
          </w:p>
        </w:tc>
        <w:tc>
          <w:tcPr>
            <w:tcW w:w="2551" w:type="dxa"/>
            <w:vAlign w:val="center"/>
          </w:tcPr>
          <w:p>
            <w:pPr>
              <w:pStyle w:val="11"/>
            </w:pPr>
            <w:r>
              <w:t>15.32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13</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3.42</w:t>
            </w:r>
          </w:p>
        </w:tc>
        <w:tc>
          <w:tcPr>
            <w:tcW w:w="2551" w:type="dxa"/>
            <w:vAlign w:val="center"/>
          </w:tcPr>
          <w:p>
            <w:pPr>
              <w:pStyle w:val="11"/>
            </w:pPr>
            <w:r>
              <w:t>3.42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2101102</w:t>
            </w:r>
          </w:p>
        </w:tc>
        <w:tc>
          <w:tcPr>
            <w:tcW w:w="4535" w:type="dxa"/>
            <w:vAlign w:val="center"/>
          </w:tcPr>
          <w:p>
            <w:pPr>
              <w:pStyle w:val="12"/>
            </w:pPr>
            <w:r>
              <w:t>事业单位医疗</w:t>
            </w:r>
          </w:p>
        </w:tc>
        <w:tc>
          <w:tcPr>
            <w:tcW w:w="2551" w:type="dxa"/>
            <w:vAlign w:val="center"/>
          </w:tcPr>
          <w:p>
            <w:pPr>
              <w:pStyle w:val="11"/>
            </w:pPr>
            <w:r>
              <w:t>8.72</w:t>
            </w:r>
          </w:p>
        </w:tc>
        <w:tc>
          <w:tcPr>
            <w:tcW w:w="2551" w:type="dxa"/>
            <w:vAlign w:val="center"/>
          </w:tcPr>
          <w:p>
            <w:pPr>
              <w:pStyle w:val="11"/>
            </w:pPr>
            <w:r>
              <w:t>8.72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15</w:t>
            </w:r>
          </w:p>
        </w:tc>
        <w:tc>
          <w:tcPr>
            <w:tcW w:w="1191" w:type="dxa"/>
            <w:vAlign w:val="center"/>
          </w:tcPr>
          <w:p>
            <w:pPr>
              <w:pStyle w:val="12"/>
            </w:pPr>
            <w:r>
              <w:t>2101103</w:t>
            </w:r>
          </w:p>
        </w:tc>
        <w:tc>
          <w:tcPr>
            <w:tcW w:w="4535" w:type="dxa"/>
            <w:vAlign w:val="center"/>
          </w:tcPr>
          <w:p>
            <w:pPr>
              <w:pStyle w:val="12"/>
            </w:pPr>
            <w:r>
              <w:t>公务员医疗补助</w:t>
            </w:r>
          </w:p>
        </w:tc>
        <w:tc>
          <w:tcPr>
            <w:tcW w:w="2551" w:type="dxa"/>
            <w:vAlign w:val="center"/>
          </w:tcPr>
          <w:p>
            <w:pPr>
              <w:pStyle w:val="11"/>
            </w:pPr>
            <w:r>
              <w:t>3.18</w:t>
            </w:r>
          </w:p>
        </w:tc>
        <w:tc>
          <w:tcPr>
            <w:tcW w:w="2551" w:type="dxa"/>
            <w:vAlign w:val="center"/>
          </w:tcPr>
          <w:p>
            <w:pPr>
              <w:pStyle w:val="11"/>
            </w:pPr>
            <w:r>
              <w:t>3.18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16</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17.92</w:t>
            </w:r>
          </w:p>
        </w:tc>
        <w:tc>
          <w:tcPr>
            <w:tcW w:w="2551" w:type="dxa"/>
            <w:vAlign w:val="center"/>
          </w:tcPr>
          <w:p>
            <w:pPr>
              <w:pStyle w:val="11"/>
            </w:pPr>
            <w:r>
              <w:t>17.92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17.92</w:t>
            </w:r>
          </w:p>
        </w:tc>
        <w:tc>
          <w:tcPr>
            <w:tcW w:w="2551" w:type="dxa"/>
            <w:vAlign w:val="center"/>
          </w:tcPr>
          <w:p>
            <w:pPr>
              <w:pStyle w:val="11"/>
            </w:pPr>
            <w:r>
              <w:t>17.92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17.92</w:t>
            </w:r>
          </w:p>
        </w:tc>
        <w:tc>
          <w:tcPr>
            <w:tcW w:w="2551" w:type="dxa"/>
            <w:vAlign w:val="center"/>
          </w:tcPr>
          <w:p>
            <w:pPr>
              <w:pStyle w:val="11"/>
            </w:pPr>
            <w:r>
              <w:t>17.92</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225001中共阜平县委机构编制委员会办公室本级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222.01</w:t>
            </w:r>
          </w:p>
        </w:tc>
        <w:tc>
          <w:tcPr>
            <w:tcW w:w="2551" w:type="dxa"/>
            <w:vAlign w:val="center"/>
          </w:tcPr>
          <w:p>
            <w:pPr>
              <w:pStyle w:val="15"/>
            </w:pPr>
            <w:r>
              <w:t>205.45</w:t>
            </w:r>
          </w:p>
        </w:tc>
        <w:tc>
          <w:tcPr>
            <w:tcW w:w="2551" w:type="dxa"/>
            <w:vAlign w:val="center"/>
          </w:tcPr>
          <w:p>
            <w:pPr>
              <w:pStyle w:val="15"/>
            </w:pPr>
            <w:r>
              <w:t>16.56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201.88</w:t>
            </w:r>
          </w:p>
        </w:tc>
        <w:tc>
          <w:tcPr>
            <w:tcW w:w="2551" w:type="dxa"/>
            <w:vAlign w:val="center"/>
          </w:tcPr>
          <w:p>
            <w:pPr>
              <w:pStyle w:val="11"/>
            </w:pPr>
            <w:r>
              <w:t>201.88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82.88</w:t>
            </w:r>
          </w:p>
        </w:tc>
        <w:tc>
          <w:tcPr>
            <w:tcW w:w="2551" w:type="dxa"/>
            <w:vAlign w:val="center"/>
          </w:tcPr>
          <w:p>
            <w:pPr>
              <w:pStyle w:val="11"/>
            </w:pPr>
            <w:r>
              <w:t>82.88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18.74</w:t>
            </w:r>
          </w:p>
        </w:tc>
        <w:tc>
          <w:tcPr>
            <w:tcW w:w="2551" w:type="dxa"/>
            <w:vAlign w:val="center"/>
          </w:tcPr>
          <w:p>
            <w:pPr>
              <w:pStyle w:val="11"/>
            </w:pPr>
            <w:r>
              <w:t>18.74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7.82</w:t>
            </w:r>
          </w:p>
        </w:tc>
        <w:tc>
          <w:tcPr>
            <w:tcW w:w="2551" w:type="dxa"/>
            <w:vAlign w:val="center"/>
          </w:tcPr>
          <w:p>
            <w:pPr>
              <w:pStyle w:val="11"/>
            </w:pPr>
            <w:r>
              <w:t>7.82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36.43</w:t>
            </w:r>
          </w:p>
        </w:tc>
        <w:tc>
          <w:tcPr>
            <w:tcW w:w="2551" w:type="dxa"/>
            <w:vAlign w:val="center"/>
          </w:tcPr>
          <w:p>
            <w:pPr>
              <w:pStyle w:val="11"/>
            </w:pPr>
            <w:r>
              <w:t>36.43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21.44</w:t>
            </w:r>
          </w:p>
        </w:tc>
        <w:tc>
          <w:tcPr>
            <w:tcW w:w="2551" w:type="dxa"/>
            <w:vAlign w:val="center"/>
          </w:tcPr>
          <w:p>
            <w:pPr>
              <w:pStyle w:val="11"/>
            </w:pPr>
            <w:r>
              <w:t>21.44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12.14</w:t>
            </w:r>
          </w:p>
        </w:tc>
        <w:tc>
          <w:tcPr>
            <w:tcW w:w="2551" w:type="dxa"/>
            <w:vAlign w:val="center"/>
          </w:tcPr>
          <w:p>
            <w:pPr>
              <w:pStyle w:val="11"/>
            </w:pPr>
            <w:r>
              <w:t>12.14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9</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3.18</w:t>
            </w:r>
          </w:p>
        </w:tc>
        <w:tc>
          <w:tcPr>
            <w:tcW w:w="2551" w:type="dxa"/>
            <w:vAlign w:val="center"/>
          </w:tcPr>
          <w:p>
            <w:pPr>
              <w:pStyle w:val="11"/>
            </w:pPr>
            <w:r>
              <w:t>3.18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1.32</w:t>
            </w:r>
          </w:p>
        </w:tc>
        <w:tc>
          <w:tcPr>
            <w:tcW w:w="2551" w:type="dxa"/>
            <w:vAlign w:val="center"/>
          </w:tcPr>
          <w:p>
            <w:pPr>
              <w:pStyle w:val="11"/>
            </w:pPr>
            <w:r>
              <w:t>1.32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17.92</w:t>
            </w:r>
          </w:p>
        </w:tc>
        <w:tc>
          <w:tcPr>
            <w:tcW w:w="2551" w:type="dxa"/>
            <w:vAlign w:val="center"/>
          </w:tcPr>
          <w:p>
            <w:pPr>
              <w:pStyle w:val="11"/>
            </w:pPr>
            <w:r>
              <w:t>17.92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16.56</w:t>
            </w:r>
          </w:p>
        </w:tc>
        <w:tc>
          <w:tcPr>
            <w:tcW w:w="2551" w:type="dxa"/>
            <w:vAlign w:val="center"/>
          </w:tcPr>
          <w:p>
            <w:pPr>
              <w:pStyle w:val="11"/>
            </w:pPr>
          </w:p>
        </w:tc>
        <w:tc>
          <w:tcPr>
            <w:tcW w:w="2551" w:type="dxa"/>
            <w:vAlign w:val="center"/>
          </w:tcPr>
          <w:p>
            <w:pPr>
              <w:pStyle w:val="11"/>
            </w:pPr>
            <w:r>
              <w:t>16.56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5.62</w:t>
            </w:r>
          </w:p>
        </w:tc>
        <w:tc>
          <w:tcPr>
            <w:tcW w:w="2551" w:type="dxa"/>
            <w:vAlign w:val="center"/>
          </w:tcPr>
          <w:p>
            <w:pPr>
              <w:pStyle w:val="11"/>
            </w:pPr>
          </w:p>
        </w:tc>
        <w:tc>
          <w:tcPr>
            <w:tcW w:w="2551" w:type="dxa"/>
            <w:vAlign w:val="center"/>
          </w:tcPr>
          <w:p>
            <w:pPr>
              <w:pStyle w:val="11"/>
            </w:pPr>
            <w:r>
              <w:t>5.62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2.02</w:t>
            </w:r>
          </w:p>
        </w:tc>
        <w:tc>
          <w:tcPr>
            <w:tcW w:w="2551" w:type="dxa"/>
            <w:vAlign w:val="center"/>
          </w:tcPr>
          <w:p>
            <w:pPr>
              <w:pStyle w:val="11"/>
            </w:pPr>
          </w:p>
        </w:tc>
        <w:tc>
          <w:tcPr>
            <w:tcW w:w="2551" w:type="dxa"/>
            <w:vAlign w:val="center"/>
          </w:tcPr>
          <w:p>
            <w:pPr>
              <w:pStyle w:val="11"/>
            </w:pPr>
            <w:r>
              <w:t>2.02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2.49</w:t>
            </w:r>
          </w:p>
        </w:tc>
        <w:tc>
          <w:tcPr>
            <w:tcW w:w="2551" w:type="dxa"/>
            <w:vAlign w:val="center"/>
          </w:tcPr>
          <w:p>
            <w:pPr>
              <w:pStyle w:val="11"/>
            </w:pPr>
          </w:p>
        </w:tc>
        <w:tc>
          <w:tcPr>
            <w:tcW w:w="2551" w:type="dxa"/>
            <w:vAlign w:val="center"/>
          </w:tcPr>
          <w:p>
            <w:pPr>
              <w:pStyle w:val="11"/>
            </w:pPr>
            <w:r>
              <w:t>2.49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0.20</w:t>
            </w:r>
          </w:p>
        </w:tc>
        <w:tc>
          <w:tcPr>
            <w:tcW w:w="2551" w:type="dxa"/>
            <w:vAlign w:val="center"/>
          </w:tcPr>
          <w:p>
            <w:pPr>
              <w:pStyle w:val="11"/>
            </w:pPr>
          </w:p>
        </w:tc>
        <w:tc>
          <w:tcPr>
            <w:tcW w:w="2551" w:type="dxa"/>
            <w:vAlign w:val="center"/>
          </w:tcPr>
          <w:p>
            <w:pPr>
              <w:pStyle w:val="11"/>
            </w:pPr>
            <w: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0.42</w:t>
            </w:r>
          </w:p>
        </w:tc>
        <w:tc>
          <w:tcPr>
            <w:tcW w:w="2551" w:type="dxa"/>
            <w:vAlign w:val="center"/>
          </w:tcPr>
          <w:p>
            <w:pPr>
              <w:pStyle w:val="11"/>
            </w:pPr>
          </w:p>
        </w:tc>
        <w:tc>
          <w:tcPr>
            <w:tcW w:w="2551" w:type="dxa"/>
            <w:vAlign w:val="center"/>
          </w:tcPr>
          <w:p>
            <w:pPr>
              <w:pStyle w:val="11"/>
            </w:pPr>
            <w:r>
              <w:t>0.42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3"/>
            </w:pPr>
            <w:r>
              <w:t>18</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0.19</w:t>
            </w:r>
          </w:p>
        </w:tc>
        <w:tc>
          <w:tcPr>
            <w:tcW w:w="2551" w:type="dxa"/>
            <w:vAlign w:val="center"/>
          </w:tcPr>
          <w:p>
            <w:pPr>
              <w:pStyle w:val="11"/>
            </w:pPr>
          </w:p>
        </w:tc>
        <w:tc>
          <w:tcPr>
            <w:tcW w:w="2551" w:type="dxa"/>
            <w:vAlign w:val="center"/>
          </w:tcPr>
          <w:p>
            <w:pPr>
              <w:pStyle w:val="11"/>
            </w:pPr>
            <w:r>
              <w:t>0.19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2.20</w:t>
            </w:r>
          </w:p>
        </w:tc>
        <w:tc>
          <w:tcPr>
            <w:tcW w:w="2551" w:type="dxa"/>
            <w:vAlign w:val="center"/>
          </w:tcPr>
          <w:p>
            <w:pPr>
              <w:pStyle w:val="11"/>
            </w:pPr>
          </w:p>
        </w:tc>
        <w:tc>
          <w:tcPr>
            <w:tcW w:w="2551" w:type="dxa"/>
            <w:vAlign w:val="center"/>
          </w:tcPr>
          <w:p>
            <w:pPr>
              <w:pStyle w:val="11"/>
            </w:pPr>
            <w:r>
              <w:t>2.20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3.42</w:t>
            </w:r>
          </w:p>
        </w:tc>
        <w:tc>
          <w:tcPr>
            <w:tcW w:w="2551" w:type="dxa"/>
            <w:vAlign w:val="center"/>
          </w:tcPr>
          <w:p>
            <w:pPr>
              <w:pStyle w:val="11"/>
            </w:pPr>
          </w:p>
        </w:tc>
        <w:tc>
          <w:tcPr>
            <w:tcW w:w="2551" w:type="dxa"/>
            <w:vAlign w:val="center"/>
          </w:tcPr>
          <w:p>
            <w:pPr>
              <w:pStyle w:val="11"/>
            </w:pPr>
            <w:r>
              <w:t>3.42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3.57</w:t>
            </w:r>
          </w:p>
        </w:tc>
        <w:tc>
          <w:tcPr>
            <w:tcW w:w="2551" w:type="dxa"/>
            <w:vAlign w:val="center"/>
          </w:tcPr>
          <w:p>
            <w:pPr>
              <w:pStyle w:val="11"/>
            </w:pPr>
            <w:r>
              <w:t>3.57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2.82</w:t>
            </w:r>
          </w:p>
        </w:tc>
        <w:tc>
          <w:tcPr>
            <w:tcW w:w="2551" w:type="dxa"/>
            <w:vAlign w:val="center"/>
          </w:tcPr>
          <w:p>
            <w:pPr>
              <w:pStyle w:val="11"/>
            </w:pPr>
            <w:r>
              <w:t>2.82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0.75</w:t>
            </w:r>
          </w:p>
        </w:tc>
        <w:tc>
          <w:tcPr>
            <w:tcW w:w="2551" w:type="dxa"/>
            <w:vAlign w:val="center"/>
          </w:tcPr>
          <w:p>
            <w:pPr>
              <w:pStyle w:val="11"/>
            </w:pPr>
            <w:r>
              <w:t>0.75</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225001中共阜平县委机构编制委员会办公室本级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225001中共阜平县委机构编制委员会办公室本级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225001中共阜平县委机构编制委员会办公室本级</w:t>
            </w:r>
          </w:p>
        </w:tc>
        <w:tc>
          <w:tcPr>
            <w:tcW w:w="2381" w:type="dxa"/>
            <w:tcBorders>
              <w:top w:val="single" w:color="FFFFFF" w:sz="6" w:space="0"/>
              <w:left w:val="single" w:color="FFFFFF" w:sz="6" w:space="0"/>
              <w:right w:val="single" w:color="FFFFFF" w:sz="6" w:space="0"/>
            </w:tcBorders>
            <w:vAlign w:val="center"/>
          </w:tcPr>
          <w:p>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ind w:firstLine="0" w:firstLineChars="0"/>
              <w:rPr>
                <w:rFonts w:ascii="方正书宋_GBK" w:hAnsi="方正书宋_GBK" w:eastAsia="方正书宋_GBK" w:cs="方正书宋_GBK"/>
                <w:sz w:val="21"/>
              </w:rPr>
            </w:pPr>
            <w:r>
              <w:t>1</w:t>
            </w:r>
          </w:p>
        </w:tc>
        <w:tc>
          <w:tcPr>
            <w:tcW w:w="3798" w:type="dxa"/>
            <w:vAlign w:val="center"/>
          </w:tcPr>
          <w:p>
            <w:pPr>
              <w:pStyle w:val="14"/>
              <w:ind w:firstLine="0" w:firstLineChars="0"/>
              <w:rPr>
                <w:rFonts w:ascii="方正书宋_GBK" w:hAnsi="方正书宋_GBK" w:eastAsia="方正书宋_GBK" w:cs="方正书宋_GBK"/>
                <w:b/>
                <w:sz w:val="21"/>
              </w:rPr>
            </w:pPr>
            <w:r>
              <w:t>合计</w:t>
            </w:r>
          </w:p>
        </w:tc>
        <w:tc>
          <w:tcPr>
            <w:tcW w:w="2381" w:type="dxa"/>
            <w:vAlign w:val="center"/>
          </w:tcPr>
          <w:p>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2.39</w:t>
            </w:r>
          </w:p>
        </w:tc>
        <w:tc>
          <w:tcPr>
            <w:tcW w:w="2381" w:type="dxa"/>
            <w:vAlign w:val="center"/>
          </w:tcPr>
          <w:p>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2.39</w:t>
            </w:r>
          </w:p>
        </w:tc>
        <w:tc>
          <w:tcPr>
            <w:tcW w:w="2381" w:type="dxa"/>
            <w:vAlign w:val="center"/>
          </w:tcPr>
          <w:p>
            <w:pPr>
              <w:pStyle w:val="15"/>
              <w:ind w:firstLine="0" w:firstLineChars="0"/>
              <w:rPr>
                <w:rFonts w:ascii="方正书宋_GBK" w:hAnsi="方正书宋_GBK" w:eastAsia="方正书宋_GBK" w:cs="方正书宋_GBK"/>
                <w:b/>
                <w:sz w:val="21"/>
              </w:rPr>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ind w:firstLine="0" w:firstLineChars="0"/>
              <w:rPr>
                <w:rFonts w:ascii="方正书宋_GBK" w:hAnsi="方正书宋_GBK" w:eastAsia="方正书宋_GBK" w:cs="方正书宋_GBK"/>
                <w:sz w:val="21"/>
              </w:rPr>
            </w:pPr>
            <w:r>
              <w:t>2</w:t>
            </w:r>
          </w:p>
        </w:tc>
        <w:tc>
          <w:tcPr>
            <w:tcW w:w="3798" w:type="dxa"/>
            <w:vAlign w:val="center"/>
          </w:tcPr>
          <w:p>
            <w:pPr>
              <w:pStyle w:val="12"/>
              <w:ind w:firstLine="0" w:firstLineChars="0"/>
              <w:rPr>
                <w:rFonts w:ascii="方正书宋_GBK" w:hAnsi="方正书宋_GBK" w:eastAsia="方正书宋_GBK" w:cs="方正书宋_GBK"/>
                <w:sz w:val="21"/>
              </w:rPr>
            </w:pPr>
            <w:r>
              <w:t>一、因公出国（境）费</w:t>
            </w:r>
          </w:p>
        </w:tc>
        <w:tc>
          <w:tcPr>
            <w:tcW w:w="2381" w:type="dxa"/>
            <w:vAlign w:val="center"/>
          </w:tcPr>
          <w:p>
            <w:pPr>
              <w:pStyle w:val="11"/>
              <w:ind w:firstLine="0" w:firstLineChars="0"/>
              <w:rPr>
                <w:rFonts w:hint="eastAsia" w:ascii="方正书宋_GBK" w:hAnsi="方正书宋_GBK" w:eastAsia="方正书宋_GBK" w:cs="方正书宋_GBK"/>
                <w:sz w:val="21"/>
                <w:lang w:val="en-US" w:eastAsia="zh-CN"/>
              </w:rPr>
            </w:pPr>
          </w:p>
        </w:tc>
        <w:tc>
          <w:tcPr>
            <w:tcW w:w="2381" w:type="dxa"/>
            <w:vAlign w:val="center"/>
          </w:tcPr>
          <w:p>
            <w:pPr>
              <w:pStyle w:val="11"/>
              <w:ind w:firstLine="0" w:firstLineChars="0"/>
              <w:rPr>
                <w:rFonts w:hint="eastAsia" w:ascii="方正书宋_GBK" w:hAnsi="方正书宋_GBK" w:eastAsia="方正书宋_GBK" w:cs="方正书宋_GBK"/>
                <w:sz w:val="21"/>
                <w:lang w:val="en-US" w:eastAsia="zh-CN"/>
              </w:rPr>
            </w:pPr>
          </w:p>
        </w:tc>
        <w:tc>
          <w:tcPr>
            <w:tcW w:w="2381" w:type="dxa"/>
            <w:vAlign w:val="center"/>
          </w:tcPr>
          <w:p>
            <w:pPr>
              <w:pStyle w:val="11"/>
              <w:ind w:firstLine="0" w:firstLineChars="0"/>
              <w:rPr>
                <w:rFonts w:ascii="方正书宋_GBK" w:hAnsi="方正书宋_GBK" w:eastAsia="方正书宋_GBK" w:cs="方正书宋_GBK"/>
                <w:sz w:val="21"/>
              </w:rPr>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ind w:firstLine="0" w:firstLineChars="0"/>
              <w:rPr>
                <w:rFonts w:ascii="方正书宋_GBK" w:hAnsi="方正书宋_GBK" w:eastAsia="方正书宋_GBK" w:cs="方正书宋_GBK"/>
                <w:sz w:val="21"/>
                <w:lang w:eastAsia="zh-CN"/>
              </w:rPr>
            </w:pPr>
            <w:r>
              <w:rPr>
                <w:rFonts w:hint="eastAsia"/>
                <w:lang w:eastAsia="zh-CN"/>
              </w:rPr>
              <w:t>3</w:t>
            </w:r>
          </w:p>
        </w:tc>
        <w:tc>
          <w:tcPr>
            <w:tcW w:w="3798" w:type="dxa"/>
            <w:vAlign w:val="center"/>
          </w:tcPr>
          <w:p>
            <w:pPr>
              <w:pStyle w:val="12"/>
              <w:ind w:firstLine="0" w:firstLineChars="0"/>
              <w:rPr>
                <w:rFonts w:ascii="方正书宋_GBK" w:hAnsi="方正书宋_GBK" w:eastAsia="方正书宋_GBK" w:cs="方正书宋_GBK"/>
                <w:sz w:val="21"/>
              </w:rPr>
            </w:pPr>
            <w:r>
              <w:t>二、公务用车购置及运维费</w:t>
            </w:r>
          </w:p>
        </w:tc>
        <w:tc>
          <w:tcPr>
            <w:tcW w:w="2381" w:type="dxa"/>
            <w:vAlign w:val="center"/>
          </w:tcPr>
          <w:p>
            <w:pPr>
              <w:pStyle w:val="15"/>
              <w:ind w:firstLine="0" w:firstLineChars="0"/>
              <w:rPr>
                <w:rFonts w:hint="default" w:ascii="方正书宋_GBK" w:hAnsi="方正书宋_GBK" w:eastAsia="方正书宋_GBK" w:cs="方正书宋_GBK"/>
                <w:b w:val="0"/>
                <w:bCs/>
                <w:sz w:val="21"/>
                <w:lang w:val="en-US" w:eastAsia="zh-CN"/>
              </w:rPr>
            </w:pPr>
            <w:r>
              <w:rPr>
                <w:rFonts w:hint="eastAsia" w:cs="方正书宋_GBK"/>
                <w:b w:val="0"/>
                <w:bCs/>
                <w:sz w:val="21"/>
                <w:lang w:val="en-US" w:eastAsia="zh-CN"/>
              </w:rPr>
              <w:t>2.2</w:t>
            </w:r>
          </w:p>
        </w:tc>
        <w:tc>
          <w:tcPr>
            <w:tcW w:w="2381" w:type="dxa"/>
            <w:vAlign w:val="center"/>
          </w:tcPr>
          <w:p>
            <w:pPr>
              <w:pStyle w:val="15"/>
              <w:ind w:firstLine="0" w:firstLineChars="0"/>
              <w:rPr>
                <w:rFonts w:hint="default" w:ascii="方正书宋_GBK" w:hAnsi="方正书宋_GBK" w:eastAsia="方正书宋_GBK" w:cs="方正书宋_GBK"/>
                <w:b w:val="0"/>
                <w:bCs/>
                <w:sz w:val="21"/>
                <w:lang w:val="en-US" w:eastAsia="zh-CN"/>
              </w:rPr>
            </w:pPr>
            <w:r>
              <w:rPr>
                <w:rFonts w:hint="eastAsia" w:cs="方正书宋_GBK"/>
                <w:b w:val="0"/>
                <w:bCs/>
                <w:sz w:val="21"/>
                <w:lang w:val="en-US" w:eastAsia="zh-CN"/>
              </w:rPr>
              <w:t>2.2</w:t>
            </w:r>
          </w:p>
        </w:tc>
        <w:tc>
          <w:tcPr>
            <w:tcW w:w="2381" w:type="dxa"/>
            <w:vAlign w:val="center"/>
          </w:tcPr>
          <w:p>
            <w:pPr>
              <w:pStyle w:val="11"/>
              <w:ind w:firstLine="0" w:firstLineChars="0"/>
              <w:rPr>
                <w:rFonts w:ascii="方正书宋_GBK" w:hAnsi="方正书宋_GBK" w:eastAsia="方正书宋_GBK" w:cs="方正书宋_GBK"/>
                <w:sz w:val="21"/>
              </w:rPr>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ind w:firstLine="0" w:firstLineChars="0"/>
              <w:rPr>
                <w:rFonts w:ascii="方正书宋_GBK" w:hAnsi="方正书宋_GBK" w:eastAsia="方正书宋_GBK" w:cs="方正书宋_GBK"/>
                <w:sz w:val="21"/>
                <w:lang w:eastAsia="zh-CN"/>
              </w:rPr>
            </w:pPr>
            <w:r>
              <w:rPr>
                <w:rFonts w:hint="eastAsia"/>
                <w:lang w:eastAsia="zh-CN"/>
              </w:rPr>
              <w:t>4</w:t>
            </w:r>
          </w:p>
        </w:tc>
        <w:tc>
          <w:tcPr>
            <w:tcW w:w="3798" w:type="dxa"/>
            <w:vAlign w:val="center"/>
          </w:tcPr>
          <w:p>
            <w:pPr>
              <w:pStyle w:val="12"/>
              <w:ind w:firstLine="0" w:firstLineChars="0"/>
              <w:rPr>
                <w:rFonts w:ascii="方正书宋_GBK" w:hAnsi="方正书宋_GBK" w:eastAsia="方正书宋_GBK" w:cs="方正书宋_GBK"/>
                <w:sz w:val="21"/>
              </w:rPr>
            </w:pPr>
            <w:r>
              <w:t xml:space="preserve">    其中：公务用车购置费</w:t>
            </w:r>
          </w:p>
        </w:tc>
        <w:tc>
          <w:tcPr>
            <w:tcW w:w="2381" w:type="dxa"/>
            <w:vAlign w:val="center"/>
          </w:tcPr>
          <w:p>
            <w:pPr>
              <w:pStyle w:val="11"/>
              <w:ind w:firstLine="0" w:firstLineChars="0"/>
              <w:rPr>
                <w:rFonts w:hint="eastAsia" w:ascii="方正书宋_GBK" w:hAnsi="方正书宋_GBK" w:eastAsia="方正书宋_GBK" w:cs="方正书宋_GBK"/>
                <w:bCs/>
                <w:sz w:val="21"/>
                <w:lang w:val="en-US" w:eastAsia="zh-CN"/>
              </w:rPr>
            </w:pPr>
          </w:p>
        </w:tc>
        <w:tc>
          <w:tcPr>
            <w:tcW w:w="2381" w:type="dxa"/>
            <w:vAlign w:val="center"/>
          </w:tcPr>
          <w:p>
            <w:pPr>
              <w:pStyle w:val="11"/>
              <w:ind w:firstLine="0" w:firstLineChars="0"/>
              <w:rPr>
                <w:rFonts w:hint="eastAsia" w:ascii="方正书宋_GBK" w:hAnsi="方正书宋_GBK" w:eastAsia="方正书宋_GBK" w:cs="方正书宋_GBK"/>
                <w:bCs/>
                <w:sz w:val="21"/>
                <w:lang w:val="en-US" w:eastAsia="zh-CN"/>
              </w:rPr>
            </w:pPr>
          </w:p>
        </w:tc>
        <w:tc>
          <w:tcPr>
            <w:tcW w:w="2381" w:type="dxa"/>
            <w:vAlign w:val="center"/>
          </w:tcPr>
          <w:p>
            <w:pPr>
              <w:pStyle w:val="11"/>
              <w:ind w:firstLine="0" w:firstLineChars="0"/>
              <w:rPr>
                <w:rFonts w:ascii="方正书宋_GBK" w:hAnsi="方正书宋_GBK" w:eastAsia="方正书宋_GBK" w:cs="方正书宋_GBK"/>
                <w:sz w:val="21"/>
              </w:rPr>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ind w:firstLine="0" w:firstLineChars="0"/>
              <w:rPr>
                <w:rFonts w:ascii="方正书宋_GBK" w:hAnsi="方正书宋_GBK" w:eastAsia="方正书宋_GBK" w:cs="方正书宋_GBK"/>
                <w:sz w:val="21"/>
                <w:lang w:eastAsia="zh-CN"/>
              </w:rPr>
            </w:pPr>
            <w:r>
              <w:rPr>
                <w:rFonts w:hint="eastAsia"/>
                <w:lang w:eastAsia="zh-CN"/>
              </w:rPr>
              <w:t>5</w:t>
            </w:r>
          </w:p>
        </w:tc>
        <w:tc>
          <w:tcPr>
            <w:tcW w:w="3798" w:type="dxa"/>
            <w:vAlign w:val="center"/>
          </w:tcPr>
          <w:p>
            <w:pPr>
              <w:pStyle w:val="12"/>
              <w:ind w:firstLine="0" w:firstLineChars="0"/>
              <w:rPr>
                <w:rFonts w:ascii="方正书宋_GBK" w:hAnsi="方正书宋_GBK" w:eastAsia="方正书宋_GBK" w:cs="方正书宋_GBK"/>
                <w:sz w:val="21"/>
              </w:rPr>
            </w:pPr>
            <w:r>
              <w:t xml:space="preserve">          公务用车运行维护费</w:t>
            </w:r>
          </w:p>
        </w:tc>
        <w:tc>
          <w:tcPr>
            <w:tcW w:w="2381" w:type="dxa"/>
            <w:vAlign w:val="center"/>
          </w:tcPr>
          <w:p>
            <w:pPr>
              <w:pStyle w:val="15"/>
              <w:ind w:firstLine="0" w:firstLineChars="0"/>
              <w:rPr>
                <w:rFonts w:hint="default" w:ascii="方正书宋_GBK" w:hAnsi="方正书宋_GBK" w:eastAsia="方正书宋_GBK" w:cs="方正书宋_GBK"/>
                <w:b w:val="0"/>
                <w:bCs/>
                <w:sz w:val="21"/>
                <w:lang w:val="en-US" w:eastAsia="zh-CN"/>
              </w:rPr>
            </w:pPr>
            <w:r>
              <w:rPr>
                <w:rFonts w:hint="eastAsia"/>
                <w:b w:val="0"/>
                <w:bCs/>
                <w:lang w:val="en-US" w:eastAsia="zh-CN"/>
              </w:rPr>
              <w:t>2.2</w:t>
            </w:r>
          </w:p>
        </w:tc>
        <w:tc>
          <w:tcPr>
            <w:tcW w:w="2381" w:type="dxa"/>
            <w:vAlign w:val="center"/>
          </w:tcPr>
          <w:p>
            <w:pPr>
              <w:pStyle w:val="15"/>
              <w:ind w:firstLine="0" w:firstLineChars="0"/>
              <w:rPr>
                <w:rFonts w:hint="default" w:ascii="方正书宋_GBK" w:hAnsi="方正书宋_GBK" w:eastAsia="方正书宋_GBK" w:cs="方正书宋_GBK"/>
                <w:b w:val="0"/>
                <w:bCs/>
                <w:sz w:val="21"/>
                <w:lang w:val="en-US" w:eastAsia="zh-CN"/>
              </w:rPr>
            </w:pPr>
            <w:r>
              <w:rPr>
                <w:rFonts w:hint="eastAsia"/>
                <w:b w:val="0"/>
                <w:bCs/>
                <w:lang w:val="en-US" w:eastAsia="zh-CN"/>
              </w:rPr>
              <w:t>2.2</w:t>
            </w:r>
          </w:p>
        </w:tc>
        <w:tc>
          <w:tcPr>
            <w:tcW w:w="2381" w:type="dxa"/>
            <w:vAlign w:val="center"/>
          </w:tcPr>
          <w:p>
            <w:pPr>
              <w:pStyle w:val="11"/>
              <w:ind w:firstLine="0" w:firstLineChars="0"/>
              <w:rPr>
                <w:rFonts w:ascii="方正书宋_GBK" w:hAnsi="方正书宋_GBK" w:eastAsia="方正书宋_GBK" w:cs="方正书宋_GBK"/>
                <w:sz w:val="21"/>
              </w:rPr>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6</w:t>
            </w:r>
          </w:p>
        </w:tc>
        <w:tc>
          <w:tcPr>
            <w:tcW w:w="3798" w:type="dxa"/>
            <w:vAlign w:val="center"/>
          </w:tcPr>
          <w:p>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三、公务接待费</w:t>
            </w:r>
          </w:p>
        </w:tc>
        <w:tc>
          <w:tcPr>
            <w:tcW w:w="2381" w:type="dxa"/>
            <w:vAlign w:val="center"/>
          </w:tcPr>
          <w:p>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0.19</w:t>
            </w:r>
          </w:p>
        </w:tc>
        <w:tc>
          <w:tcPr>
            <w:tcW w:w="2381" w:type="dxa"/>
            <w:vAlign w:val="center"/>
          </w:tcPr>
          <w:p>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0.19</w:t>
            </w:r>
          </w:p>
        </w:tc>
        <w:tc>
          <w:tcPr>
            <w:tcW w:w="2381" w:type="dxa"/>
            <w:vAlign w:val="center"/>
          </w:tcPr>
          <w:p>
            <w:pPr>
              <w:pStyle w:val="11"/>
              <w:ind w:firstLine="0" w:firstLineChars="0"/>
              <w:rPr>
                <w:rFonts w:hint="default" w:ascii="方正书宋_GBK" w:hAnsi="方正书宋_GBK" w:eastAsia="方正书宋_GBK" w:cs="方正书宋_GBK"/>
                <w:sz w:val="21"/>
                <w:lang w:val="en-US"/>
              </w:rPr>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rPr>
                <w:rFonts w:hint="eastAsia"/>
                <w:lang w:val="en-US" w:eastAsia="zh-CN"/>
              </w:rPr>
            </w:pPr>
          </w:p>
        </w:tc>
        <w:tc>
          <w:tcPr>
            <w:tcW w:w="2381" w:type="dxa"/>
            <w:vAlign w:val="center"/>
          </w:tcPr>
          <w:p>
            <w:pPr>
              <w:pStyle w:val="11"/>
              <w:rPr>
                <w:rFonts w:hint="eastAsia"/>
                <w:lang w:val="en-US" w:eastAsia="zh-CN"/>
              </w:rPr>
            </w:pPr>
          </w:p>
        </w:tc>
        <w:tc>
          <w:tcPr>
            <w:tcW w:w="2381" w:type="dxa"/>
            <w:vAlign w:val="center"/>
          </w:tcPr>
          <w:p>
            <w:pPr>
              <w:pStyle w:val="11"/>
            </w:pPr>
          </w:p>
        </w:tc>
        <w:tc>
          <w:tcPr>
            <w:tcW w:w="2381" w:type="dxa"/>
            <w:vAlign w:val="center"/>
          </w:tcPr>
          <w:p>
            <w:pPr>
              <w:pStyle w:val="11"/>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中共阜平县委机构编制委员会办公室本级2025年单位预算信息公开情况说明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按照《中华人民共和国预算法》、《地方预决算公开操作规程》和《关于进一步推进预算公开工作的实施意见》规定，现将中共阜平县委机构编制委员会办公室本级2025年单位预算公开如下：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4"/>
        <w:spacing w:line="560" w:lineRule="exact"/>
        <w:ind w:firstLine="560" w:firstLineChars="200"/>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根据中共阜平县委办公室《关于印发中共阜平县委机构编制委员会办公室职能配置内设机构和人员编制规定的通知》（阜办字[2019]12号），现将我办</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概况说明如下：</w:t>
      </w:r>
    </w:p>
    <w:p>
      <w:pPr>
        <w:spacing w:line="560" w:lineRule="exact"/>
        <w:ind w:firstLine="280" w:firstLineChars="100"/>
        <w:rPr>
          <w:rFonts w:eastAsia="方正仿宋_GBK"/>
          <w:color w:val="000000"/>
          <w:sz w:val="28"/>
        </w:rPr>
      </w:pPr>
      <w:r>
        <w:rPr>
          <w:rFonts w:hint="eastAsia" w:eastAsia="方正仿宋_GBK"/>
          <w:color w:val="000000"/>
          <w:sz w:val="28"/>
        </w:rPr>
        <w:t>（1）贯彻落实党中央和省委、市委关于行政管理体制和机构改革以及机构编制管理的政策法规，拟订全县行政管理体制和机构改革以及机构编制管理措施并监督实施。管理和指导全县党政机关、人大、政协、监察委、法院、检察院机关，各民主党派、人民团体机关以及全县事业单位的机构编制工作。</w:t>
      </w:r>
    </w:p>
    <w:p>
      <w:pPr>
        <w:spacing w:line="560" w:lineRule="exact"/>
        <w:ind w:firstLine="280" w:firstLineChars="100"/>
        <w:rPr>
          <w:rFonts w:eastAsia="方正仿宋_GBK"/>
          <w:color w:val="000000"/>
          <w:sz w:val="28"/>
        </w:rPr>
      </w:pPr>
      <w:r>
        <w:rPr>
          <w:rFonts w:hint="eastAsia" w:eastAsia="方正仿宋_GBK"/>
          <w:color w:val="000000"/>
          <w:sz w:val="28"/>
        </w:rPr>
        <w:t>（2）组织拟订全县行政管理体制改革和县委、县政府机构改革方案并组织实施。审核各乡镇的行政管理体制和机构改革方案；指导全县行政管理体制和机构改革以及机构编制管理工作；负责行政执法体制改革工作。</w:t>
      </w:r>
    </w:p>
    <w:p>
      <w:pPr>
        <w:spacing w:line="560" w:lineRule="exact"/>
        <w:ind w:firstLine="280" w:firstLineChars="100"/>
        <w:rPr>
          <w:rFonts w:eastAsia="方正仿宋_GBK"/>
          <w:color w:val="000000"/>
          <w:sz w:val="28"/>
        </w:rPr>
      </w:pPr>
      <w:r>
        <w:rPr>
          <w:rFonts w:hint="eastAsia" w:eastAsia="方正仿宋_GBK"/>
          <w:color w:val="000000"/>
          <w:sz w:val="28"/>
        </w:rPr>
        <w:t>（3）协调县委、县政府各部门的职能配置及其调整。协调县委、县政府部门之间以及县直各部门与各乡镇之间的职责分工。</w:t>
      </w:r>
    </w:p>
    <w:p>
      <w:pPr>
        <w:spacing w:line="560" w:lineRule="exact"/>
        <w:ind w:firstLine="280" w:firstLineChars="100"/>
        <w:rPr>
          <w:rFonts w:eastAsia="方正仿宋_GBK"/>
          <w:color w:val="000000"/>
          <w:sz w:val="28"/>
        </w:rPr>
      </w:pPr>
      <w:r>
        <w:rPr>
          <w:rFonts w:hint="eastAsia" w:eastAsia="方正仿宋_GBK"/>
          <w:color w:val="000000"/>
          <w:sz w:val="28"/>
        </w:rPr>
        <w:t>（4）审核或审批县委、县政府各部门及各部门的派出机构的职能配置、机构设置、人员编制和领导职数；审核县人大、县政协、县监察委、县法院、县检察院、县级各民主党派、人民团体机关的职能配置、机构设置、人员编制和领导职数。</w:t>
      </w:r>
    </w:p>
    <w:p>
      <w:pPr>
        <w:spacing w:line="560" w:lineRule="exact"/>
        <w:ind w:firstLine="280" w:firstLineChars="100"/>
        <w:rPr>
          <w:rFonts w:eastAsia="方正仿宋_GBK"/>
          <w:color w:val="000000"/>
          <w:sz w:val="28"/>
        </w:rPr>
      </w:pPr>
      <w:r>
        <w:rPr>
          <w:rFonts w:hint="eastAsia" w:eastAsia="方正仿宋_GBK"/>
          <w:color w:val="000000"/>
          <w:sz w:val="28"/>
        </w:rPr>
        <w:t>（5）审核各乡（镇）机构设置和调整事宜；审核各乡（镇）机构编制分类；负责省、市垂直管理部门或双重管理部门需要承办的机构编制有关事宜。</w:t>
      </w:r>
    </w:p>
    <w:p>
      <w:pPr>
        <w:spacing w:line="560" w:lineRule="exact"/>
        <w:ind w:firstLine="280" w:firstLineChars="100"/>
        <w:rPr>
          <w:rFonts w:eastAsia="方正仿宋_GBK"/>
          <w:color w:val="000000"/>
          <w:sz w:val="28"/>
        </w:rPr>
      </w:pPr>
      <w:r>
        <w:rPr>
          <w:rFonts w:hint="eastAsia" w:eastAsia="方正仿宋_GBK"/>
          <w:color w:val="000000"/>
          <w:sz w:val="28"/>
        </w:rPr>
        <w:t>（6）组织拟订全县事业单位管理体制和机构改革方案。制定全县事业单位人员管理办法，负责推进事业单位机构编制标准体系建设；审核或审批县委、县政府直属事业单位和县直部门所属事业单位的机构编制事宜；指导乡（镇）及以下事业单位管理体制改革和机构编制管理工作；审核全县副科级以上事业单位的机构编制事宜，审批科级以下事业单位的机构编制事宜。</w:t>
      </w:r>
    </w:p>
    <w:p>
      <w:pPr>
        <w:spacing w:line="560" w:lineRule="exact"/>
        <w:ind w:firstLine="280" w:firstLineChars="100"/>
        <w:rPr>
          <w:rFonts w:eastAsia="方正仿宋_GBK"/>
          <w:color w:val="000000"/>
          <w:sz w:val="28"/>
        </w:rPr>
      </w:pPr>
      <w:r>
        <w:rPr>
          <w:rFonts w:hint="eastAsia" w:eastAsia="方正仿宋_GBK"/>
          <w:color w:val="000000"/>
          <w:sz w:val="28"/>
        </w:rPr>
        <w:t>（7）指导全县开发区（园区）行政管理体制改革工作。指导拟订开发区（园区）职能配置、机构设置、人员编制和领导职数。</w:t>
      </w:r>
    </w:p>
    <w:p>
      <w:pPr>
        <w:spacing w:line="560" w:lineRule="exact"/>
        <w:ind w:firstLine="280" w:firstLineChars="100"/>
        <w:rPr>
          <w:rFonts w:eastAsia="方正仿宋_GBK"/>
          <w:color w:val="000000"/>
          <w:sz w:val="28"/>
        </w:rPr>
      </w:pPr>
      <w:r>
        <w:rPr>
          <w:rFonts w:hint="eastAsia" w:eastAsia="方正仿宋_GBK"/>
          <w:color w:val="000000"/>
          <w:sz w:val="28"/>
        </w:rPr>
        <w:t>（8）负责全县机构编制总量控制和动态管理。会同有关部门负责机构编制实名制工作；负责全县机关事业单位编制使用核准；建立健全机构编制部门与有关部门间的协调配合约束机制。</w:t>
      </w:r>
    </w:p>
    <w:p>
      <w:pPr>
        <w:spacing w:line="560" w:lineRule="exact"/>
        <w:ind w:firstLine="280" w:firstLineChars="100"/>
        <w:rPr>
          <w:rFonts w:eastAsia="方正仿宋_GBK"/>
          <w:color w:val="000000"/>
          <w:sz w:val="28"/>
        </w:rPr>
      </w:pPr>
      <w:r>
        <w:rPr>
          <w:rFonts w:hint="eastAsia" w:eastAsia="方正仿宋_GBK"/>
          <w:color w:val="000000"/>
          <w:sz w:val="28"/>
        </w:rPr>
        <w:t>（9）负责对全县各级行政、事业单位管理体制和机构改革及机构编制执行情况的跟踪评估和监督检查。负责受理违反机构编制法规、纪律的检举、控告和投诉，对违反机构编制法规、纪律问题进行调查处理。</w:t>
      </w:r>
    </w:p>
    <w:p>
      <w:pPr>
        <w:spacing w:line="560" w:lineRule="exact"/>
        <w:ind w:firstLine="280" w:firstLineChars="100"/>
        <w:rPr>
          <w:rFonts w:eastAsia="方正仿宋_GBK"/>
          <w:color w:val="000000"/>
          <w:sz w:val="28"/>
        </w:rPr>
      </w:pPr>
      <w:r>
        <w:rPr>
          <w:rFonts w:hint="eastAsia" w:eastAsia="方正仿宋_GBK"/>
          <w:color w:val="000000"/>
          <w:sz w:val="28"/>
        </w:rPr>
        <w:t>（10）组织开展行政体制改革及机构编制管理创新基础性和前瞻性研究。</w:t>
      </w:r>
    </w:p>
    <w:p>
      <w:pPr>
        <w:pStyle w:val="17"/>
      </w:pPr>
      <w:r>
        <w:rPr>
          <w:rFonts w:hint="eastAsia" w:eastAsia="方正仿宋_GBK"/>
          <w:color w:val="000000"/>
          <w:sz w:val="28"/>
        </w:rPr>
        <w:t>（1</w:t>
      </w:r>
      <w:r>
        <w:rPr>
          <w:rFonts w:hint="eastAsia" w:eastAsia="方正仿宋_GBK"/>
          <w:color w:val="000000"/>
          <w:sz w:val="28"/>
          <w:lang w:eastAsia="zh-CN"/>
        </w:rPr>
        <w:t>1</w:t>
      </w:r>
      <w:r>
        <w:rPr>
          <w:rFonts w:hint="eastAsia" w:eastAsia="方正仿宋_GBK"/>
          <w:color w:val="000000"/>
          <w:sz w:val="28"/>
        </w:rPr>
        <w:t>）完成县委、县政府和县委机构编制委员会交办的其他任务。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中共阜平县委机构编制委员会办公室本级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00" w:lineRule="exact"/>
        <w:ind w:firstLine="560" w:firstLineChars="200"/>
        <w:rPr>
          <w:rFonts w:eastAsia="方正仿宋_GBK"/>
          <w:lang w:eastAsia="zh-CN"/>
        </w:rPr>
      </w:pPr>
      <w:bookmarkStart w:id="1" w:name="_GoBack"/>
      <w:bookmarkEnd w:id="1"/>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p>
    <w:p>
      <w:pPr>
        <w:pStyle w:val="22"/>
      </w:pPr>
      <w:r>
        <w:t>1、收入说明</w:t>
      </w:r>
    </w:p>
    <w:p>
      <w:pPr>
        <w:pStyle w:val="22"/>
      </w:pPr>
      <w:r>
        <w:t>反映本</w:t>
      </w:r>
      <w:r>
        <w:rPr>
          <w:rFonts w:hint="eastAsia"/>
          <w:lang w:val="en-US" w:eastAsia="zh-CN"/>
        </w:rPr>
        <w:t>单位</w:t>
      </w:r>
      <w:r>
        <w:t>当年全部收入。202</w:t>
      </w:r>
      <w:r>
        <w:rPr>
          <w:rFonts w:hint="eastAsia"/>
          <w:lang w:val="en-US" w:eastAsia="zh-CN"/>
        </w:rPr>
        <w:t>5</w:t>
      </w:r>
      <w:r>
        <w:t>年预算收入</w:t>
      </w:r>
      <w:r>
        <w:rPr>
          <w:rFonts w:hint="eastAsia"/>
          <w:lang w:val="en-US" w:eastAsia="zh-CN"/>
        </w:rPr>
        <w:t>259.01</w:t>
      </w:r>
      <w:r>
        <w:t>万元，其中：一般公共预算收入</w:t>
      </w:r>
      <w:r>
        <w:rPr>
          <w:rFonts w:hint="eastAsia"/>
          <w:lang w:val="en-US" w:eastAsia="zh-CN"/>
        </w:rPr>
        <w:t>259.01</w:t>
      </w:r>
      <w:r>
        <w:t>万元，基金预算收入0万元，国有资本经营预算收入0万元，财政专户核拨收入0万元，单位资金其他收入</w:t>
      </w:r>
      <w:r>
        <w:rPr>
          <w:rFonts w:hint="eastAsia"/>
          <w:lang w:eastAsia="zh-CN"/>
        </w:rPr>
        <w:t>0</w:t>
      </w:r>
      <w:r>
        <w:t>万元，上年结转结余</w:t>
      </w:r>
      <w:r>
        <w:rPr>
          <w:rFonts w:hint="eastAsia"/>
          <w:lang w:val="en-US" w:eastAsia="zh-CN"/>
        </w:rPr>
        <w:t>0</w:t>
      </w:r>
      <w:r>
        <w:t>万元。</w:t>
      </w:r>
    </w:p>
    <w:p>
      <w:pPr>
        <w:pStyle w:val="22"/>
      </w:pPr>
      <w:r>
        <w:t>2、支出说明</w:t>
      </w:r>
    </w:p>
    <w:p>
      <w:pPr>
        <w:pStyle w:val="22"/>
      </w:pPr>
      <w:r>
        <w:t>收支预算总表支出栏、基本支出表、项目支出表按经济分类和支出功能分类科目编制，反映</w:t>
      </w:r>
      <w:r>
        <w:rPr>
          <w:rFonts w:hint="eastAsia"/>
          <w:lang w:eastAsia="zh-CN"/>
        </w:rPr>
        <w:t>中共阜平县委组织部</w:t>
      </w:r>
      <w:r>
        <w:t>年度</w:t>
      </w:r>
      <w:r>
        <w:rPr>
          <w:rFonts w:hint="eastAsia"/>
          <w:lang w:val="en-US" w:eastAsia="zh-CN"/>
        </w:rPr>
        <w:t>单位</w:t>
      </w:r>
      <w:r>
        <w:t>预算中支出预算的总体情况。202</w:t>
      </w:r>
      <w:r>
        <w:rPr>
          <w:rFonts w:hint="eastAsia"/>
          <w:lang w:val="en-US" w:eastAsia="zh-CN"/>
        </w:rPr>
        <w:t>5</w:t>
      </w:r>
      <w:r>
        <w:t>年支出预算</w:t>
      </w:r>
      <w:r>
        <w:rPr>
          <w:rFonts w:hint="eastAsia"/>
          <w:lang w:val="en-US" w:eastAsia="zh-CN"/>
        </w:rPr>
        <w:t>259.01</w:t>
      </w:r>
      <w:r>
        <w:t>万元，其中基本支出</w:t>
      </w:r>
      <w:r>
        <w:rPr>
          <w:rFonts w:hint="eastAsia"/>
          <w:lang w:val="en-US" w:eastAsia="zh-CN"/>
        </w:rPr>
        <w:t>222.01</w:t>
      </w:r>
      <w:r>
        <w:t>万元，包括人员经费</w:t>
      </w:r>
      <w:r>
        <w:rPr>
          <w:rFonts w:hint="eastAsia"/>
          <w:lang w:val="en-US" w:eastAsia="zh-CN"/>
        </w:rPr>
        <w:t>205.45</w:t>
      </w:r>
      <w:r>
        <w:t>万元和日常公用经费</w:t>
      </w:r>
      <w:r>
        <w:rPr>
          <w:rFonts w:hint="eastAsia"/>
          <w:lang w:val="en-US" w:eastAsia="zh-CN"/>
        </w:rPr>
        <w:t>16.56</w:t>
      </w:r>
      <w:r>
        <w:t>万元；项目支出</w:t>
      </w:r>
      <w:r>
        <w:rPr>
          <w:rFonts w:hint="eastAsia"/>
          <w:lang w:val="en-US" w:eastAsia="zh-CN"/>
        </w:rPr>
        <w:t>37</w:t>
      </w:r>
      <w:r>
        <w:t>万元，</w:t>
      </w:r>
      <w:r>
        <w:rPr>
          <w:rFonts w:hint="eastAsia" w:eastAsia="方正仿宋_GBK"/>
          <w:color w:val="000000"/>
          <w:sz w:val="28"/>
        </w:rPr>
        <w:t>主要为</w:t>
      </w:r>
      <w:r>
        <w:rPr>
          <w:rFonts w:hint="eastAsia" w:eastAsia="方正仿宋_GBK"/>
          <w:color w:val="000000"/>
          <w:sz w:val="28"/>
          <w:lang w:eastAsia="zh-CN"/>
        </w:rPr>
        <w:t>机构编制专项</w:t>
      </w:r>
      <w:r>
        <w:rPr>
          <w:rFonts w:hint="eastAsia" w:eastAsia="方正仿宋_GBK"/>
          <w:color w:val="000000"/>
          <w:sz w:val="28"/>
          <w:lang w:val="en-US" w:eastAsia="zh-CN"/>
        </w:rPr>
        <w:t>经费</w:t>
      </w:r>
      <w:r>
        <w:rPr>
          <w:rFonts w:hint="eastAsia" w:eastAsia="方正仿宋_GBK"/>
          <w:color w:val="000000"/>
          <w:sz w:val="28"/>
        </w:rPr>
        <w:t>、劳务派遣人员经费</w:t>
      </w:r>
      <w:r>
        <w:t>等。</w:t>
      </w:r>
    </w:p>
    <w:p>
      <w:pPr>
        <w:pStyle w:val="22"/>
      </w:pPr>
      <w:r>
        <w:t>3、比上年增减情况</w:t>
      </w:r>
    </w:p>
    <w:p>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5</w:t>
      </w:r>
      <w:r>
        <w:rPr>
          <w:rFonts w:eastAsia="方正仿宋_GBK"/>
          <w:color w:val="000000"/>
          <w:sz w:val="28"/>
        </w:rPr>
        <w:t>年预算收支安排</w:t>
      </w:r>
      <w:r>
        <w:rPr>
          <w:rFonts w:hint="eastAsia" w:eastAsia="方正仿宋_GBK"/>
          <w:color w:val="000000"/>
          <w:sz w:val="28"/>
          <w:lang w:val="en-US" w:eastAsia="zh-CN"/>
        </w:rPr>
        <w:t>259.01</w:t>
      </w:r>
      <w:r>
        <w:rPr>
          <w:rFonts w:eastAsia="方正仿宋_GBK"/>
          <w:color w:val="000000"/>
          <w:sz w:val="28"/>
        </w:rPr>
        <w:t>万元，较202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eastAsia="zh-CN"/>
        </w:rPr>
        <w:t>（</w:t>
      </w:r>
      <w:r>
        <w:rPr>
          <w:rFonts w:hint="eastAsia" w:eastAsia="方正仿宋_GBK"/>
          <w:color w:val="000000"/>
          <w:sz w:val="28"/>
          <w:lang w:val="en-US" w:eastAsia="zh-CN"/>
        </w:rPr>
        <w:t>203.18</w:t>
      </w:r>
      <w:r>
        <w:rPr>
          <w:rFonts w:hint="eastAsia" w:eastAsia="方正仿宋_GBK"/>
          <w:color w:val="000000"/>
          <w:sz w:val="28"/>
          <w:lang w:eastAsia="zh-CN"/>
        </w:rPr>
        <w:t>万元）</w:t>
      </w:r>
      <w:r>
        <w:rPr>
          <w:rFonts w:eastAsia="方正仿宋_GBK"/>
          <w:color w:val="000000"/>
          <w:sz w:val="28"/>
        </w:rPr>
        <w:t>预算</w:t>
      </w:r>
      <w:r>
        <w:rPr>
          <w:rFonts w:hint="eastAsia" w:eastAsia="方正仿宋_GBK"/>
          <w:color w:val="000000"/>
          <w:sz w:val="28"/>
          <w:lang w:val="en-US" w:eastAsia="zh-CN"/>
        </w:rPr>
        <w:t>增加55.83</w:t>
      </w:r>
      <w:r>
        <w:rPr>
          <w:rFonts w:eastAsia="方正仿宋_GBK"/>
          <w:color w:val="000000"/>
          <w:sz w:val="28"/>
        </w:rPr>
        <w:t>万元，其中：基本支出</w:t>
      </w:r>
      <w:r>
        <w:rPr>
          <w:rFonts w:hint="eastAsia" w:eastAsia="方正仿宋_GBK"/>
          <w:color w:val="000000"/>
          <w:sz w:val="28"/>
          <w:lang w:eastAsia="zh-CN"/>
        </w:rPr>
        <w:t>（</w:t>
      </w:r>
      <w:r>
        <w:rPr>
          <w:rFonts w:hint="eastAsia" w:eastAsia="方正仿宋_GBK"/>
          <w:color w:val="000000"/>
          <w:sz w:val="28"/>
          <w:lang w:val="en-US" w:eastAsia="zh-CN"/>
        </w:rPr>
        <w:t>2024年176.58万元</w:t>
      </w:r>
      <w:r>
        <w:rPr>
          <w:rFonts w:hint="eastAsia" w:eastAsia="方正仿宋_GBK"/>
          <w:color w:val="000000"/>
          <w:sz w:val="28"/>
          <w:lang w:eastAsia="zh-CN"/>
        </w:rPr>
        <w:t>）</w:t>
      </w:r>
      <w:r>
        <w:rPr>
          <w:rFonts w:hint="eastAsia" w:eastAsia="方正仿宋_GBK"/>
          <w:color w:val="000000"/>
          <w:sz w:val="28"/>
          <w:lang w:val="en-US" w:eastAsia="zh-CN"/>
        </w:rPr>
        <w:t>增加了45.43</w:t>
      </w:r>
      <w:r>
        <w:rPr>
          <w:rFonts w:eastAsia="方正仿宋_GBK"/>
          <w:color w:val="000000"/>
          <w:sz w:val="28"/>
        </w:rPr>
        <w:t>万元，主要是</w:t>
      </w:r>
      <w:r>
        <w:rPr>
          <w:rFonts w:hint="eastAsia" w:eastAsia="方正仿宋_GBK"/>
          <w:color w:val="000000"/>
          <w:sz w:val="28"/>
          <w:lang w:val="en-US" w:eastAsia="zh-CN"/>
        </w:rPr>
        <w:t>增加</w:t>
      </w:r>
      <w:r>
        <w:rPr>
          <w:rFonts w:hint="eastAsia" w:eastAsia="方正仿宋_GBK"/>
          <w:color w:val="000000"/>
          <w:sz w:val="28"/>
          <w:lang w:eastAsia="zh-CN"/>
        </w:rPr>
        <w:t>了</w:t>
      </w:r>
      <w:r>
        <w:rPr>
          <w:rFonts w:eastAsia="方正仿宋_GBK"/>
          <w:color w:val="000000"/>
          <w:sz w:val="28"/>
        </w:rPr>
        <w:t>人员经费支出；项目支出</w:t>
      </w:r>
      <w:r>
        <w:rPr>
          <w:rFonts w:hint="eastAsia" w:eastAsia="方正仿宋_GBK"/>
          <w:color w:val="000000"/>
          <w:sz w:val="28"/>
          <w:lang w:val="en-US" w:eastAsia="zh-CN"/>
        </w:rPr>
        <w:t>增加了10.4</w:t>
      </w:r>
      <w:r>
        <w:rPr>
          <w:rFonts w:hint="eastAsia" w:eastAsia="方正仿宋_GBK"/>
          <w:color w:val="000000"/>
          <w:sz w:val="28"/>
          <w:lang w:eastAsia="zh-CN"/>
        </w:rPr>
        <w:t>万元，主要是</w:t>
      </w:r>
      <w:r>
        <w:rPr>
          <w:rFonts w:hint="eastAsia" w:eastAsia="方正仿宋_GBK"/>
          <w:color w:val="000000"/>
          <w:sz w:val="28"/>
        </w:rPr>
        <w:t>劳务派遣人员经费</w:t>
      </w:r>
      <w:r>
        <w:rPr>
          <w:rFonts w:hint="eastAsia" w:eastAsia="方正仿宋_GBK"/>
          <w:color w:val="000000"/>
          <w:sz w:val="28"/>
          <w:lang w:val="en-US" w:eastAsia="zh-CN"/>
        </w:rPr>
        <w:t>和</w:t>
      </w:r>
      <w:r>
        <w:rPr>
          <w:rFonts w:hint="eastAsia" w:eastAsia="方正仿宋_GBK"/>
          <w:color w:val="000000"/>
          <w:sz w:val="28"/>
          <w:lang w:eastAsia="zh-CN"/>
        </w:rPr>
        <w:t>部分项目</w:t>
      </w:r>
      <w:r>
        <w:rPr>
          <w:rFonts w:hint="eastAsia" w:eastAsia="方正仿宋_GBK"/>
          <w:color w:val="000000"/>
          <w:sz w:val="28"/>
          <w:lang w:val="en-US" w:eastAsia="zh-CN"/>
        </w:rPr>
        <w:t>增加</w:t>
      </w:r>
      <w:r>
        <w:rPr>
          <w:rFonts w:eastAsia="方正仿宋_GBK"/>
          <w:color w:val="000000"/>
          <w:sz w:val="28"/>
        </w:rPr>
        <w:t>。</w:t>
      </w:r>
    </w:p>
    <w:p>
      <w:pPr>
        <w:pStyle w:val="18"/>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9"/>
        <w:ind w:firstLine="932" w:firstLineChars="333"/>
      </w:pPr>
      <w:r>
        <w:t>202</w:t>
      </w:r>
      <w:r>
        <w:rPr>
          <w:rFonts w:hint="eastAsia"/>
          <w:lang w:val="en-US" w:eastAsia="zh-CN"/>
        </w:rPr>
        <w:t>5</w:t>
      </w:r>
      <w:r>
        <w:t>年，我</w:t>
      </w:r>
      <w:r>
        <w:rPr>
          <w:rFonts w:hint="eastAsia"/>
          <w:lang w:val="en-US" w:eastAsia="zh-CN"/>
        </w:rPr>
        <w:t>单位</w:t>
      </w:r>
      <w:r>
        <w:t>运行经费共计安排</w:t>
      </w:r>
      <w:r>
        <w:rPr>
          <w:rFonts w:hint="eastAsia"/>
          <w:lang w:val="en-US" w:eastAsia="zh-CN"/>
        </w:rPr>
        <w:t>16.56</w:t>
      </w:r>
      <w:r>
        <w:t>万元，主要用于</w:t>
      </w:r>
      <w:r>
        <w:rPr>
          <w:rFonts w:hint="eastAsia"/>
          <w:lang w:eastAsia="zh-CN"/>
        </w:rPr>
        <w:t>办公、差旅</w:t>
      </w:r>
      <w:r>
        <w:t>、</w:t>
      </w:r>
      <w:r>
        <w:rPr>
          <w:rFonts w:hint="eastAsia"/>
          <w:lang w:eastAsia="zh-CN"/>
        </w:rPr>
        <w:t>邮电、</w:t>
      </w:r>
      <w:r>
        <w:t>办公等日常运行支出。</w:t>
      </w:r>
    </w:p>
    <w:p>
      <w:pPr>
        <w:pStyle w:val="19"/>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3"/>
        <w:spacing w:before="48" w:beforeLines="20" w:after="48" w:afterLines="20"/>
        <w:ind w:firstLine="561"/>
      </w:pPr>
      <w:r>
        <w:t>202</w:t>
      </w:r>
      <w:r>
        <w:rPr>
          <w:rFonts w:hint="eastAsia"/>
          <w:lang w:val="en-US" w:eastAsia="zh-CN"/>
        </w:rPr>
        <w:t>5</w:t>
      </w:r>
      <w:r>
        <w:t>年，我</w:t>
      </w:r>
      <w:r>
        <w:rPr>
          <w:rFonts w:hint="eastAsia"/>
          <w:lang w:val="en-US" w:eastAsia="zh-CN"/>
        </w:rPr>
        <w:t>单位</w:t>
      </w:r>
      <w:r>
        <w:t>财政拨款“三公”经费预算安排</w:t>
      </w:r>
      <w:r>
        <w:rPr>
          <w:rFonts w:hint="eastAsia"/>
          <w:lang w:val="en-US" w:eastAsia="zh-CN"/>
        </w:rPr>
        <w:t>2.39</w:t>
      </w:r>
      <w:r>
        <w:t>万元，其中因公出国（境）费</w:t>
      </w:r>
      <w:r>
        <w:rPr>
          <w:rFonts w:hint="eastAsia"/>
          <w:lang w:eastAsia="zh-CN"/>
        </w:rPr>
        <w:t>0</w:t>
      </w:r>
      <w:r>
        <w:t>万元；公务用车购置及运维费</w:t>
      </w:r>
      <w:r>
        <w:rPr>
          <w:rFonts w:hint="eastAsia"/>
          <w:lang w:val="en-US" w:eastAsia="zh-CN"/>
        </w:rPr>
        <w:t>2</w:t>
      </w:r>
      <w:r>
        <w:t>万元（其中：公务用车购置费为0万元，公务用车运维费</w:t>
      </w:r>
      <w:r>
        <w:rPr>
          <w:rFonts w:hint="eastAsia"/>
          <w:lang w:val="en-US" w:eastAsia="zh-CN"/>
        </w:rPr>
        <w:t>2</w:t>
      </w:r>
      <w:r>
        <w:t>万元)</w:t>
      </w:r>
      <w:r>
        <w:rPr>
          <w:rFonts w:hint="eastAsia"/>
          <w:lang w:eastAsia="zh-CN"/>
        </w:rPr>
        <w:t>，</w:t>
      </w:r>
      <w:r>
        <w:rPr>
          <w:rFonts w:hint="eastAsia"/>
          <w:lang w:val="en-US" w:eastAsia="zh-CN"/>
        </w:rPr>
        <w:t>公务接待费0.19万元</w:t>
      </w:r>
      <w:r>
        <w:t>。与202</w:t>
      </w:r>
      <w:r>
        <w:rPr>
          <w:rFonts w:hint="eastAsia"/>
          <w:lang w:val="en-US" w:eastAsia="zh-CN"/>
        </w:rPr>
        <w:t>4</w:t>
      </w:r>
      <w:r>
        <w:t>年相比</w:t>
      </w:r>
      <w:r>
        <w:rPr>
          <w:rFonts w:hint="eastAsia"/>
          <w:lang w:val="en-US" w:eastAsia="zh-CN"/>
        </w:rPr>
        <w:t>增加0.19万元，主要是公务接待费增加</w:t>
      </w:r>
      <w:r>
        <w:t>。</w:t>
      </w:r>
    </w:p>
    <w:p>
      <w:pPr>
        <w:pStyle w:val="20"/>
      </w:pP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13062425P00733810012P</w:t>
            </w:r>
          </w:p>
        </w:tc>
        <w:tc>
          <w:tcPr>
            <w:tcW w:w="2835" w:type="dxa"/>
            <w:vAlign w:val="center"/>
          </w:tcPr>
          <w:p>
            <w:pPr>
              <w:pStyle w:val="10"/>
            </w:pPr>
            <w:r>
              <w:t>项目名称</w:t>
            </w:r>
          </w:p>
        </w:tc>
        <w:tc>
          <w:tcPr>
            <w:tcW w:w="6095" w:type="dxa"/>
            <w:gridSpan w:val="3"/>
            <w:vAlign w:val="center"/>
          </w:tcPr>
          <w:p>
            <w:pPr>
              <w:pStyle w:val="12"/>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21.00</w:t>
            </w:r>
          </w:p>
        </w:tc>
        <w:tc>
          <w:tcPr>
            <w:tcW w:w="2835" w:type="dxa"/>
            <w:vAlign w:val="center"/>
          </w:tcPr>
          <w:p>
            <w:pPr>
              <w:pStyle w:val="10"/>
            </w:pPr>
            <w:r>
              <w:t>其中：财政    资金</w:t>
            </w:r>
          </w:p>
        </w:tc>
        <w:tc>
          <w:tcPr>
            <w:tcW w:w="2551" w:type="dxa"/>
            <w:vAlign w:val="center"/>
          </w:tcPr>
          <w:p>
            <w:pPr>
              <w:pStyle w:val="12"/>
            </w:pPr>
            <w:r>
              <w:t>21.00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用于劳务派遣人员工资发放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1.完成劳务派遣经费发放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发放人员数量</w:t>
            </w:r>
          </w:p>
        </w:tc>
        <w:tc>
          <w:tcPr>
            <w:tcW w:w="5386" w:type="dxa"/>
            <w:vAlign w:val="center"/>
          </w:tcPr>
          <w:p>
            <w:pPr>
              <w:pStyle w:val="12"/>
            </w:pPr>
            <w:r>
              <w:t>5人</w:t>
            </w:r>
          </w:p>
        </w:tc>
        <w:tc>
          <w:tcPr>
            <w:tcW w:w="2268" w:type="dxa"/>
            <w:vAlign w:val="center"/>
          </w:tcPr>
          <w:p>
            <w:pPr>
              <w:pStyle w:val="12"/>
            </w:pPr>
            <w:r>
              <w:t>人</w:t>
            </w:r>
          </w:p>
        </w:tc>
        <w:tc>
          <w:tcPr>
            <w:tcW w:w="1276" w:type="dxa"/>
            <w:vAlign w:val="center"/>
          </w:tcPr>
          <w:p>
            <w:pPr>
              <w:pStyle w:val="12"/>
            </w:pPr>
            <w:r>
              <w:t>根据相关请示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 xml:space="preserve"> 保障工资正常发放</w:t>
            </w:r>
          </w:p>
        </w:tc>
        <w:tc>
          <w:tcPr>
            <w:tcW w:w="5386" w:type="dxa"/>
            <w:vAlign w:val="center"/>
          </w:tcPr>
          <w:p>
            <w:pPr>
              <w:pStyle w:val="12"/>
            </w:pPr>
            <w:r>
              <w:t>经费支出合规性</w:t>
            </w:r>
          </w:p>
        </w:tc>
        <w:tc>
          <w:tcPr>
            <w:tcW w:w="2268" w:type="dxa"/>
            <w:vAlign w:val="center"/>
          </w:tcPr>
          <w:p>
            <w:pPr>
              <w:pStyle w:val="12"/>
            </w:pPr>
            <w:r>
              <w:t>按时足额发放</w:t>
            </w:r>
          </w:p>
        </w:tc>
        <w:tc>
          <w:tcPr>
            <w:tcW w:w="1276" w:type="dxa"/>
            <w:vAlign w:val="center"/>
          </w:tcPr>
          <w:p>
            <w:pPr>
              <w:pStyle w:val="12"/>
            </w:pPr>
            <w:r>
              <w:t>按时足额发放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 xml:space="preserve"> 经费支出及时性</w:t>
            </w:r>
          </w:p>
        </w:tc>
        <w:tc>
          <w:tcPr>
            <w:tcW w:w="5386" w:type="dxa"/>
            <w:vAlign w:val="center"/>
          </w:tcPr>
          <w:p>
            <w:pPr>
              <w:pStyle w:val="12"/>
            </w:pPr>
            <w:r>
              <w:t>进度</w:t>
            </w:r>
          </w:p>
        </w:tc>
        <w:tc>
          <w:tcPr>
            <w:tcW w:w="2268" w:type="dxa"/>
            <w:vAlign w:val="center"/>
          </w:tcPr>
          <w:p>
            <w:pPr>
              <w:pStyle w:val="12"/>
            </w:pPr>
            <w:r>
              <w:t>按时发放</w:t>
            </w:r>
          </w:p>
        </w:tc>
        <w:tc>
          <w:tcPr>
            <w:tcW w:w="1276" w:type="dxa"/>
            <w:vAlign w:val="center"/>
          </w:tcPr>
          <w:p>
            <w:pPr>
              <w:pStyle w:val="12"/>
            </w:pPr>
            <w:r>
              <w:t>按时发放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 xml:space="preserve"> 成本控制有效性</w:t>
            </w:r>
          </w:p>
        </w:tc>
        <w:tc>
          <w:tcPr>
            <w:tcW w:w="5386" w:type="dxa"/>
            <w:vAlign w:val="center"/>
          </w:tcPr>
          <w:p>
            <w:pPr>
              <w:pStyle w:val="12"/>
            </w:pPr>
            <w:r>
              <w:t>各项费用按合同相关文件标准</w:t>
            </w:r>
          </w:p>
        </w:tc>
        <w:tc>
          <w:tcPr>
            <w:tcW w:w="2268" w:type="dxa"/>
            <w:vAlign w:val="center"/>
          </w:tcPr>
          <w:p>
            <w:pPr>
              <w:pStyle w:val="12"/>
            </w:pPr>
            <w:r>
              <w:t>各项费用按合同相关文件标准</w:t>
            </w:r>
          </w:p>
        </w:tc>
        <w:tc>
          <w:tcPr>
            <w:tcW w:w="1276" w:type="dxa"/>
            <w:vAlign w:val="center"/>
          </w:tcPr>
          <w:p>
            <w:pPr>
              <w:pStyle w:val="12"/>
            </w:pPr>
            <w:r>
              <w:t>各项费用按合同相关文件标准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无</w:t>
            </w:r>
          </w:p>
        </w:tc>
        <w:tc>
          <w:tcPr>
            <w:tcW w:w="5386" w:type="dxa"/>
            <w:vAlign w:val="center"/>
          </w:tcPr>
          <w:p>
            <w:pPr>
              <w:pStyle w:val="12"/>
            </w:pPr>
            <w:r>
              <w:t>无</w:t>
            </w:r>
          </w:p>
        </w:tc>
        <w:tc>
          <w:tcPr>
            <w:tcW w:w="2268" w:type="dxa"/>
            <w:vAlign w:val="center"/>
          </w:tcPr>
          <w:p>
            <w:pPr>
              <w:pStyle w:val="12"/>
            </w:pPr>
            <w:r>
              <w:t>无</w:t>
            </w:r>
          </w:p>
        </w:tc>
        <w:tc>
          <w:tcPr>
            <w:tcW w:w="1276" w:type="dxa"/>
            <w:vAlign w:val="center"/>
          </w:tcPr>
          <w:p>
            <w:pPr>
              <w:pStyle w:val="12"/>
            </w:pPr>
            <w:r>
              <w:t>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 xml:space="preserve"> 对部门工作的开展有积极促进作用</w:t>
            </w:r>
          </w:p>
        </w:tc>
        <w:tc>
          <w:tcPr>
            <w:tcW w:w="5386" w:type="dxa"/>
            <w:vAlign w:val="center"/>
          </w:tcPr>
          <w:p>
            <w:pPr>
              <w:pStyle w:val="12"/>
            </w:pPr>
            <w:r>
              <w:t>有助于部门工作的正常开展</w:t>
            </w:r>
          </w:p>
        </w:tc>
        <w:tc>
          <w:tcPr>
            <w:tcW w:w="2268" w:type="dxa"/>
            <w:vAlign w:val="center"/>
          </w:tcPr>
          <w:p>
            <w:pPr>
              <w:pStyle w:val="12"/>
            </w:pPr>
            <w:r>
              <w:t>有助于部门工作的正常开展</w:t>
            </w:r>
          </w:p>
        </w:tc>
        <w:tc>
          <w:tcPr>
            <w:tcW w:w="1276" w:type="dxa"/>
            <w:vAlign w:val="center"/>
          </w:tcPr>
          <w:p>
            <w:pPr>
              <w:pStyle w:val="12"/>
            </w:pPr>
            <w:r>
              <w:t>有助于部门工作的正常开展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生态影响</w:t>
            </w:r>
          </w:p>
        </w:tc>
        <w:tc>
          <w:tcPr>
            <w:tcW w:w="5386" w:type="dxa"/>
            <w:vAlign w:val="center"/>
          </w:tcPr>
          <w:p>
            <w:pPr>
              <w:pStyle w:val="12"/>
            </w:pPr>
            <w:r>
              <w:t>生态影响</w:t>
            </w:r>
          </w:p>
        </w:tc>
        <w:tc>
          <w:tcPr>
            <w:tcW w:w="2268" w:type="dxa"/>
            <w:vAlign w:val="center"/>
          </w:tcPr>
          <w:p>
            <w:pPr>
              <w:pStyle w:val="12"/>
            </w:pPr>
            <w:r>
              <w:t>生态影响</w:t>
            </w:r>
          </w:p>
        </w:tc>
        <w:tc>
          <w:tcPr>
            <w:tcW w:w="1276" w:type="dxa"/>
            <w:vAlign w:val="center"/>
          </w:tcPr>
          <w:p>
            <w:pPr>
              <w:pStyle w:val="12"/>
            </w:pPr>
            <w:r>
              <w:t>生态影响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 xml:space="preserve"> 工资及时发放</w:t>
            </w:r>
          </w:p>
        </w:tc>
        <w:tc>
          <w:tcPr>
            <w:tcW w:w="5386" w:type="dxa"/>
            <w:vAlign w:val="center"/>
          </w:tcPr>
          <w:p>
            <w:pPr>
              <w:pStyle w:val="12"/>
            </w:pPr>
            <w:r>
              <w:t>满足工作人员生活需求</w:t>
            </w:r>
          </w:p>
        </w:tc>
        <w:tc>
          <w:tcPr>
            <w:tcW w:w="2268" w:type="dxa"/>
            <w:vAlign w:val="center"/>
          </w:tcPr>
          <w:p>
            <w:pPr>
              <w:pStyle w:val="12"/>
            </w:pPr>
            <w:r>
              <w:t>满足工作人员生活需求</w:t>
            </w:r>
          </w:p>
        </w:tc>
        <w:tc>
          <w:tcPr>
            <w:tcW w:w="1276" w:type="dxa"/>
            <w:vAlign w:val="center"/>
          </w:tcPr>
          <w:p>
            <w:pPr>
              <w:pStyle w:val="12"/>
            </w:pPr>
            <w:r>
              <w:t>满足工作人员生活需求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服务对象满意率</w:t>
            </w:r>
          </w:p>
        </w:tc>
        <w:tc>
          <w:tcPr>
            <w:tcW w:w="2268" w:type="dxa"/>
            <w:vAlign w:val="center"/>
          </w:tcPr>
          <w:p>
            <w:pPr>
              <w:pStyle w:val="12"/>
            </w:pPr>
            <w:r>
              <w:t>≥95百分比</w:t>
            </w:r>
          </w:p>
        </w:tc>
        <w:tc>
          <w:tcPr>
            <w:tcW w:w="1276" w:type="dxa"/>
            <w:vAlign w:val="center"/>
          </w:tcPr>
          <w:p>
            <w:pPr>
              <w:pStyle w:val="12"/>
            </w:pPr>
            <w:r>
              <w:t>服务对象满意率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2、全县机关事业单位体制机制改革和管理绩效目标表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13062425P000294100013</w:t>
            </w:r>
          </w:p>
        </w:tc>
        <w:tc>
          <w:tcPr>
            <w:tcW w:w="2835" w:type="dxa"/>
            <w:vAlign w:val="center"/>
          </w:tcPr>
          <w:p>
            <w:pPr>
              <w:pStyle w:val="10"/>
            </w:pPr>
            <w:r>
              <w:t>项目名称</w:t>
            </w:r>
          </w:p>
        </w:tc>
        <w:tc>
          <w:tcPr>
            <w:tcW w:w="6095" w:type="dxa"/>
            <w:gridSpan w:val="3"/>
            <w:vAlign w:val="center"/>
          </w:tcPr>
          <w:p>
            <w:pPr>
              <w:pStyle w:val="12"/>
            </w:pPr>
            <w:r>
              <w:t>全县机关事业单位体制机制改革和管理</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16.00</w:t>
            </w:r>
          </w:p>
        </w:tc>
        <w:tc>
          <w:tcPr>
            <w:tcW w:w="2835" w:type="dxa"/>
            <w:vAlign w:val="center"/>
          </w:tcPr>
          <w:p>
            <w:pPr>
              <w:pStyle w:val="10"/>
            </w:pPr>
            <w:r>
              <w:t>其中：财政    资金</w:t>
            </w:r>
          </w:p>
        </w:tc>
        <w:tc>
          <w:tcPr>
            <w:tcW w:w="2551" w:type="dxa"/>
            <w:vAlign w:val="center"/>
          </w:tcPr>
          <w:p>
            <w:pPr>
              <w:pStyle w:val="12"/>
            </w:pPr>
            <w:r>
              <w:t>16.00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较好完成全县机关事业单位体制机制改革与管理工作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1.较好完成全县机关事业单位体制机制改革与管理工作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支出完成率</w:t>
            </w:r>
          </w:p>
        </w:tc>
        <w:tc>
          <w:tcPr>
            <w:tcW w:w="5386" w:type="dxa"/>
            <w:vAlign w:val="center"/>
          </w:tcPr>
          <w:p>
            <w:pPr>
              <w:pStyle w:val="12"/>
            </w:pPr>
            <w:r>
              <w:t>按时有序支出</w:t>
            </w:r>
          </w:p>
        </w:tc>
        <w:tc>
          <w:tcPr>
            <w:tcW w:w="2268" w:type="dxa"/>
            <w:vAlign w:val="center"/>
          </w:tcPr>
          <w:p>
            <w:pPr>
              <w:pStyle w:val="12"/>
            </w:pPr>
            <w:r>
              <w:t>≥95百分比</w:t>
            </w:r>
          </w:p>
        </w:tc>
        <w:tc>
          <w:tcPr>
            <w:tcW w:w="1276" w:type="dxa"/>
            <w:vAlign w:val="center"/>
          </w:tcPr>
          <w:p>
            <w:pPr>
              <w:pStyle w:val="12"/>
            </w:pPr>
            <w:r>
              <w:t>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付款准确率</w:t>
            </w:r>
          </w:p>
        </w:tc>
        <w:tc>
          <w:tcPr>
            <w:tcW w:w="5386" w:type="dxa"/>
            <w:vAlign w:val="center"/>
          </w:tcPr>
          <w:p>
            <w:pPr>
              <w:pStyle w:val="12"/>
            </w:pPr>
            <w:r>
              <w:t>完成统率</w:t>
            </w:r>
          </w:p>
        </w:tc>
        <w:tc>
          <w:tcPr>
            <w:tcW w:w="2268" w:type="dxa"/>
            <w:vAlign w:val="center"/>
          </w:tcPr>
          <w:p>
            <w:pPr>
              <w:pStyle w:val="12"/>
            </w:pPr>
            <w:r>
              <w:t>≥95百分比</w:t>
            </w:r>
          </w:p>
        </w:tc>
        <w:tc>
          <w:tcPr>
            <w:tcW w:w="1276" w:type="dxa"/>
            <w:vAlign w:val="center"/>
          </w:tcPr>
          <w:p>
            <w:pPr>
              <w:pStyle w:val="12"/>
            </w:pPr>
            <w:r>
              <w:t>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工作按时完成</w:t>
            </w:r>
          </w:p>
        </w:tc>
        <w:tc>
          <w:tcPr>
            <w:tcW w:w="5386" w:type="dxa"/>
            <w:vAlign w:val="center"/>
          </w:tcPr>
          <w:p>
            <w:pPr>
              <w:pStyle w:val="12"/>
            </w:pPr>
            <w:r>
              <w:t>工作按时完成率</w:t>
            </w:r>
          </w:p>
        </w:tc>
        <w:tc>
          <w:tcPr>
            <w:tcW w:w="2268" w:type="dxa"/>
            <w:vAlign w:val="center"/>
          </w:tcPr>
          <w:p>
            <w:pPr>
              <w:pStyle w:val="12"/>
            </w:pPr>
            <w:r>
              <w:t>≥95百分比</w:t>
            </w:r>
          </w:p>
        </w:tc>
        <w:tc>
          <w:tcPr>
            <w:tcW w:w="1276" w:type="dxa"/>
            <w:vAlign w:val="center"/>
          </w:tcPr>
          <w:p>
            <w:pPr>
              <w:pStyle w:val="12"/>
            </w:pPr>
            <w:r>
              <w:t>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控制成本</w:t>
            </w:r>
          </w:p>
        </w:tc>
        <w:tc>
          <w:tcPr>
            <w:tcW w:w="5386" w:type="dxa"/>
            <w:vAlign w:val="center"/>
          </w:tcPr>
          <w:p>
            <w:pPr>
              <w:pStyle w:val="12"/>
            </w:pPr>
            <w:r>
              <w:t>控制成本</w:t>
            </w:r>
          </w:p>
        </w:tc>
        <w:tc>
          <w:tcPr>
            <w:tcW w:w="2268" w:type="dxa"/>
            <w:vAlign w:val="center"/>
          </w:tcPr>
          <w:p>
            <w:pPr>
              <w:pStyle w:val="12"/>
            </w:pPr>
            <w:r>
              <w:t>严格控制成本</w:t>
            </w:r>
          </w:p>
        </w:tc>
        <w:tc>
          <w:tcPr>
            <w:tcW w:w="1276" w:type="dxa"/>
            <w:vAlign w:val="center"/>
          </w:tcPr>
          <w:p>
            <w:pPr>
              <w:pStyle w:val="12"/>
            </w:pPr>
            <w:r>
              <w:t>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提高效率</w:t>
            </w:r>
          </w:p>
        </w:tc>
        <w:tc>
          <w:tcPr>
            <w:tcW w:w="5386" w:type="dxa"/>
            <w:vAlign w:val="center"/>
          </w:tcPr>
          <w:p>
            <w:pPr>
              <w:pStyle w:val="12"/>
            </w:pPr>
            <w:r>
              <w:t>提高效率</w:t>
            </w:r>
          </w:p>
        </w:tc>
        <w:tc>
          <w:tcPr>
            <w:tcW w:w="2268" w:type="dxa"/>
            <w:vAlign w:val="center"/>
          </w:tcPr>
          <w:p>
            <w:pPr>
              <w:pStyle w:val="12"/>
            </w:pPr>
            <w:r>
              <w:t>≥95百分比</w:t>
            </w:r>
          </w:p>
        </w:tc>
        <w:tc>
          <w:tcPr>
            <w:tcW w:w="1276" w:type="dxa"/>
            <w:vAlign w:val="center"/>
          </w:tcPr>
          <w:p>
            <w:pPr>
              <w:pStyle w:val="12"/>
            </w:pPr>
            <w:r>
              <w:t>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各项工作正常开展</w:t>
            </w:r>
          </w:p>
        </w:tc>
        <w:tc>
          <w:tcPr>
            <w:tcW w:w="5386" w:type="dxa"/>
            <w:vAlign w:val="center"/>
          </w:tcPr>
          <w:p>
            <w:pPr>
              <w:pStyle w:val="12"/>
            </w:pPr>
            <w:r>
              <w:t>各项工作正常开展</w:t>
            </w:r>
          </w:p>
        </w:tc>
        <w:tc>
          <w:tcPr>
            <w:tcW w:w="2268" w:type="dxa"/>
            <w:vAlign w:val="center"/>
          </w:tcPr>
          <w:p>
            <w:pPr>
              <w:pStyle w:val="12"/>
            </w:pPr>
            <w:r>
              <w:t>增加社会效益</w:t>
            </w:r>
          </w:p>
        </w:tc>
        <w:tc>
          <w:tcPr>
            <w:tcW w:w="1276" w:type="dxa"/>
            <w:vAlign w:val="center"/>
          </w:tcPr>
          <w:p>
            <w:pPr>
              <w:pStyle w:val="12"/>
            </w:pPr>
            <w:r>
              <w:t>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对单位规范管理工作推动效果</w:t>
            </w:r>
          </w:p>
        </w:tc>
        <w:tc>
          <w:tcPr>
            <w:tcW w:w="5386" w:type="dxa"/>
            <w:vAlign w:val="center"/>
          </w:tcPr>
          <w:p>
            <w:pPr>
              <w:pStyle w:val="12"/>
            </w:pPr>
            <w:r>
              <w:t>对单位规范管理工作推动效果</w:t>
            </w:r>
          </w:p>
        </w:tc>
        <w:tc>
          <w:tcPr>
            <w:tcW w:w="2268" w:type="dxa"/>
            <w:vAlign w:val="center"/>
          </w:tcPr>
          <w:p>
            <w:pPr>
              <w:pStyle w:val="12"/>
            </w:pPr>
            <w:r>
              <w:t>≥95百分比</w:t>
            </w:r>
          </w:p>
        </w:tc>
        <w:tc>
          <w:tcPr>
            <w:tcW w:w="1276" w:type="dxa"/>
            <w:vAlign w:val="center"/>
          </w:tcPr>
          <w:p>
            <w:pPr>
              <w:pStyle w:val="12"/>
            </w:pPr>
            <w:r>
              <w:t>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≥95百分比</w:t>
            </w:r>
          </w:p>
        </w:tc>
        <w:tc>
          <w:tcPr>
            <w:tcW w:w="1276" w:type="dxa"/>
            <w:vAlign w:val="center"/>
          </w:tcPr>
          <w:p>
            <w:pPr>
              <w:pStyle w:val="12"/>
            </w:pPr>
            <w:r>
              <w:t>文件</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225001中共阜平县委机构编制委员会办公室本级</w:t>
            </w:r>
          </w:p>
        </w:tc>
        <w:tc>
          <w:tcPr>
            <w:tcW w:w="7712"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8" w:type="dxa"/>
            <w:gridSpan w:val="7"/>
            <w:vAlign w:val="center"/>
          </w:tcPr>
          <w:p>
            <w:pPr>
              <w:pStyle w:val="10"/>
            </w:pPr>
            <w:r>
              <w:t>政府采购金额（当年部门预算安排资金）</w:t>
            </w:r>
          </w:p>
        </w:tc>
        <w:tc>
          <w:tcPr>
            <w:tcW w:w="964" w:type="dxa"/>
            <w:vMerge w:val="restart"/>
            <w:vAlign w:val="center"/>
          </w:tcPr>
          <w:p>
            <w:pPr>
              <w:pStyle w:val="10"/>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p>
        </w:tc>
        <w:tc>
          <w:tcPr>
            <w:tcW w:w="964" w:type="dxa"/>
            <w:vAlign w:val="center"/>
          </w:tcPr>
          <w:p>
            <w:pPr>
              <w:pStyle w:val="11"/>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中共阜平县委机构编制委员会办公室本级上年末固定资产金额为0.00万元（详见下表）。本年度拟购置固定资产总额为0.00万元，已按要求列入政府采购预算，详见政府采购预算表。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9"/>
            </w:pPr>
            <w:r>
              <w:t>225001中共阜平县委机构编制委员会办公室本级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ind w:firstLine="0" w:firstLineChars="0"/>
              <w:rPr>
                <w:rFonts w:ascii="方正书宋_GBK" w:hAnsi="方正书宋_GBK" w:eastAsia="方正书宋_GBK" w:cs="方正书宋_GBK"/>
                <w:sz w:val="21"/>
              </w:rPr>
            </w:pPr>
            <w:r>
              <w:t>资产总额</w:t>
            </w:r>
          </w:p>
        </w:tc>
        <w:tc>
          <w:tcPr>
            <w:tcW w:w="2835" w:type="dxa"/>
            <w:vAlign w:val="center"/>
          </w:tcPr>
          <w:p>
            <w:pPr>
              <w:pStyle w:val="13"/>
              <w:ind w:firstLine="0" w:firstLineChars="0"/>
              <w:rPr>
                <w:rFonts w:hint="default" w:ascii="方正书宋_GBK" w:hAnsi="方正书宋_GBK" w:eastAsia="方正书宋_GBK" w:cs="方正书宋_GBK"/>
                <w:sz w:val="21"/>
                <w:lang w:val="en-US" w:eastAsia="zh-CN"/>
              </w:rPr>
            </w:pPr>
            <w:r>
              <w:rPr>
                <w:rFonts w:hint="eastAsia"/>
                <w:lang w:eastAsia="zh-CN"/>
              </w:rPr>
              <w:t>12</w:t>
            </w:r>
            <w:r>
              <w:rPr>
                <w:rFonts w:hint="eastAsia"/>
                <w:lang w:val="en-US" w:eastAsia="zh-CN"/>
              </w:rPr>
              <w:t>4</w:t>
            </w:r>
          </w:p>
        </w:tc>
        <w:tc>
          <w:tcPr>
            <w:tcW w:w="2835" w:type="dxa"/>
            <w:vAlign w:val="center"/>
          </w:tcPr>
          <w:p>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35.239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ind w:firstLine="0" w:firstLineChars="0"/>
              <w:rPr>
                <w:rFonts w:ascii="方正书宋_GBK" w:hAnsi="方正书宋_GBK" w:eastAsia="方正书宋_GBK" w:cs="方正书宋_GBK"/>
                <w:sz w:val="21"/>
              </w:rPr>
            </w:pPr>
            <w:r>
              <w:t>1房屋（平方米）</w:t>
            </w:r>
          </w:p>
        </w:tc>
        <w:tc>
          <w:tcPr>
            <w:tcW w:w="2835" w:type="dxa"/>
            <w:vAlign w:val="center"/>
          </w:tcPr>
          <w:p>
            <w:pPr>
              <w:pStyle w:val="13"/>
              <w:ind w:firstLine="0" w:firstLineChars="0"/>
              <w:rPr>
                <w:rFonts w:ascii="方正书宋_GBK" w:hAnsi="方正书宋_GBK" w:eastAsia="方正书宋_GBK" w:cs="方正书宋_GBK"/>
                <w:sz w:val="21"/>
                <w:lang w:eastAsia="zh-CN"/>
              </w:rPr>
            </w:pPr>
          </w:p>
        </w:tc>
        <w:tc>
          <w:tcPr>
            <w:tcW w:w="2835" w:type="dxa"/>
            <w:vAlign w:val="center"/>
          </w:tcPr>
          <w:p>
            <w:pPr>
              <w:pStyle w:val="11"/>
              <w:ind w:firstLine="0" w:firstLineChars="0"/>
              <w:rPr>
                <w:rFonts w:ascii="方正书宋_GBK" w:hAnsi="方正书宋_GBK" w:eastAsia="方正书宋_GBK" w:cs="方正书宋_GBK"/>
                <w:sz w:val="21"/>
                <w:lang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ind w:firstLine="0" w:firstLineChars="0"/>
              <w:rPr>
                <w:rFonts w:ascii="方正书宋_GBK" w:hAnsi="方正书宋_GBK" w:eastAsia="方正书宋_GBK" w:cs="方正书宋_GBK"/>
                <w:sz w:val="21"/>
              </w:rPr>
            </w:pPr>
            <w:r>
              <w:t>　　其中：办公用房（平方米）</w:t>
            </w:r>
          </w:p>
        </w:tc>
        <w:tc>
          <w:tcPr>
            <w:tcW w:w="2835" w:type="dxa"/>
            <w:vAlign w:val="center"/>
          </w:tcPr>
          <w:p>
            <w:pPr>
              <w:pStyle w:val="13"/>
              <w:ind w:firstLine="0" w:firstLineChars="0"/>
              <w:rPr>
                <w:rFonts w:ascii="方正书宋_GBK" w:hAnsi="方正书宋_GBK" w:eastAsia="方正书宋_GBK" w:cs="方正书宋_GBK"/>
                <w:sz w:val="21"/>
                <w:lang w:eastAsia="zh-CN"/>
              </w:rPr>
            </w:pPr>
          </w:p>
        </w:tc>
        <w:tc>
          <w:tcPr>
            <w:tcW w:w="2835" w:type="dxa"/>
            <w:vAlign w:val="center"/>
          </w:tcPr>
          <w:p>
            <w:pPr>
              <w:pStyle w:val="11"/>
              <w:ind w:firstLine="0" w:firstLineChars="0"/>
              <w:rPr>
                <w:rFonts w:ascii="方正书宋_GBK" w:hAnsi="方正书宋_GBK" w:eastAsia="方正书宋_GBK" w:cs="方正书宋_GBK"/>
                <w:sz w:val="21"/>
                <w:lang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ind w:firstLine="0" w:firstLineChars="0"/>
              <w:rPr>
                <w:rFonts w:ascii="方正书宋_GBK" w:hAnsi="方正书宋_GBK" w:eastAsia="方正书宋_GBK" w:cs="方正书宋_GBK"/>
                <w:sz w:val="21"/>
              </w:rPr>
            </w:pPr>
            <w:r>
              <w:t>2、车辆（台、辆）</w:t>
            </w:r>
          </w:p>
        </w:tc>
        <w:tc>
          <w:tcPr>
            <w:tcW w:w="2835" w:type="dxa"/>
            <w:vAlign w:val="center"/>
          </w:tcPr>
          <w:p>
            <w:pPr>
              <w:pStyle w:val="13"/>
              <w:ind w:firstLine="0" w:firstLineChars="0"/>
              <w:rPr>
                <w:rFonts w:ascii="方正书宋_GBK" w:hAnsi="方正书宋_GBK" w:eastAsia="方正书宋_GBK" w:cs="方正书宋_GBK"/>
                <w:sz w:val="21"/>
                <w:lang w:eastAsia="zh-CN"/>
              </w:rPr>
            </w:pPr>
            <w:r>
              <w:rPr>
                <w:rFonts w:hint="eastAsia"/>
                <w:lang w:eastAsia="zh-CN"/>
              </w:rPr>
              <w:t>1</w:t>
            </w:r>
          </w:p>
        </w:tc>
        <w:tc>
          <w:tcPr>
            <w:tcW w:w="2835" w:type="dxa"/>
            <w:vAlign w:val="center"/>
          </w:tcPr>
          <w:p>
            <w:pPr>
              <w:pStyle w:val="11"/>
              <w:ind w:firstLine="0" w:firstLineChars="0"/>
              <w:rPr>
                <w:rFonts w:ascii="方正书宋_GBK" w:hAnsi="方正书宋_GBK" w:eastAsia="方正书宋_GBK" w:cs="方正书宋_GBK"/>
                <w:sz w:val="21"/>
                <w:lang w:eastAsia="zh-CN"/>
              </w:rPr>
            </w:pPr>
            <w:r>
              <w:rPr>
                <w:rFonts w:hint="eastAsia"/>
                <w:lang w:eastAsia="zh-CN"/>
              </w:rPr>
              <w:t>9.35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ind w:firstLine="0" w:firstLineChars="0"/>
              <w:rPr>
                <w:rFonts w:ascii="方正书宋_GBK" w:hAnsi="方正书宋_GBK" w:eastAsia="方正书宋_GBK" w:cs="方正书宋_GBK"/>
                <w:sz w:val="21"/>
              </w:rPr>
            </w:pPr>
            <w:r>
              <w:t>3、单价在20万元以上的设备</w:t>
            </w:r>
          </w:p>
        </w:tc>
        <w:tc>
          <w:tcPr>
            <w:tcW w:w="2835" w:type="dxa"/>
            <w:vAlign w:val="center"/>
          </w:tcPr>
          <w:p>
            <w:pPr>
              <w:pStyle w:val="13"/>
              <w:ind w:firstLine="0" w:firstLineChars="0"/>
              <w:rPr>
                <w:rFonts w:ascii="方正书宋_GBK" w:hAnsi="方正书宋_GBK" w:eastAsia="方正书宋_GBK" w:cs="方正书宋_GBK"/>
                <w:sz w:val="21"/>
                <w:lang w:eastAsia="zh-CN"/>
              </w:rPr>
            </w:pPr>
          </w:p>
        </w:tc>
        <w:tc>
          <w:tcPr>
            <w:tcW w:w="2835" w:type="dxa"/>
            <w:vAlign w:val="center"/>
          </w:tcPr>
          <w:p>
            <w:pPr>
              <w:pStyle w:val="11"/>
              <w:ind w:firstLine="0" w:firstLineChars="0"/>
              <w:rPr>
                <w:rFonts w:ascii="方正书宋_GBK" w:hAnsi="方正书宋_GBK" w:eastAsia="方正书宋_GBK" w:cs="方正书宋_GBK"/>
                <w:sz w:val="21"/>
                <w:lang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2"/>
              <w:ind w:firstLine="0" w:firstLineChars="0"/>
              <w:rPr>
                <w:rFonts w:ascii="方正书宋_GBK" w:hAnsi="方正书宋_GBK" w:eastAsia="方正书宋_GBK" w:cs="方正书宋_GBK"/>
                <w:sz w:val="21"/>
              </w:rPr>
            </w:pPr>
            <w:r>
              <w:t>4、其他固定资产</w:t>
            </w:r>
          </w:p>
        </w:tc>
        <w:tc>
          <w:tcPr>
            <w:tcW w:w="0" w:type="auto"/>
            <w:vAlign w:val="center"/>
          </w:tcPr>
          <w:p>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123</w:t>
            </w:r>
          </w:p>
        </w:tc>
        <w:tc>
          <w:tcPr>
            <w:tcW w:w="0" w:type="auto"/>
            <w:vAlign w:val="center"/>
          </w:tcPr>
          <w:p>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25.889</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5366D"/>
    <w:rsid w:val="01C9417B"/>
    <w:rsid w:val="045E1BB5"/>
    <w:rsid w:val="048530FA"/>
    <w:rsid w:val="05947000"/>
    <w:rsid w:val="0C6D20DD"/>
    <w:rsid w:val="0E8D066C"/>
    <w:rsid w:val="10AF15EB"/>
    <w:rsid w:val="17C6208D"/>
    <w:rsid w:val="198951F1"/>
    <w:rsid w:val="1B133F19"/>
    <w:rsid w:val="1E877BA2"/>
    <w:rsid w:val="208C6FF3"/>
    <w:rsid w:val="216F74D4"/>
    <w:rsid w:val="227C1D21"/>
    <w:rsid w:val="22B10EF6"/>
    <w:rsid w:val="25D33C21"/>
    <w:rsid w:val="28B00ECC"/>
    <w:rsid w:val="297D0620"/>
    <w:rsid w:val="2E121023"/>
    <w:rsid w:val="2FD2599D"/>
    <w:rsid w:val="30546B3A"/>
    <w:rsid w:val="308805E0"/>
    <w:rsid w:val="321B7C44"/>
    <w:rsid w:val="32A233A1"/>
    <w:rsid w:val="33514F52"/>
    <w:rsid w:val="366B11D8"/>
    <w:rsid w:val="382849B1"/>
    <w:rsid w:val="3A366C90"/>
    <w:rsid w:val="3A683BE2"/>
    <w:rsid w:val="3B7A1058"/>
    <w:rsid w:val="3FBD249F"/>
    <w:rsid w:val="3FD014BF"/>
    <w:rsid w:val="41B86A5B"/>
    <w:rsid w:val="420226D9"/>
    <w:rsid w:val="4400471D"/>
    <w:rsid w:val="446E54EC"/>
    <w:rsid w:val="4561305F"/>
    <w:rsid w:val="471C1137"/>
    <w:rsid w:val="4D7F46B4"/>
    <w:rsid w:val="50DD0A7D"/>
    <w:rsid w:val="51E113E5"/>
    <w:rsid w:val="54296D21"/>
    <w:rsid w:val="5AE83531"/>
    <w:rsid w:val="5B4C6E5C"/>
    <w:rsid w:val="5DB004C1"/>
    <w:rsid w:val="5E83409D"/>
    <w:rsid w:val="61B606DC"/>
    <w:rsid w:val="64C83E3F"/>
    <w:rsid w:val="65783306"/>
    <w:rsid w:val="68A970BB"/>
    <w:rsid w:val="69E179C2"/>
    <w:rsid w:val="6D850E3D"/>
    <w:rsid w:val="6FAF4C4A"/>
    <w:rsid w:val="722D2A5F"/>
    <w:rsid w:val="7252647E"/>
    <w:rsid w:val="72DC3AFD"/>
    <w:rsid w:val="76DE2D93"/>
    <w:rsid w:val="7AE530EC"/>
    <w:rsid w:val="7D9E53A5"/>
    <w:rsid w:val="7DA372AE"/>
    <w:rsid w:val="7EF8215F"/>
    <w:rsid w:val="7FBE625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4">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TotalTime>9</TotalTime>
  <ScaleCrop>false</ScaleCrop>
  <LinksUpToDate>false</LinksUpToDate>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2025-02-26T09:38:00Z</dcterms:created>
  <dc:creator>Administrator</dc:creator>
  <cp:lastModifiedBy>Administrator</cp:lastModifiedBy>
  <dcterms:modified xsi:type="dcterms:W3CDTF">2025-03-06T02:47:31Z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B425C95D8AE34AF2ADD0039D136D1347</vt:lpwstr>
  </property>
</Properties>
</file>