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ageBreakBefore w:val="0"/>
        <w:widowControl/>
        <w:kinsoku/>
        <w:wordWrap/>
        <w:overflowPunct/>
        <w:topLinePunct w:val="0"/>
        <w:bidi w:val="0"/>
        <w:jc w:val="center"/>
        <w:rPr>
          <w:rFonts w:ascii="黑体" w:hAnsi="黑体" w:eastAsia="黑体"/>
          <w:b/>
          <w:sz w:val="72"/>
          <w:szCs w:val="72"/>
        </w:rPr>
      </w:pPr>
      <w:r>
        <w:pict>
          <v:shape id="图片 7" o:spid="_x0000_s1026" o:spt="75" alt="wc ga" type="#_x0000_t75" style="position:absolute;left:0pt;margin-left:-78.75pt;margin-top:-106.7pt;height:850.15pt;width:596.6pt;z-index:-251657216;mso-width-relative:page;mso-height-relative:page;" filled="f" o:preferrelative="t" stroked="f" coordsize="21600,21600">
            <v:path/>
            <v:fill on="f" focussize="0,0"/>
            <v:stroke on="f" joinstyle="miter"/>
            <v:imagedata r:id="rId4" o:title=""/>
            <o:lock v:ext="edit" aspectratio="t"/>
          </v:shape>
        </w:pict>
      </w:r>
    </w:p>
    <w:p>
      <w:pPr>
        <w:pageBreakBefore w:val="0"/>
        <w:widowControl/>
        <w:kinsoku/>
        <w:wordWrap/>
        <w:overflowPunct/>
        <w:topLinePunct w:val="0"/>
        <w:bidi w:val="0"/>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028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44"/>
                      <w:szCs w:val="44"/>
                    </w:rPr>
                  </w:pPr>
                  <w:r>
                    <w:rPr>
                      <w:rFonts w:hint="eastAsia" w:ascii="黑体" w:hAnsi="宋体" w:eastAsia="黑体"/>
                      <w:color w:val="FDEFBE"/>
                      <w:sz w:val="44"/>
                      <w:szCs w:val="44"/>
                    </w:rPr>
                    <w:t>中国共产党河北省阜平县纪律检查委员会</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jc w:val="center"/>
        <w:rPr>
          <w:rFonts w:ascii="黑体" w:hAnsi="黑体" w:eastAsia="黑体"/>
          <w:b/>
          <w:sz w:val="72"/>
          <w:szCs w:val="72"/>
        </w:rPr>
      </w:pPr>
    </w:p>
    <w:p>
      <w:pPr>
        <w:pageBreakBefore w:val="0"/>
        <w:widowControl/>
        <w:kinsoku/>
        <w:wordWrap/>
        <w:overflowPunct/>
        <w:topLinePunct w:val="0"/>
        <w:bidi w:val="0"/>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pageBreakBefore w:val="0"/>
        <w:widowControl/>
        <w:kinsoku/>
        <w:wordWrap/>
        <w:overflowPunct/>
        <w:topLinePunct w:val="0"/>
        <w:bidi w:val="0"/>
        <w:spacing w:after="0" w:line="600" w:lineRule="exact"/>
        <w:jc w:val="left"/>
        <w:rPr>
          <w:rFonts w:ascii="楷体" w:hAnsi="楷体" w:eastAsia="楷体" w:cs="楷体"/>
          <w:sz w:val="32"/>
          <w:szCs w:val="32"/>
          <w:highlight w:val="yellow"/>
        </w:rPr>
      </w:pPr>
    </w:p>
    <w:p>
      <w:pPr>
        <w:pageBreakBefore w:val="0"/>
        <w:kinsoku/>
        <w:wordWrap/>
        <w:overflowPunct/>
        <w:topLinePunct w:val="0"/>
        <w:bidi w:val="0"/>
        <w:spacing w:before="624"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3600;mso-width-relative:page;mso-height-relative:page;" coordorigin="4551,52615" coordsize="8546,139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txbxContent>
              </v:textbox>
            </v:rect>
            <w10:anchorlock/>
          </v:group>
        </w:pict>
      </w:r>
      <w:r>
        <w:rPr>
          <w:rFonts w:hint="eastAsia" w:ascii="黑体" w:eastAsia="黑体"/>
          <w:sz w:val="48"/>
          <w:szCs w:val="48"/>
        </w:rPr>
        <w:t>目录</w:t>
      </w:r>
    </w:p>
    <w:p>
      <w:pPr>
        <w:pageBreakBefore w:val="0"/>
        <w:widowControl/>
        <w:kinsoku/>
        <w:wordWrap/>
        <w:overflowPunct/>
        <w:topLinePunct w:val="0"/>
        <w:bidi w:val="0"/>
        <w:spacing w:line="580" w:lineRule="exact"/>
        <w:ind w:firstLine="640" w:firstLineChars="200"/>
        <w:rPr>
          <w:rFonts w:eastAsia="黑体"/>
          <w:sz w:val="32"/>
          <w:szCs w:val="32"/>
        </w:rPr>
      </w:pPr>
    </w:p>
    <w:p>
      <w:pPr>
        <w:pageBreakBefore w:val="0"/>
        <w:widowControl/>
        <w:kinsoku/>
        <w:wordWrap/>
        <w:overflowPunct/>
        <w:topLinePunct w:val="0"/>
        <w:bidi w:val="0"/>
        <w:spacing w:line="580" w:lineRule="exact"/>
        <w:ind w:firstLine="640" w:firstLineChars="200"/>
        <w:rPr>
          <w:rFonts w:eastAsia="仿宋_GB2312"/>
          <w:sz w:val="24"/>
          <w:szCs w:val="32"/>
        </w:rPr>
      </w:pPr>
      <w:r>
        <w:rPr>
          <w:rFonts w:hint="eastAsia" w:eastAsia="黑体"/>
          <w:sz w:val="32"/>
          <w:szCs w:val="32"/>
        </w:rPr>
        <w:t>第一部分</w:t>
      </w:r>
      <w:r>
        <w:rPr>
          <w:rFonts w:hint="eastAsia" w:eastAsia="黑体"/>
          <w:sz w:val="32"/>
          <w:szCs w:val="32"/>
          <w:lang w:val="en-US" w:eastAsia="zh-CN"/>
        </w:rPr>
        <w:t xml:space="preserve">  </w:t>
      </w:r>
      <w:r>
        <w:rPr>
          <w:rFonts w:hint="eastAsia" w:eastAsia="黑体"/>
          <w:sz w:val="32"/>
          <w:szCs w:val="32"/>
        </w:rPr>
        <w:t>部门概况</w:t>
      </w:r>
    </w:p>
    <w:p>
      <w:pPr>
        <w:pageBreakBefore w:val="0"/>
        <w:widowControl/>
        <w:kinsoku/>
        <w:wordWrap/>
        <w:overflowPunct/>
        <w:topLinePunct w:val="0"/>
        <w:bidi w:val="0"/>
        <w:spacing w:line="580" w:lineRule="exact"/>
        <w:ind w:firstLine="1273" w:firstLineChars="398"/>
        <w:rPr>
          <w:rFonts w:eastAsia="仿宋_GB2312"/>
          <w:sz w:val="32"/>
          <w:szCs w:val="32"/>
        </w:rPr>
      </w:pPr>
      <w:r>
        <w:rPr>
          <w:rFonts w:hint="eastAsia" w:eastAsia="仿宋_GB2312"/>
          <w:sz w:val="32"/>
          <w:szCs w:val="32"/>
        </w:rPr>
        <w:t>一、部门职责</w:t>
      </w:r>
    </w:p>
    <w:p>
      <w:pPr>
        <w:pageBreakBefore w:val="0"/>
        <w:widowControl/>
        <w:kinsoku/>
        <w:wordWrap/>
        <w:overflowPunct/>
        <w:topLinePunct w:val="0"/>
        <w:bidi w:val="0"/>
        <w:spacing w:line="580" w:lineRule="exact"/>
        <w:ind w:firstLine="1273" w:firstLineChars="398"/>
        <w:rPr>
          <w:rFonts w:eastAsia="仿宋_GB2312"/>
          <w:sz w:val="32"/>
          <w:szCs w:val="32"/>
        </w:rPr>
      </w:pPr>
      <w:r>
        <w:rPr>
          <w:rFonts w:hint="eastAsia" w:eastAsia="仿宋_GB2312"/>
          <w:sz w:val="32"/>
          <w:szCs w:val="32"/>
        </w:rPr>
        <w:t>二、机构设置</w:t>
      </w:r>
    </w:p>
    <w:p>
      <w:pPr>
        <w:pageBreakBefore w:val="0"/>
        <w:widowControl/>
        <w:kinsoku/>
        <w:wordWrap/>
        <w:overflowPunct/>
        <w:topLinePunct w:val="0"/>
        <w:bidi w:val="0"/>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二、收入决算表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三、支出决算表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pageBreakBefore w:val="0"/>
        <w:widowControl/>
        <w:kinsoku/>
        <w:wordWrap/>
        <w:overflowPunct/>
        <w:topLinePunct w:val="0"/>
        <w:bidi w:val="0"/>
        <w:spacing w:line="580" w:lineRule="exact"/>
        <w:ind w:firstLine="1280" w:firstLineChars="400"/>
        <w:rPr>
          <w:rFonts w:eastAsia="仿宋_GB2312"/>
          <w:sz w:val="32"/>
          <w:szCs w:val="32"/>
        </w:rPr>
      </w:pPr>
      <w:r>
        <w:rPr>
          <w:rFonts w:hint="eastAsia" w:eastAsia="仿宋_GB2312"/>
          <w:sz w:val="32"/>
          <w:szCs w:val="32"/>
        </w:rPr>
        <w:t>十、政府采购情况表</w:t>
      </w:r>
    </w:p>
    <w:p>
      <w:pPr>
        <w:pageBreakBefore w:val="0"/>
        <w:widowControl/>
        <w:kinsoku/>
        <w:wordWrap/>
        <w:overflowPunct/>
        <w:topLinePunct w:val="0"/>
        <w:bidi w:val="0"/>
        <w:spacing w:line="580" w:lineRule="exact"/>
        <w:ind w:firstLine="640" w:firstLineChars="200"/>
        <w:rPr>
          <w:rFonts w:eastAsia="黑体"/>
          <w:sz w:val="32"/>
          <w:szCs w:val="32"/>
        </w:rPr>
      </w:pPr>
      <w:r>
        <w:rPr>
          <w:rFonts w:hint="eastAsia" w:eastAsia="黑体"/>
          <w:sz w:val="32"/>
          <w:szCs w:val="32"/>
        </w:rPr>
        <w:t>第三部分</w:t>
      </w:r>
      <w:r>
        <w:rPr>
          <w:rFonts w:hint="eastAsia" w:eastAsia="黑体"/>
          <w:sz w:val="32"/>
          <w:szCs w:val="32"/>
          <w:lang w:val="en-US" w:eastAsia="zh-CN"/>
        </w:rPr>
        <w:t xml:space="preserve">  </w:t>
      </w:r>
      <w:r>
        <w:rPr>
          <w:rFonts w:hint="eastAsia" w:eastAsia="黑体"/>
          <w:sz w:val="32"/>
          <w:szCs w:val="32"/>
        </w:rPr>
        <w:t>中共阜平县纪律检查委员会</w:t>
      </w:r>
      <w:r>
        <w:rPr>
          <w:rFonts w:eastAsia="黑体"/>
          <w:sz w:val="32"/>
          <w:szCs w:val="32"/>
        </w:rPr>
        <w:t>2018</w:t>
      </w:r>
      <w:r>
        <w:rPr>
          <w:rFonts w:hint="eastAsia" w:eastAsia="黑体"/>
          <w:sz w:val="32"/>
          <w:szCs w:val="32"/>
        </w:rPr>
        <w:t>年部门决算情况说明</w:t>
      </w:r>
      <w:r>
        <w:pict>
          <v:group id="组合 176" o:spid="_x0000_s1031" o:spt="203" style="position:absolute;left:0pt;margin-left:-26.2pt;margin-top:44.95pt;height:46.7pt;width:222.8pt;mso-position-vertical-relative:page;z-index:251672576;mso-width-relative:page;mso-height-relative:page;" coordorigin="4551,52615" coordsize="8546,1398">
            <o:lock v:ext="edit"/>
            <v:rect id="矩形 13" o:spid="_x0000_s1032" o:spt="1" style="position:absolute;left:4551;top:52615;height:1175;width:8546;v-text-anchor:middle;" fillcolor="#96DA9D" filled="t" stroked="f" coordsize="21600,21600">
              <v:path/>
              <v:fill on="t" focussize="0,0"/>
              <v:stroke on="f" weight="2pt"/>
              <v:imagedata o:title=""/>
              <o:lock v:ext="edit"/>
            </v:rect>
            <v:rect id="矩形 14" o:spid="_x0000_s103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目录</w:t>
                    </w:r>
                  </w:p>
                  <w:p>
                    <w:pPr>
                      <w:jc w:val="center"/>
                    </w:pPr>
                  </w:p>
                </w:txbxContent>
              </v:textbox>
            </v:rect>
            <w10:anchorlock/>
          </v:group>
        </w:pic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pageBreakBefore w:val="0"/>
        <w:widowControl/>
        <w:kinsoku/>
        <w:wordWrap/>
        <w:overflowPunct/>
        <w:topLinePunct w:val="0"/>
        <w:bidi w:val="0"/>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pageBreakBefore w:val="0"/>
        <w:widowControl/>
        <w:kinsoku/>
        <w:wordWrap/>
        <w:overflowPunct/>
        <w:topLinePunct w:val="0"/>
        <w:bidi w:val="0"/>
        <w:spacing w:line="580" w:lineRule="exact"/>
        <w:ind w:firstLine="640" w:firstLineChars="200"/>
        <w:rPr>
          <w:rFonts w:eastAsia="黑体"/>
          <w:sz w:val="32"/>
          <w:szCs w:val="32"/>
        </w:rPr>
      </w:pPr>
      <w:r>
        <w:rPr>
          <w:rFonts w:hint="eastAsia" w:eastAsia="黑体"/>
          <w:sz w:val="32"/>
          <w:szCs w:val="32"/>
        </w:rPr>
        <w:t>第四部分</w:t>
      </w:r>
      <w:r>
        <w:rPr>
          <w:rFonts w:hint="eastAsia" w:eastAsia="黑体"/>
          <w:sz w:val="32"/>
          <w:szCs w:val="32"/>
          <w:lang w:val="en-US" w:eastAsia="zh-CN"/>
        </w:rPr>
        <w:t xml:space="preserve">  </w:t>
      </w:r>
      <w:r>
        <w:rPr>
          <w:rFonts w:hint="eastAsia" w:eastAsia="黑体"/>
          <w:sz w:val="32"/>
          <w:szCs w:val="32"/>
        </w:rPr>
        <w:t>名词解释</w:t>
      </w:r>
    </w:p>
    <w:p>
      <w:pPr>
        <w:pageBreakBefore w:val="0"/>
        <w:widowControl/>
        <w:kinsoku/>
        <w:wordWrap/>
        <w:overflowPunct/>
        <w:topLinePunct w:val="0"/>
        <w:bidi w:val="0"/>
        <w:spacing w:line="580" w:lineRule="exact"/>
        <w:ind w:firstLine="640" w:firstLineChars="200"/>
        <w:rPr>
          <w:rFonts w:eastAsia="黑体"/>
          <w:sz w:val="32"/>
          <w:szCs w:val="32"/>
        </w:rPr>
      </w:pPr>
    </w:p>
    <w:p>
      <w:pPr>
        <w:pageBreakBefore w:val="0"/>
        <w:widowControl/>
        <w:kinsoku/>
        <w:wordWrap/>
        <w:overflowPunct/>
        <w:topLinePunct w:val="0"/>
        <w:bidi w:val="0"/>
        <w:spacing w:line="580" w:lineRule="exact"/>
        <w:ind w:firstLine="640" w:firstLineChars="200"/>
        <w:rPr>
          <w:rFonts w:eastAsia="黑体"/>
          <w:sz w:val="32"/>
          <w:szCs w:val="32"/>
        </w:rPr>
      </w:pPr>
    </w:p>
    <w:p>
      <w:pPr>
        <w:pageBreakBefore w:val="0"/>
        <w:widowControl/>
        <w:kinsoku/>
        <w:wordWrap/>
        <w:overflowPunct/>
        <w:topLinePunct w:val="0"/>
        <w:bidi w:val="0"/>
        <w:spacing w:line="580" w:lineRule="exact"/>
        <w:ind w:firstLine="640" w:firstLineChars="200"/>
        <w:rPr>
          <w:rFonts w:eastAsia="黑体"/>
          <w:sz w:val="32"/>
          <w:szCs w:val="32"/>
        </w:rPr>
      </w:pPr>
    </w:p>
    <w:p>
      <w:pPr>
        <w:pageBreakBefore w:val="0"/>
        <w:widowControl/>
        <w:kinsoku/>
        <w:wordWrap/>
        <w:overflowPunct/>
        <w:topLinePunct w:val="0"/>
        <w:bidi w:val="0"/>
        <w:spacing w:line="580" w:lineRule="exact"/>
        <w:ind w:firstLine="640" w:firstLineChars="200"/>
        <w:rPr>
          <w:rFonts w:eastAsia="黑体"/>
          <w:sz w:val="32"/>
          <w:szCs w:val="32"/>
        </w:rPr>
      </w:pPr>
    </w:p>
    <w:p>
      <w:pPr>
        <w:pageBreakBefore w:val="0"/>
        <w:kinsoku/>
        <w:wordWrap/>
        <w:overflowPunct/>
        <w:topLinePunct w:val="0"/>
        <w:bidi w:val="0"/>
      </w:pPr>
      <w:r>
        <w:br w:type="page"/>
      </w:r>
    </w:p>
    <w:p>
      <w:pPr>
        <w:pageBreakBefore w:val="0"/>
        <w:kinsoku/>
        <w:wordWrap/>
        <w:overflowPunct/>
        <w:topLinePunct w:val="0"/>
        <w:bidi w:val="0"/>
      </w:pPr>
      <w:r>
        <w:pict>
          <v:shape id="图片 12" o:spid="_x0000_s1034" o:spt="75" alt="2" type="#_x0000_t75" style="position:absolute;left:0pt;margin-left:-80.7pt;margin-top:-106.45pt;height:844.65pt;width:597.3pt;z-index:-251655168;mso-width-relative:page;mso-height-relative:page;" filled="f" o:preferrelative="t" stroked="f" coordsize="21600,21600">
            <v:path/>
            <v:fill on="f" focussize="0,0"/>
            <v:stroke on="f" joinstyle="miter"/>
            <v:imagedata r:id="rId5" o:title=""/>
            <o:lock v:ext="edit" aspectratio="t"/>
          </v:shape>
        </w:pict>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第一部分部门概况</w:t>
                  </w:r>
                </w:p>
              </w:txbxContent>
            </v:textbox>
          </v:shape>
        </w:pict>
      </w: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Style w:val="2"/>
        <w:pageBreakBefore w:val="0"/>
        <w:kinsoku/>
        <w:wordWrap/>
        <w:overflowPunct/>
        <w:topLinePunct w:val="0"/>
        <w:bidi w:val="0"/>
        <w:spacing w:before="0" w:after="0" w:line="600" w:lineRule="exact"/>
        <w:ind w:firstLine="883" w:firstLineChars="200"/>
        <w:jc w:val="left"/>
        <w:rPr>
          <w:rFonts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2336;mso-width-relative:page;mso-height-relative:page;" coordorigin="4551,52615" coordsize="8546,139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bookmarkStart w:id="0" w:name="page2"/>
      <w:bookmarkEnd w:id="0"/>
      <w:r>
        <w:rPr>
          <w:rFonts w:hint="eastAsia" w:ascii="仿宋_GB2312" w:hAnsi="仿宋_GB2312" w:eastAsia="仿宋_GB2312" w:cs="仿宋_GB2312"/>
          <w:bCs/>
          <w:sz w:val="32"/>
          <w:szCs w:val="32"/>
        </w:rPr>
        <w:t>（一）主管全县党的纪律检查工作。负责贯彻落实党中央、中纪委、省委、省纪委、市委、市纪委和县委关于加强党风廉政建设的决定；维护党的章程和其它党内法规；监督检查党的路线、方针、政策和决议的执行情况。</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主管全县行政监察工作。负责宣传贯彻实施《行政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（三）负责检查并处理县委、县政府机关各部门党的组织和县委管理的党员干部违反党的章程及党内法规的案件，决定或取消对这些案件中的党员的处分；受理党员的控告和申诉。</w:t>
      </w:r>
    </w:p>
    <w:p>
      <w:pPr>
        <w:pageBreakBefore w:val="0"/>
        <w:kinsoku/>
        <w:wordWrap/>
        <w:overflowPunct/>
        <w:topLinePunct w:val="0"/>
        <w:bidi w:val="0"/>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（五）负责做出关于维护党纪的决定；制定全县党风廉政教育规划；配合有关部门做好宣传党的纪检监察工作方针、政策和教育党员遵守纪律工作。</w:t>
      </w:r>
    </w:p>
    <w:p>
      <w:pPr>
        <w:pageBreakBefore w:val="0"/>
        <w:kinsoku/>
        <w:wordWrap/>
        <w:overflowPunct/>
        <w:topLinePunct w:val="0"/>
        <w:bidi w:val="0"/>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（六）负责对党的纪律检查工作理论及有关问题进行调查研究。</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（七）调查研究县政府各部门制定的有关政策、规定情况，对其违反国家法律和有损国家利益的条款提出修改、补充建议。</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（八）会同组织部门做好全县纪检监察系统干部的管理、任免、培训工作。</w:t>
      </w:r>
    </w:p>
    <w:p>
      <w:pPr>
        <w:pageBreakBefore w:val="0"/>
        <w:kinsoku/>
        <w:wordWrap/>
        <w:overflowPunct/>
        <w:topLinePunct w:val="0"/>
        <w:bidi w:val="0"/>
        <w:spacing w:line="36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（九）承办中纪委、</w:t>
      </w:r>
      <w:r>
        <w:rPr>
          <w:rFonts w:hint="eastAsia" w:ascii="仿宋_GB2312" w:hAnsi="仿宋_GB2312" w:eastAsia="仿宋_GB2312" w:cs="仿宋_GB2312"/>
          <w:bCs/>
          <w:sz w:val="32"/>
          <w:szCs w:val="32"/>
          <w:lang w:eastAsia="zh-CN"/>
        </w:rPr>
        <w:t>国家</w:t>
      </w:r>
      <w:r>
        <w:rPr>
          <w:rFonts w:hint="eastAsia" w:ascii="仿宋_GB2312" w:hAnsi="仿宋_GB2312" w:eastAsia="仿宋_GB2312" w:cs="仿宋_GB2312"/>
          <w:bCs/>
          <w:sz w:val="32"/>
          <w:szCs w:val="32"/>
        </w:rPr>
        <w:t>监察委、省纪委、省监察委、市纪委、市监察委及县委、县政府授权和交办的其它工作。</w:t>
      </w:r>
    </w:p>
    <w:p>
      <w:pPr>
        <w:pStyle w:val="2"/>
        <w:pageBreakBefore w:val="0"/>
        <w:kinsoku/>
        <w:wordWrap/>
        <w:overflowPunct/>
        <w:topLinePunct w:val="0"/>
        <w:bidi w:val="0"/>
        <w:spacing w:before="0" w:after="0" w:line="600" w:lineRule="exact"/>
        <w:ind w:firstLine="640" w:firstLineChars="200"/>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pageBreakBefore w:val="0"/>
        <w:kinsoku/>
        <w:wordWrap/>
        <w:overflowPunct/>
        <w:topLinePunct w:val="0"/>
        <w:bidi w:val="0"/>
        <w:spacing w:line="360" w:lineRule="auto"/>
        <w:ind w:firstLine="640" w:firstLineChars="200"/>
        <w:rPr>
          <w:rFonts w:hint="eastAsia"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年度本部门决算汇编范围的独立核算单位（以下简称“单位”）共1个，</w:t>
      </w:r>
      <w:r>
        <w:rPr>
          <w:rFonts w:hint="eastAsia" w:ascii="仿宋" w:hAnsi="仿宋" w:eastAsia="仿宋"/>
          <w:sz w:val="32"/>
          <w:szCs w:val="32"/>
        </w:rPr>
        <w:t>包括1</w:t>
      </w:r>
      <w:r>
        <w:rPr>
          <w:rFonts w:hint="eastAsia" w:ascii="仿宋" w:hAnsi="仿宋" w:eastAsia="仿宋"/>
          <w:sz w:val="32"/>
          <w:szCs w:val="32"/>
          <w:lang w:val="en-US" w:eastAsia="zh-CN"/>
        </w:rPr>
        <w:t>5</w:t>
      </w:r>
      <w:r>
        <w:rPr>
          <w:rFonts w:hint="eastAsia" w:ascii="仿宋" w:hAnsi="仿宋" w:eastAsia="仿宋"/>
          <w:sz w:val="32"/>
          <w:szCs w:val="32"/>
        </w:rPr>
        <w:t>个内设机构,其中</w:t>
      </w:r>
      <w:r>
        <w:rPr>
          <w:rFonts w:hint="eastAsia" w:ascii="仿宋" w:hAnsi="仿宋" w:eastAsia="仿宋"/>
          <w:sz w:val="32"/>
          <w:szCs w:val="32"/>
          <w:lang w:eastAsia="zh-CN"/>
        </w:rPr>
        <w:t>纪检监察室</w:t>
      </w:r>
      <w:r>
        <w:rPr>
          <w:rFonts w:hint="eastAsia" w:ascii="仿宋" w:hAnsi="仿宋" w:eastAsia="仿宋"/>
          <w:sz w:val="32"/>
          <w:szCs w:val="32"/>
          <w:lang w:val="en-US" w:eastAsia="zh-CN"/>
        </w:rPr>
        <w:t>10</w:t>
      </w:r>
      <w:r>
        <w:rPr>
          <w:rFonts w:hint="eastAsia" w:ascii="仿宋" w:hAnsi="仿宋" w:eastAsia="仿宋"/>
          <w:sz w:val="32"/>
          <w:szCs w:val="32"/>
        </w:rPr>
        <w:t>个,</w:t>
      </w:r>
      <w:r>
        <w:rPr>
          <w:rFonts w:hint="eastAsia" w:ascii="仿宋" w:hAnsi="仿宋" w:eastAsia="仿宋"/>
          <w:sz w:val="32"/>
          <w:szCs w:val="32"/>
          <w:lang w:eastAsia="zh-CN"/>
        </w:rPr>
        <w:t>办公室、党风政风监督室、案件监督管理室、案件审理室、组织部</w:t>
      </w:r>
      <w:r>
        <w:rPr>
          <w:rFonts w:hint="eastAsia" w:ascii="仿宋" w:hAnsi="仿宋" w:eastAsia="仿宋"/>
          <w:sz w:val="32"/>
          <w:szCs w:val="32"/>
          <w:lang w:val="en-US" w:eastAsia="zh-CN"/>
        </w:rPr>
        <w:t>,</w:t>
      </w:r>
      <w:r>
        <w:rPr>
          <w:rFonts w:hint="eastAsia" w:ascii="仿宋" w:hAnsi="仿宋" w:eastAsia="仿宋"/>
          <w:sz w:val="32"/>
          <w:szCs w:val="32"/>
          <w:lang w:eastAsia="zh-CN"/>
        </w:rPr>
        <w:t>行政编制</w:t>
      </w:r>
      <w:r>
        <w:rPr>
          <w:rFonts w:hint="eastAsia" w:ascii="仿宋" w:hAnsi="仿宋" w:eastAsia="仿宋"/>
          <w:sz w:val="32"/>
          <w:szCs w:val="32"/>
          <w:lang w:val="en-US" w:eastAsia="zh-CN"/>
        </w:rPr>
        <w:t>73名，实有人数42名。</w:t>
      </w:r>
      <w:r>
        <w:rPr>
          <w:rFonts w:hint="eastAsia" w:ascii="仿宋_GB2312" w:hAnsi="Cambria" w:eastAsia="仿宋_GB2312" w:cs="ArialUnicodeMS"/>
          <w:kern w:val="0"/>
          <w:sz w:val="32"/>
          <w:szCs w:val="32"/>
        </w:rPr>
        <w:t>具体情况如下：</w:t>
      </w:r>
    </w:p>
    <w:p>
      <w:pPr>
        <w:pageBreakBefore w:val="0"/>
        <w:kinsoku/>
        <w:wordWrap/>
        <w:overflowPunct/>
        <w:topLinePunct w:val="0"/>
        <w:bidi w:val="0"/>
        <w:spacing w:line="360" w:lineRule="auto"/>
        <w:ind w:firstLine="640" w:firstLineChars="200"/>
        <w:rPr>
          <w:rFonts w:hint="eastAsia" w:ascii="仿宋_GB2312" w:hAnsi="Cambria" w:eastAsia="仿宋_GB2312" w:cs="ArialUnicodeMS"/>
          <w:kern w:val="0"/>
          <w:sz w:val="32"/>
          <w:szCs w:val="32"/>
        </w:rPr>
      </w:pP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18"/>
        <w:gridCol w:w="2312"/>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pageBreakBefore w:val="0"/>
              <w:kinsoku/>
              <w:wordWrap/>
              <w:overflowPunct/>
              <w:topLinePunct w:val="0"/>
              <w:bidi w:val="0"/>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618" w:type="dxa"/>
            <w:vAlign w:val="center"/>
          </w:tcPr>
          <w:p>
            <w:pPr>
              <w:pageBreakBefore w:val="0"/>
              <w:kinsoku/>
              <w:wordWrap/>
              <w:overflowPunct/>
              <w:topLinePunct w:val="0"/>
              <w:bidi w:val="0"/>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312" w:type="dxa"/>
            <w:vAlign w:val="center"/>
          </w:tcPr>
          <w:p>
            <w:pPr>
              <w:pageBreakBefore w:val="0"/>
              <w:kinsoku/>
              <w:wordWrap/>
              <w:overflowPunct/>
              <w:topLinePunct w:val="0"/>
              <w:bidi w:val="0"/>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pageBreakBefore w:val="0"/>
              <w:kinsoku/>
              <w:wordWrap/>
              <w:overflowPunct/>
              <w:topLinePunct w:val="0"/>
              <w:bidi w:val="0"/>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pageBreakBefore w:val="0"/>
              <w:kinsoku/>
              <w:wordWrap/>
              <w:overflowPunct/>
              <w:topLinePunct w:val="0"/>
              <w:bidi w:val="0"/>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618" w:type="dxa"/>
          </w:tcPr>
          <w:p>
            <w:pPr>
              <w:pageBreakBefore w:val="0"/>
              <w:kinsoku/>
              <w:wordWrap/>
              <w:overflowPunct/>
              <w:topLinePunct w:val="0"/>
              <w:bidi w:val="0"/>
              <w:spacing w:after="0" w:line="560" w:lineRule="exact"/>
              <w:rPr>
                <w:rFonts w:ascii="仿宋_GB2312" w:hAnsi="Cambria" w:eastAsia="仿宋_GB2312" w:cs="ArialUnicodeMS"/>
                <w:kern w:val="0"/>
                <w:sz w:val="28"/>
                <w:szCs w:val="28"/>
              </w:rPr>
            </w:pPr>
            <w:r>
              <w:rPr>
                <w:rFonts w:hint="eastAsia" w:ascii="仿宋_GB2312" w:hAnsi="仿宋_GB2312" w:eastAsia="仿宋_GB2312" w:cs="仿宋_GB2312"/>
                <w:color w:val="000000"/>
                <w:sz w:val="28"/>
                <w:szCs w:val="28"/>
              </w:rPr>
              <w:t>中共阜平县纪律检查委员会</w:t>
            </w:r>
          </w:p>
        </w:tc>
        <w:tc>
          <w:tcPr>
            <w:tcW w:w="2312" w:type="dxa"/>
          </w:tcPr>
          <w:p>
            <w:pPr>
              <w:pageBreakBefore w:val="0"/>
              <w:kinsoku/>
              <w:wordWrap/>
              <w:overflowPunct/>
              <w:topLinePunct w:val="0"/>
              <w:bidi w:val="0"/>
              <w:spacing w:after="0" w:line="560" w:lineRule="exact"/>
              <w:jc w:val="center"/>
              <w:rPr>
                <w:rFonts w:ascii="仿宋_GB2312" w:hAnsi="Cambria" w:eastAsia="仿宋_GB2312" w:cs="ArialUnicodeMS"/>
                <w:kern w:val="0"/>
                <w:sz w:val="28"/>
                <w:szCs w:val="28"/>
              </w:rPr>
            </w:pPr>
            <w:r>
              <w:rPr>
                <w:rFonts w:hint="eastAsia" w:ascii="仿宋_GB2312" w:hAnsi="仿宋_GB2312" w:eastAsia="仿宋_GB2312" w:cs="仿宋_GB2312"/>
                <w:color w:val="000000"/>
                <w:sz w:val="28"/>
                <w:szCs w:val="28"/>
              </w:rPr>
              <w:t>行政单位</w:t>
            </w:r>
          </w:p>
        </w:tc>
        <w:tc>
          <w:tcPr>
            <w:tcW w:w="2665" w:type="dxa"/>
          </w:tcPr>
          <w:p>
            <w:pPr>
              <w:pageBreakBefore w:val="0"/>
              <w:kinsoku/>
              <w:wordWrap/>
              <w:overflowPunct/>
              <w:topLinePunct w:val="0"/>
              <w:bidi w:val="0"/>
              <w:spacing w:after="0" w:line="560" w:lineRule="exact"/>
              <w:jc w:val="center"/>
              <w:rPr>
                <w:rFonts w:ascii="仿宋_GB2312" w:hAnsi="Cambria" w:eastAsia="仿宋_GB2312" w:cs="ArialUnicodeMS"/>
                <w:kern w:val="0"/>
                <w:sz w:val="28"/>
                <w:szCs w:val="28"/>
              </w:rPr>
            </w:pPr>
            <w:r>
              <w:rPr>
                <w:rFonts w:hint="eastAsia" w:ascii="仿宋_GB2312" w:hAnsi="仿宋_GB2312" w:eastAsia="仿宋_GB2312" w:cs="仿宋_GB2312"/>
                <w:color w:val="000000"/>
                <w:sz w:val="28"/>
                <w:szCs w:val="28"/>
              </w:rPr>
              <w:t>财政拨款</w:t>
            </w:r>
          </w:p>
        </w:tc>
      </w:tr>
    </w:tbl>
    <w:p>
      <w:pPr>
        <w:pageBreakBefore w:val="0"/>
        <w:kinsoku/>
        <w:wordWrap/>
        <w:overflowPunct/>
        <w:topLinePunct w:val="0"/>
        <w:bidi w:val="0"/>
        <w:spacing w:after="0" w:line="560" w:lineRule="exact"/>
        <w:rPr>
          <w:rFonts w:ascii="仿宋_GB2312" w:hAnsi="Cambria" w:eastAsia="仿宋_GB2312" w:cs="ArialUnicodeMS"/>
          <w:kern w:val="0"/>
          <w:sz w:val="32"/>
          <w:szCs w:val="32"/>
        </w:rPr>
      </w:pPr>
    </w:p>
    <w:p>
      <w:pPr>
        <w:pageBreakBefore w:val="0"/>
        <w:widowControl/>
        <w:kinsoku/>
        <w:wordWrap/>
        <w:overflowPunct/>
        <w:topLinePunct w:val="0"/>
        <w:bidi w:val="0"/>
        <w:spacing w:line="560" w:lineRule="exact"/>
        <w:jc w:val="center"/>
        <w:rPr>
          <w:rFonts w:ascii="黑体" w:hAnsi="Cambria" w:eastAsia="黑体" w:cs="MS-UIGothic,Bold"/>
          <w:bCs/>
          <w:kern w:val="0"/>
          <w:sz w:val="52"/>
          <w:szCs w:val="52"/>
        </w:rPr>
      </w:pPr>
    </w:p>
    <w:p>
      <w:pPr>
        <w:pageBreakBefore w:val="0"/>
        <w:widowControl/>
        <w:kinsoku/>
        <w:wordWrap/>
        <w:overflowPunct/>
        <w:topLinePunct w:val="0"/>
        <w:bidi w:val="0"/>
        <w:spacing w:line="560" w:lineRule="exact"/>
        <w:jc w:val="center"/>
        <w:rPr>
          <w:rFonts w:ascii="黑体" w:hAnsi="Cambria" w:eastAsia="黑体" w:cs="MS-UIGothic,Bold"/>
          <w:bCs/>
          <w:kern w:val="0"/>
          <w:sz w:val="52"/>
          <w:szCs w:val="52"/>
        </w:rPr>
      </w:pPr>
    </w:p>
    <w:p>
      <w:pPr>
        <w:pageBreakBefore w:val="0"/>
        <w:widowControl/>
        <w:kinsoku/>
        <w:wordWrap/>
        <w:overflowPunct/>
        <w:topLinePunct w:val="0"/>
        <w:bidi w:val="0"/>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pageBreakBefore w:val="0"/>
        <w:widowControl/>
        <w:kinsoku/>
        <w:wordWrap/>
        <w:overflowPunct/>
        <w:topLinePunct w:val="0"/>
        <w:bidi w:val="0"/>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52096;mso-width-relative:page;mso-height-relative:page;" filled="f" o:preferrelative="t" stroked="f" coordsize="21600,21600">
            <v:path/>
            <v:fill on="f" focussize="0,0"/>
            <v:stroke on="f" joinstyle="miter"/>
            <v:imagedata r:id="rId5" o:title=""/>
            <o:lock v:ext="edit" aspectratio="t"/>
          </v:shape>
        </w:pict>
      </w:r>
    </w:p>
    <w:p>
      <w:pPr>
        <w:pageBreakBefore w:val="0"/>
        <w:widowControl/>
        <w:kinsoku/>
        <w:wordWrap/>
        <w:overflowPunct/>
        <w:topLinePunct w:val="0"/>
        <w:bidi w:val="0"/>
        <w:spacing w:line="560" w:lineRule="exact"/>
        <w:jc w:val="center"/>
        <w:rPr>
          <w:rFonts w:ascii="黑体" w:hAnsi="Cambria" w:eastAsia="黑体" w:cs="MS-UIGothic,Bold"/>
          <w:bCs/>
          <w:kern w:val="0"/>
          <w:sz w:val="52"/>
          <w:szCs w:val="52"/>
        </w:rPr>
      </w:pPr>
    </w:p>
    <w:p>
      <w:pPr>
        <w:pageBreakBefore w:val="0"/>
        <w:kinsoku/>
        <w:wordWrap/>
        <w:overflowPunct/>
        <w:topLinePunct w:val="0"/>
        <w:bidi w:val="0"/>
        <w:rPr>
          <w:rFonts w:ascii="宋体" w:cs="ArialUnicodeMS"/>
          <w:color w:val="000000"/>
          <w:kern w:val="0"/>
        </w:rPr>
      </w:pPr>
    </w:p>
    <w:p>
      <w:pPr>
        <w:pageBreakBefore w:val="0"/>
        <w:kinsoku/>
        <w:wordWrap/>
        <w:overflowPunct/>
        <w:topLinePunct w:val="0"/>
        <w:bidi w:val="0"/>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336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3"/>
        <w:tblW w:w="9300" w:type="dxa"/>
        <w:jc w:val="center"/>
        <w:tblLayout w:type="fixed"/>
        <w:tblCellMar>
          <w:top w:w="0" w:type="dxa"/>
          <w:left w:w="0" w:type="dxa"/>
          <w:bottom w:w="0" w:type="dxa"/>
          <w:right w:w="0" w:type="dxa"/>
        </w:tblCellMar>
      </w:tblPr>
      <w:tblGrid>
        <w:gridCol w:w="3027"/>
        <w:gridCol w:w="499"/>
        <w:gridCol w:w="1077"/>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440" w:lineRule="exact"/>
              <w:jc w:val="center"/>
              <w:textAlignment w:val="center"/>
              <w:rPr>
                <w:rFonts w:ascii="黑体" w:hAnsi="宋体" w:eastAsia="黑体" w:cs="黑体"/>
                <w:color w:val="000000"/>
                <w:sz w:val="40"/>
                <w:szCs w:val="40"/>
              </w:rPr>
            </w:pPr>
            <w:r>
              <w:pict>
                <v:group id="组合 10" o:spid="_x0000_s1041" o:spt="203" style="position:absolute;left:0pt;margin-left:-70.25pt;margin-top:-81.85pt;height:41.2pt;width:243.2pt;mso-position-vertical-relative:page;z-index:251674624;mso-width-relative:page;mso-height-relative:page;" coordorigin="4551,52615" coordsize="8546,1398">
                  <o:lock v:ext="edit"/>
                  <v:rect id="矩形 13" o:spid="_x0000_s1042" o:spt="1" style="position:absolute;left:4551;top:52615;height:1175;width:8546;v-text-anchor:middle;" fillcolor="#96DA9D" filled="t" stroked="f" coordsize="21600,21600">
                    <v:path/>
                    <v:fill on="t" focussize="0,0"/>
                    <v:stroke on="f" weight="2pt"/>
                    <v:imagedata o:title=""/>
                    <o:lock v:ext="edit"/>
                  </v:rect>
                  <v:rect id="矩形 14" o:spid="_x0000_s104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tc>
      </w:tr>
      <w:tr>
        <w:tblPrEx>
          <w:tblCellMar>
            <w:top w:w="0" w:type="dxa"/>
            <w:left w:w="0" w:type="dxa"/>
            <w:bottom w:w="0" w:type="dxa"/>
            <w:right w:w="0" w:type="dxa"/>
          </w:tblCellMar>
        </w:tblPrEx>
        <w:trPr>
          <w:trHeight w:val="321" w:hRule="atLeast"/>
          <w:jc w:val="center"/>
        </w:trPr>
        <w:tc>
          <w:tcPr>
            <w:tcW w:w="302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Arial" w:hAnsi="Arial" w:cs="Arial"/>
                <w:color w:val="000000"/>
                <w:sz w:val="20"/>
                <w:szCs w:val="20"/>
              </w:rPr>
            </w:pPr>
          </w:p>
        </w:tc>
        <w:tc>
          <w:tcPr>
            <w:tcW w:w="49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Arial" w:hAnsi="Arial" w:cs="Arial"/>
                <w:color w:val="000000"/>
                <w:sz w:val="20"/>
                <w:szCs w:val="20"/>
              </w:rPr>
            </w:pPr>
          </w:p>
        </w:tc>
        <w:tc>
          <w:tcPr>
            <w:tcW w:w="107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Arial" w:hAnsi="Arial" w:cs="Arial"/>
                <w:color w:val="000000"/>
                <w:sz w:val="20"/>
                <w:szCs w:val="20"/>
              </w:rPr>
            </w:pPr>
          </w:p>
        </w:tc>
        <w:tc>
          <w:tcPr>
            <w:tcW w:w="270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Arial" w:hAnsi="Arial" w:cs="Arial"/>
                <w:color w:val="000000"/>
                <w:sz w:val="20"/>
                <w:szCs w:val="20"/>
              </w:rPr>
            </w:pPr>
          </w:p>
        </w:tc>
        <w:tc>
          <w:tcPr>
            <w:tcW w:w="56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Arial" w:hAnsi="Arial" w:cs="Arial"/>
                <w:color w:val="000000"/>
                <w:sz w:val="20"/>
                <w:szCs w:val="20"/>
              </w:rPr>
            </w:pPr>
          </w:p>
        </w:tc>
        <w:tc>
          <w:tcPr>
            <w:tcW w:w="143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418" w:hRule="atLeast"/>
          <w:jc w:val="center"/>
        </w:trPr>
        <w:tc>
          <w:tcPr>
            <w:tcW w:w="302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jc w:val="left"/>
              <w:textAlignment w:val="center"/>
              <w:rPr>
                <w:rFonts w:hint="eastAsia" w:ascii="宋体" w:eastAsia="宋体" w:cs="宋体"/>
                <w:color w:val="000000"/>
                <w:sz w:val="20"/>
                <w:szCs w:val="20"/>
                <w:lang w:eastAsia="zh-CN"/>
              </w:rPr>
            </w:pPr>
            <w:r>
              <w:rPr>
                <w:rFonts w:hint="eastAsia" w:ascii="宋体" w:hAnsi="宋体" w:cs="宋体"/>
                <w:color w:val="000000"/>
                <w:kern w:val="0"/>
                <w:sz w:val="20"/>
                <w:szCs w:val="20"/>
              </w:rPr>
              <w:t>部门：</w:t>
            </w:r>
            <w:r>
              <w:rPr>
                <w:rFonts w:hint="eastAsia" w:ascii="宋体" w:hAnsi="宋体" w:cs="宋体"/>
                <w:color w:val="000000"/>
                <w:kern w:val="0"/>
                <w:sz w:val="16"/>
                <w:szCs w:val="16"/>
                <w:lang w:eastAsia="zh-CN"/>
              </w:rPr>
              <w:t>中国共产党河北省阜平县纪律检查委员会</w:t>
            </w:r>
          </w:p>
        </w:tc>
        <w:tc>
          <w:tcPr>
            <w:tcW w:w="49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jc w:val="left"/>
              <w:rPr>
                <w:rFonts w:ascii="宋体" w:cs="宋体"/>
                <w:color w:val="000000"/>
                <w:sz w:val="20"/>
                <w:szCs w:val="20"/>
              </w:rPr>
            </w:pPr>
          </w:p>
        </w:tc>
        <w:tc>
          <w:tcPr>
            <w:tcW w:w="107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宋体" w:cs="宋体"/>
                <w:color w:val="000000"/>
                <w:sz w:val="20"/>
                <w:szCs w:val="20"/>
              </w:rPr>
            </w:pPr>
          </w:p>
        </w:tc>
        <w:tc>
          <w:tcPr>
            <w:tcW w:w="270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宋体" w:cs="宋体"/>
                <w:color w:val="000000"/>
                <w:sz w:val="20"/>
                <w:szCs w:val="20"/>
              </w:rPr>
            </w:pPr>
          </w:p>
        </w:tc>
        <w:tc>
          <w:tcPr>
            <w:tcW w:w="56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rPr>
                <w:rFonts w:ascii="宋体" w:cs="宋体"/>
                <w:color w:val="000000"/>
                <w:sz w:val="20"/>
                <w:szCs w:val="20"/>
              </w:rPr>
            </w:pPr>
          </w:p>
        </w:tc>
        <w:tc>
          <w:tcPr>
            <w:tcW w:w="143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收入</w:t>
            </w:r>
          </w:p>
        </w:tc>
        <w:tc>
          <w:tcPr>
            <w:tcW w:w="4697"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支出</w:t>
            </w:r>
          </w:p>
        </w:tc>
      </w:tr>
      <w:tr>
        <w:tblPrEx>
          <w:tblCellMar>
            <w:top w:w="0" w:type="dxa"/>
            <w:left w:w="0" w:type="dxa"/>
            <w:bottom w:w="0" w:type="dxa"/>
            <w:right w:w="0" w:type="dxa"/>
          </w:tblCellMar>
        </w:tblPrEx>
        <w:trPr>
          <w:trHeight w:val="295"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r>
      <w:tr>
        <w:tblPrEx>
          <w:tblCellMar>
            <w:top w:w="0" w:type="dxa"/>
            <w:left w:w="0" w:type="dxa"/>
            <w:bottom w:w="0" w:type="dxa"/>
            <w:right w:w="0" w:type="dxa"/>
          </w:tblCellMar>
        </w:tblPrEx>
        <w:trPr>
          <w:trHeight w:val="295"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rPr>
                <w:rFonts w:ascii="宋体" w:cs="宋体"/>
                <w:color w:val="000000"/>
                <w:sz w:val="20"/>
                <w:szCs w:val="20"/>
              </w:rPr>
            </w:pP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rPr>
                <w:rFonts w:ascii="宋体" w:cs="宋体"/>
                <w:color w:val="000000"/>
                <w:sz w:val="20"/>
                <w:szCs w:val="20"/>
              </w:rPr>
            </w:pP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2</w:t>
            </w:r>
          </w:p>
        </w:tc>
      </w:tr>
      <w:tr>
        <w:tblPrEx>
          <w:tblCellMar>
            <w:top w:w="0" w:type="dxa"/>
            <w:left w:w="0" w:type="dxa"/>
            <w:bottom w:w="0" w:type="dxa"/>
            <w:right w:w="0" w:type="dxa"/>
          </w:tblCellMar>
        </w:tblPrEx>
        <w:trPr>
          <w:trHeight w:val="365"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一、财政拨款收入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907.63</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一、一般公共服务支出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28</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806.16</w:t>
            </w:r>
          </w:p>
        </w:tc>
      </w:tr>
      <w:tr>
        <w:tblPrEx>
          <w:tblCellMar>
            <w:top w:w="0" w:type="dxa"/>
            <w:left w:w="0" w:type="dxa"/>
            <w:bottom w:w="0" w:type="dxa"/>
            <w:right w:w="0" w:type="dxa"/>
          </w:tblCellMar>
        </w:tblPrEx>
        <w:trPr>
          <w:trHeight w:val="319"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二、上级补助收入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二、外交支出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29</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三、事业收入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三、国防支出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30</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四、经营收入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四、公共安全支出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31</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五、附属单位上缴收入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五、教育支出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32</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六、其他收入</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6</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六、科学技术支出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33</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7</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七、文化体育与传媒支出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34</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8</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八、社会保障和就业支出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35</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58.36</w:t>
            </w: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9</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九、医疗卫生与计划生育支出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36</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15.79</w:t>
            </w: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10</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十、节能环保支出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37</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11</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十一、城乡社区支出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38</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12</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十二、农林水支出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39</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13</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十三、交通运输支出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40</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14</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十四、资源勘探信息等支出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41</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15</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十五、商业服务业等支出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42</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16</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十六、金融支出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43</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17</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十七、援助其他地区支出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44</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18</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十八、国土海洋气象等支出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45</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19</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十九、住房保障支出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46</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27.32</w:t>
            </w: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20</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二十、粮油物资储备支出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47</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21</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二十一、其他支出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48</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22</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二十二、债务还本支出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49</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rPr>
                <w:rFonts w:ascii="宋体" w:cs="宋体"/>
                <w:color w:val="000000"/>
                <w:sz w:val="20"/>
                <w:szCs w:val="20"/>
              </w:rPr>
            </w:pP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23</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二十三、债务付息支出</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50</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24</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18"/>
                <w:szCs w:val="18"/>
              </w:rPr>
            </w:pPr>
            <w:r>
              <w:rPr>
                <w:rFonts w:hint="eastAsia" w:ascii="宋体" w:cs="宋体"/>
                <w:color w:val="000000"/>
                <w:sz w:val="18"/>
                <w:szCs w:val="18"/>
              </w:rPr>
              <w:t>907.63</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本年支出合计</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51</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907.63</w:t>
            </w:r>
          </w:p>
        </w:tc>
      </w:tr>
      <w:tr>
        <w:tblPrEx>
          <w:tblCellMar>
            <w:top w:w="0" w:type="dxa"/>
            <w:left w:w="0" w:type="dxa"/>
            <w:bottom w:w="0" w:type="dxa"/>
            <w:right w:w="0" w:type="dxa"/>
          </w:tblCellMar>
        </w:tblPrEx>
        <w:trPr>
          <w:trHeight w:val="385"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用事业基金弥补收支差额</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25</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结余分配</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52</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年初结转和结余</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26</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年末结转和结余</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53</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3027"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4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27</w:t>
            </w:r>
          </w:p>
        </w:tc>
        <w:tc>
          <w:tcPr>
            <w:tcW w:w="10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18"/>
                <w:szCs w:val="18"/>
              </w:rPr>
            </w:pPr>
            <w:r>
              <w:rPr>
                <w:rFonts w:hint="eastAsia" w:ascii="宋体" w:cs="宋体"/>
                <w:color w:val="000000"/>
                <w:sz w:val="18"/>
                <w:szCs w:val="18"/>
              </w:rPr>
              <w:t>907.63</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54</w:t>
            </w:r>
          </w:p>
        </w:tc>
        <w:tc>
          <w:tcPr>
            <w:tcW w:w="143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00" w:lineRule="exact"/>
              <w:jc w:val="right"/>
              <w:rPr>
                <w:rFonts w:ascii="宋体" w:cs="宋体"/>
                <w:color w:val="000000"/>
                <w:sz w:val="20"/>
                <w:szCs w:val="20"/>
              </w:rPr>
            </w:pPr>
            <w:r>
              <w:rPr>
                <w:rFonts w:hint="eastAsia" w:ascii="宋体" w:cs="宋体"/>
                <w:color w:val="000000"/>
                <w:sz w:val="20"/>
                <w:szCs w:val="20"/>
              </w:rPr>
              <w:t>907.63</w:t>
            </w: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00" w:lineRule="exact"/>
              <w:jc w:val="left"/>
              <w:textAlignment w:val="center"/>
              <w:rPr>
                <w:rFonts w:ascii="宋体" w:cs="宋体"/>
                <w:color w:val="000000"/>
                <w:szCs w:val="21"/>
              </w:rPr>
            </w:pPr>
            <w:r>
              <w:rPr>
                <w:rFonts w:hint="eastAsia" w:ascii="宋体" w:hAnsi="宋体" w:cs="宋体"/>
                <w:color w:val="000000"/>
                <w:kern w:val="0"/>
                <w:szCs w:val="21"/>
              </w:rPr>
              <w:t>注：本表反映部门本年度的总收支和年末结转结余情况。</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150" w:type="dxa"/>
        <w:jc w:val="center"/>
        <w:tblLayout w:type="fixed"/>
        <w:tblCellMar>
          <w:top w:w="0" w:type="dxa"/>
          <w:left w:w="0" w:type="dxa"/>
          <w:bottom w:w="0" w:type="dxa"/>
          <w:right w:w="0" w:type="dxa"/>
        </w:tblCellMar>
      </w:tblPr>
      <w:tblGrid>
        <w:gridCol w:w="335"/>
        <w:gridCol w:w="179"/>
        <w:gridCol w:w="520"/>
        <w:gridCol w:w="1851"/>
        <w:gridCol w:w="260"/>
        <w:gridCol w:w="90"/>
        <w:gridCol w:w="260"/>
        <w:gridCol w:w="371"/>
        <w:gridCol w:w="444"/>
        <w:gridCol w:w="231"/>
        <w:gridCol w:w="235"/>
        <w:gridCol w:w="337"/>
        <w:gridCol w:w="13"/>
        <w:gridCol w:w="465"/>
        <w:gridCol w:w="350"/>
        <w:gridCol w:w="92"/>
        <w:gridCol w:w="373"/>
        <w:gridCol w:w="350"/>
        <w:gridCol w:w="198"/>
        <w:gridCol w:w="920"/>
        <w:gridCol w:w="926"/>
        <w:gridCol w:w="350"/>
      </w:tblGrid>
      <w:tr>
        <w:tblPrEx>
          <w:tblCellMar>
            <w:top w:w="0" w:type="dxa"/>
            <w:left w:w="0" w:type="dxa"/>
            <w:bottom w:w="0" w:type="dxa"/>
            <w:right w:w="0" w:type="dxa"/>
          </w:tblCellMar>
        </w:tblPrEx>
        <w:trPr>
          <w:gridAfter w:val="1"/>
          <w:wAfter w:w="350" w:type="dxa"/>
          <w:trHeight w:val="754" w:hRule="atLeast"/>
          <w:jc w:val="center"/>
        </w:trPr>
        <w:tc>
          <w:tcPr>
            <w:tcW w:w="8800" w:type="dxa"/>
            <w:gridSpan w:val="21"/>
            <w:tcBorders>
              <w:top w:val="nil"/>
              <w:left w:val="nil"/>
              <w:bottom w:val="nil"/>
              <w:right w:val="nil"/>
            </w:tcBorders>
            <w:tcMar>
              <w:top w:w="15" w:type="dxa"/>
              <w:left w:w="15" w:type="dxa"/>
              <w:right w:w="15" w:type="dxa"/>
            </w:tcMar>
            <w:vAlign w:val="bottom"/>
          </w:tcPr>
          <w:p>
            <w:pPr>
              <w:pageBreakBefore w:val="0"/>
              <w:widowControl/>
              <w:kinsoku/>
              <w:wordWrap/>
              <w:overflowPunct/>
              <w:topLinePunct w:val="0"/>
              <w:bidi w:val="0"/>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收入决</w:t>
            </w:r>
            <w:r>
              <w:pict>
                <v:group id="组合 34" o:spid="_x0000_s1044" o:spt="203" style="position:absolute;left:0pt;margin-left:-82.75pt;margin-top:-81.1pt;height:41.2pt;width:243.2pt;mso-position-vertical-relative:page;z-index:251675648;mso-width-relative:page;mso-height-relative:page;" coordorigin="4551,52615" coordsize="8546,1398">
                  <o:lock v:ext="edit"/>
                  <v:rect id="矩形 13" o:spid="_x0000_s1045" o:spt="1" style="position:absolute;left:4551;top:52615;height:1175;width:8546;v-text-anchor:middle;" fillcolor="#96DA9D" filled="t" stroked="f" coordsize="21600,21600">
                    <v:path/>
                    <v:fill on="t" focussize="0,0"/>
                    <v:stroke on="f" weight="2pt"/>
                    <v:imagedata o:title=""/>
                    <o:lock v:ext="edit"/>
                  </v:rect>
                  <v:rect id="矩形 14" o:spid="_x0000_s104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算表</w:t>
            </w:r>
          </w:p>
        </w:tc>
      </w:tr>
      <w:tr>
        <w:tblPrEx>
          <w:tblCellMar>
            <w:top w:w="0" w:type="dxa"/>
            <w:left w:w="0" w:type="dxa"/>
            <w:bottom w:w="0" w:type="dxa"/>
            <w:right w:w="0" w:type="dxa"/>
          </w:tblCellMar>
        </w:tblPrEx>
        <w:trPr>
          <w:trHeight w:val="362" w:hRule="atLeast"/>
          <w:jc w:val="center"/>
        </w:trPr>
        <w:tc>
          <w:tcPr>
            <w:tcW w:w="335"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7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52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111"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9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6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6"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5"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394"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02</w:t>
            </w:r>
            <w:r>
              <w:rPr>
                <w:rFonts w:hint="eastAsia" w:ascii="宋体" w:hAnsi="宋体" w:cs="宋体"/>
                <w:color w:val="000000"/>
                <w:kern w:val="0"/>
                <w:szCs w:val="21"/>
              </w:rPr>
              <w:t>表</w:t>
            </w:r>
          </w:p>
        </w:tc>
      </w:tr>
      <w:tr>
        <w:tblPrEx>
          <w:tblCellMar>
            <w:top w:w="0" w:type="dxa"/>
            <w:left w:w="0" w:type="dxa"/>
            <w:bottom w:w="0" w:type="dxa"/>
            <w:right w:w="0" w:type="dxa"/>
          </w:tblCellMar>
        </w:tblPrEx>
        <w:trPr>
          <w:gridAfter w:val="1"/>
          <w:wAfter w:w="350" w:type="dxa"/>
          <w:trHeight w:val="362" w:hRule="atLeast"/>
          <w:jc w:val="center"/>
        </w:trPr>
        <w:tc>
          <w:tcPr>
            <w:tcW w:w="2885"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16"/>
                <w:szCs w:val="16"/>
                <w:lang w:eastAsia="zh-CN"/>
              </w:rPr>
              <w:t>中国共产党河北省阜平县纪律检查委员会</w:t>
            </w:r>
          </w:p>
        </w:tc>
        <w:tc>
          <w:tcPr>
            <w:tcW w:w="26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721"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910"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5"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15"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394"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gridAfter w:val="1"/>
          <w:wAfter w:w="350" w:type="dxa"/>
          <w:trHeight w:val="325" w:hRule="atLeast"/>
          <w:jc w:val="center"/>
        </w:trPr>
        <w:tc>
          <w:tcPr>
            <w:tcW w:w="3145" w:type="dxa"/>
            <w:gridSpan w:val="5"/>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项目</w:t>
            </w:r>
          </w:p>
        </w:tc>
        <w:tc>
          <w:tcPr>
            <w:tcW w:w="721" w:type="dxa"/>
            <w:gridSpan w:val="3"/>
            <w:vMerge w:val="restart"/>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675"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财政拨款收入</w:t>
            </w:r>
          </w:p>
        </w:tc>
        <w:tc>
          <w:tcPr>
            <w:tcW w:w="572" w:type="dxa"/>
            <w:gridSpan w:val="2"/>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上级补助收入</w:t>
            </w:r>
          </w:p>
        </w:tc>
        <w:tc>
          <w:tcPr>
            <w:tcW w:w="920" w:type="dxa"/>
            <w:gridSpan w:val="4"/>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事业收入</w:t>
            </w:r>
          </w:p>
        </w:tc>
        <w:tc>
          <w:tcPr>
            <w:tcW w:w="921" w:type="dxa"/>
            <w:gridSpan w:val="3"/>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经营收入</w:t>
            </w:r>
          </w:p>
        </w:tc>
        <w:tc>
          <w:tcPr>
            <w:tcW w:w="920" w:type="dxa"/>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附属单位上缴收入</w:t>
            </w:r>
          </w:p>
        </w:tc>
        <w:tc>
          <w:tcPr>
            <w:tcW w:w="926" w:type="dxa"/>
            <w:vMerge w:val="restart"/>
            <w:tcBorders>
              <w:top w:val="single" w:color="auto" w:sz="4" w:space="0"/>
              <w:left w:val="nil"/>
              <w:bottom w:val="single" w:color="auto" w:sz="4" w:space="0"/>
              <w:right w:val="single" w:color="auto"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其他收入</w:t>
            </w:r>
          </w:p>
        </w:tc>
      </w:tr>
      <w:tr>
        <w:tblPrEx>
          <w:tblCellMar>
            <w:top w:w="0" w:type="dxa"/>
            <w:left w:w="0" w:type="dxa"/>
            <w:bottom w:w="0" w:type="dxa"/>
            <w:right w:w="0" w:type="dxa"/>
          </w:tblCellMar>
        </w:tblPrEx>
        <w:trPr>
          <w:gridAfter w:val="1"/>
          <w:wAfter w:w="350" w:type="dxa"/>
          <w:trHeight w:val="626"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功能分类科目编码</w:t>
            </w:r>
          </w:p>
        </w:tc>
        <w:tc>
          <w:tcPr>
            <w:tcW w:w="2111" w:type="dxa"/>
            <w:gridSpan w:val="2"/>
            <w:tcBorders>
              <w:top w:val="nil"/>
              <w:left w:val="nil"/>
              <w:bottom w:val="single" w:color="000000" w:sz="4" w:space="0"/>
              <w:right w:val="single" w:color="auto"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科目名称</w:t>
            </w:r>
          </w:p>
        </w:tc>
        <w:tc>
          <w:tcPr>
            <w:tcW w:w="721" w:type="dxa"/>
            <w:gridSpan w:val="3"/>
            <w:vMerge w:val="continue"/>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 w:val="20"/>
                <w:szCs w:val="20"/>
              </w:rPr>
            </w:pPr>
          </w:p>
        </w:tc>
        <w:tc>
          <w:tcPr>
            <w:tcW w:w="675"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c>
          <w:tcPr>
            <w:tcW w:w="572" w:type="dxa"/>
            <w:gridSpan w:val="2"/>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c>
          <w:tcPr>
            <w:tcW w:w="920" w:type="dxa"/>
            <w:gridSpan w:val="4"/>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c>
          <w:tcPr>
            <w:tcW w:w="921" w:type="dxa"/>
            <w:gridSpan w:val="3"/>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c>
          <w:tcPr>
            <w:tcW w:w="920" w:type="dxa"/>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c>
          <w:tcPr>
            <w:tcW w:w="926" w:type="dxa"/>
            <w:vMerge w:val="continue"/>
            <w:tcBorders>
              <w:top w:val="single" w:color="auto" w:sz="4" w:space="0"/>
              <w:left w:val="nil"/>
              <w:bottom w:val="single" w:color="000000" w:sz="4" w:space="0"/>
              <w:right w:val="single" w:color="auto"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kern w:val="0"/>
                <w:sz w:val="20"/>
                <w:szCs w:val="20"/>
              </w:rPr>
            </w:pPr>
          </w:p>
        </w:tc>
      </w:tr>
      <w:tr>
        <w:tblPrEx>
          <w:tblCellMar>
            <w:top w:w="0" w:type="dxa"/>
            <w:left w:w="0" w:type="dxa"/>
            <w:bottom w:w="0" w:type="dxa"/>
            <w:right w:w="0" w:type="dxa"/>
          </w:tblCellMar>
        </w:tblPrEx>
        <w:trPr>
          <w:gridAfter w:val="1"/>
          <w:wAfter w:w="350" w:type="dxa"/>
          <w:trHeight w:val="391" w:hRule="atLeast"/>
          <w:jc w:val="center"/>
        </w:trPr>
        <w:tc>
          <w:tcPr>
            <w:tcW w:w="3145"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72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67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57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9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92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9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9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r>
      <w:tr>
        <w:tblPrEx>
          <w:tblCellMar>
            <w:top w:w="0" w:type="dxa"/>
            <w:left w:w="0" w:type="dxa"/>
            <w:bottom w:w="0" w:type="dxa"/>
            <w:right w:w="0" w:type="dxa"/>
          </w:tblCellMar>
        </w:tblPrEx>
        <w:trPr>
          <w:gridAfter w:val="1"/>
          <w:wAfter w:w="350" w:type="dxa"/>
          <w:trHeight w:val="90" w:hRule="atLeast"/>
          <w:jc w:val="center"/>
        </w:trPr>
        <w:tc>
          <w:tcPr>
            <w:tcW w:w="3145"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721"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r>
              <w:rPr>
                <w:rFonts w:hint="eastAsia" w:ascii="宋体" w:cs="宋体"/>
                <w:b/>
                <w:color w:val="000000"/>
                <w:sz w:val="18"/>
                <w:szCs w:val="18"/>
              </w:rPr>
              <w:t>907.63</w:t>
            </w:r>
          </w:p>
        </w:tc>
        <w:tc>
          <w:tcPr>
            <w:tcW w:w="675" w:type="dxa"/>
            <w:gridSpan w:val="2"/>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r>
              <w:rPr>
                <w:rFonts w:hint="eastAsia" w:ascii="宋体" w:cs="宋体"/>
                <w:b/>
                <w:color w:val="000000"/>
                <w:sz w:val="18"/>
                <w:szCs w:val="18"/>
              </w:rPr>
              <w:t>907.63</w:t>
            </w:r>
          </w:p>
        </w:tc>
        <w:tc>
          <w:tcPr>
            <w:tcW w:w="572" w:type="dxa"/>
            <w:gridSpan w:val="2"/>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p>
        </w:tc>
        <w:tc>
          <w:tcPr>
            <w:tcW w:w="920" w:type="dxa"/>
            <w:gridSpan w:val="4"/>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p>
        </w:tc>
        <w:tc>
          <w:tcPr>
            <w:tcW w:w="921"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p>
        </w:tc>
        <w:tc>
          <w:tcPr>
            <w:tcW w:w="920"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p>
        </w:tc>
        <w:tc>
          <w:tcPr>
            <w:tcW w:w="926"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 w:val="18"/>
                <w:szCs w:val="18"/>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一般公共服务支出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纪检监察事务</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行政运行</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2011102</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一般行政管理事务</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社会保障和就业支出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行政事业单位离退休</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2080504</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未归口管理的行政单位离退休</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2080505</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机关事业单位基本养老保险缴费支出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医疗卫生与计划生育支出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行政事业单位医疗</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2101101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行政单位医疗</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住房保障支出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住房改革支出</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371" w:hRule="atLeast"/>
          <w:jc w:val="center"/>
        </w:trPr>
        <w:tc>
          <w:tcPr>
            <w:tcW w:w="1034"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2210201</w:t>
            </w:r>
          </w:p>
        </w:tc>
        <w:tc>
          <w:tcPr>
            <w:tcW w:w="211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住房公积金</w:t>
            </w:r>
          </w:p>
        </w:tc>
        <w:tc>
          <w:tcPr>
            <w:tcW w:w="7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67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57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gridSpan w:val="4"/>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9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0" w:type="dxa"/>
          <w:trHeight w:val="481" w:hRule="atLeast"/>
          <w:jc w:val="center"/>
        </w:trPr>
        <w:tc>
          <w:tcPr>
            <w:tcW w:w="8800" w:type="dxa"/>
            <w:gridSpan w:val="21"/>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注：本表反映部门本年度取得的各项收入情况。</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357" w:type="dxa"/>
        <w:tblInd w:w="0" w:type="dxa"/>
        <w:tblLayout w:type="fixed"/>
        <w:tblCellMar>
          <w:top w:w="0" w:type="dxa"/>
          <w:left w:w="0" w:type="dxa"/>
          <w:bottom w:w="0" w:type="dxa"/>
          <w:right w:w="0" w:type="dxa"/>
        </w:tblCellMar>
      </w:tblPr>
      <w:tblGrid>
        <w:gridCol w:w="290"/>
        <w:gridCol w:w="289"/>
        <w:gridCol w:w="803"/>
        <w:gridCol w:w="1764"/>
        <w:gridCol w:w="267"/>
        <w:gridCol w:w="90"/>
        <w:gridCol w:w="761"/>
        <w:gridCol w:w="357"/>
        <w:gridCol w:w="397"/>
        <w:gridCol w:w="366"/>
        <w:gridCol w:w="357"/>
        <w:gridCol w:w="8"/>
        <w:gridCol w:w="753"/>
        <w:gridCol w:w="331"/>
        <w:gridCol w:w="26"/>
        <w:gridCol w:w="1057"/>
        <w:gridCol w:w="63"/>
        <w:gridCol w:w="1021"/>
        <w:gridCol w:w="357"/>
      </w:tblGrid>
      <w:tr>
        <w:tblPrEx>
          <w:tblCellMar>
            <w:top w:w="0" w:type="dxa"/>
            <w:left w:w="0" w:type="dxa"/>
            <w:bottom w:w="0" w:type="dxa"/>
            <w:right w:w="0" w:type="dxa"/>
          </w:tblCellMar>
        </w:tblPrEx>
        <w:trPr>
          <w:gridAfter w:val="1"/>
          <w:wAfter w:w="357" w:type="dxa"/>
          <w:trHeight w:val="798" w:hRule="atLeast"/>
        </w:trPr>
        <w:tc>
          <w:tcPr>
            <w:tcW w:w="9000" w:type="dxa"/>
            <w:gridSpan w:val="18"/>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黑体" w:hAnsi="宋体" w:eastAsia="黑体" w:cs="黑体"/>
                <w:color w:val="000000"/>
                <w:sz w:val="40"/>
                <w:szCs w:val="40"/>
              </w:rPr>
            </w:pPr>
            <w:r>
              <w:rPr>
                <w:rFonts w:hint="eastAsia" w:ascii="黑体" w:hAnsi="宋体" w:eastAsia="黑体" w:cs="黑体"/>
                <w:color w:val="000000"/>
                <w:kern w:val="0"/>
                <w:sz w:val="40"/>
                <w:szCs w:val="40"/>
              </w:rPr>
              <w:t>支出决算</w:t>
            </w:r>
            <w:r>
              <w:pict>
                <v:group id="组合 38" o:spid="_x0000_s1047" o:spt="203" style="position:absolute;left:0pt;margin-left:-80.9pt;margin-top:-81.1pt;height:41.2pt;width:243.2pt;mso-position-vertical-relative:page;z-index:251676672;mso-width-relative:page;mso-height-relative:page;" coordorigin="4551,52615" coordsize="8546,1398">
                  <o:lock v:ext="edit"/>
                  <v:rect id="矩形 13" o:spid="_x0000_s1048" o:spt="1" style="position:absolute;left:4551;top:52615;height:1175;width:8546;v-text-anchor:middle;" fillcolor="#96DA9D" filled="t" stroked="f" coordsize="21600,21600">
                    <v:path/>
                    <v:fill on="t" focussize="0,0"/>
                    <v:stroke on="f" weight="2pt"/>
                    <v:imagedata o:title=""/>
                    <o:lock v:ext="edit"/>
                  </v:rect>
                  <v:rect id="矩形 14" o:spid="_x0000_s10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表</w:t>
            </w:r>
          </w:p>
        </w:tc>
      </w:tr>
      <w:tr>
        <w:tblPrEx>
          <w:tblCellMar>
            <w:top w:w="0" w:type="dxa"/>
            <w:left w:w="0" w:type="dxa"/>
            <w:bottom w:w="0" w:type="dxa"/>
            <w:right w:w="0" w:type="dxa"/>
          </w:tblCellMar>
        </w:tblPrEx>
        <w:trPr>
          <w:trHeight w:val="404" w:hRule="atLeast"/>
        </w:trPr>
        <w:tc>
          <w:tcPr>
            <w:tcW w:w="29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8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803"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031"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9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18"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20"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18"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20"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378"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03</w:t>
            </w:r>
            <w:r>
              <w:rPr>
                <w:rFonts w:hint="eastAsia" w:ascii="宋体" w:hAnsi="宋体" w:cs="宋体"/>
                <w:color w:val="000000"/>
                <w:kern w:val="0"/>
                <w:szCs w:val="21"/>
              </w:rPr>
              <w:t>表</w:t>
            </w:r>
          </w:p>
        </w:tc>
      </w:tr>
      <w:tr>
        <w:tblPrEx>
          <w:tblCellMar>
            <w:top w:w="0" w:type="dxa"/>
            <w:left w:w="0" w:type="dxa"/>
            <w:bottom w:w="0" w:type="dxa"/>
            <w:right w:w="0" w:type="dxa"/>
          </w:tblCellMar>
        </w:tblPrEx>
        <w:trPr>
          <w:gridAfter w:val="1"/>
          <w:wAfter w:w="357" w:type="dxa"/>
          <w:trHeight w:val="380" w:hRule="atLeast"/>
        </w:trPr>
        <w:tc>
          <w:tcPr>
            <w:tcW w:w="3146"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16"/>
                <w:szCs w:val="16"/>
                <w:lang w:eastAsia="zh-CN"/>
              </w:rPr>
              <w:t>中国共产党河北省阜平县纪律检查委员会</w:t>
            </w:r>
          </w:p>
        </w:tc>
        <w:tc>
          <w:tcPr>
            <w:tcW w:w="1118"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20"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118"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498" w:type="dxa"/>
            <w:gridSpan w:val="5"/>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gridAfter w:val="1"/>
          <w:wAfter w:w="357" w:type="dxa"/>
          <w:trHeight w:val="837" w:hRule="atLeast"/>
        </w:trPr>
        <w:tc>
          <w:tcPr>
            <w:tcW w:w="3413"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851" w:type="dxa"/>
            <w:gridSpan w:val="2"/>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本年支出合计</w:t>
            </w:r>
          </w:p>
        </w:tc>
        <w:tc>
          <w:tcPr>
            <w:tcW w:w="754" w:type="dxa"/>
            <w:gridSpan w:val="2"/>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731" w:type="dxa"/>
            <w:gridSpan w:val="3"/>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c>
          <w:tcPr>
            <w:tcW w:w="1084" w:type="dxa"/>
            <w:gridSpan w:val="2"/>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上缴上级支出</w:t>
            </w:r>
          </w:p>
        </w:tc>
        <w:tc>
          <w:tcPr>
            <w:tcW w:w="1083" w:type="dxa"/>
            <w:gridSpan w:val="2"/>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经营支出</w:t>
            </w:r>
          </w:p>
        </w:tc>
        <w:tc>
          <w:tcPr>
            <w:tcW w:w="1084" w:type="dxa"/>
            <w:gridSpan w:val="2"/>
            <w:vMerge w:val="restart"/>
            <w:tcBorders>
              <w:top w:val="single" w:color="000000" w:sz="4" w:space="0"/>
              <w:left w:val="nil"/>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对附属单位补助支出</w:t>
            </w:r>
          </w:p>
        </w:tc>
      </w:tr>
      <w:tr>
        <w:tblPrEx>
          <w:tblCellMar>
            <w:top w:w="0" w:type="dxa"/>
            <w:left w:w="0" w:type="dxa"/>
            <w:bottom w:w="0" w:type="dxa"/>
            <w:right w:w="0" w:type="dxa"/>
          </w:tblCellMar>
        </w:tblPrEx>
        <w:trPr>
          <w:gridAfter w:val="1"/>
          <w:wAfter w:w="357" w:type="dxa"/>
          <w:trHeight w:val="782"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851"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754"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731" w:type="dxa"/>
            <w:gridSpan w:val="3"/>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084"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083"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084"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r>
      <w:tr>
        <w:tblPrEx>
          <w:tblCellMar>
            <w:top w:w="0" w:type="dxa"/>
            <w:left w:w="0" w:type="dxa"/>
            <w:bottom w:w="0" w:type="dxa"/>
            <w:right w:w="0" w:type="dxa"/>
          </w:tblCellMar>
        </w:tblPrEx>
        <w:trPr>
          <w:gridAfter w:val="1"/>
          <w:wAfter w:w="357" w:type="dxa"/>
          <w:trHeight w:val="395" w:hRule="atLeast"/>
        </w:trPr>
        <w:tc>
          <w:tcPr>
            <w:tcW w:w="3413"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4</w:t>
            </w: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5</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gridAfter w:val="1"/>
          <w:wAfter w:w="357" w:type="dxa"/>
          <w:trHeight w:val="440" w:hRule="atLeast"/>
        </w:trPr>
        <w:tc>
          <w:tcPr>
            <w:tcW w:w="3413"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合计</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907.63</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490.80</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416.83</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一般公共服务支出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纪检监察事务</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行政运行</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2011102</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一般行政管理事务</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社会保障和就业支出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行政事业单位离退休</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2080504</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未归口管理的行政单位离退休</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2080505</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机关事业单位基本养老保险缴费支出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医疗卫生与计划生育支出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行政事业单位医疗</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2101101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行政单位医疗</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住房保障支出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住房改革支出</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468" w:hRule="atLeast"/>
        </w:trPr>
        <w:tc>
          <w:tcPr>
            <w:tcW w:w="138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2210201</w:t>
            </w:r>
          </w:p>
        </w:tc>
        <w:tc>
          <w:tcPr>
            <w:tcW w:w="203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住房公积金</w:t>
            </w:r>
          </w:p>
        </w:tc>
        <w:tc>
          <w:tcPr>
            <w:tcW w:w="851"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5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731" w:type="dxa"/>
            <w:gridSpan w:val="3"/>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3"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084"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357" w:type="dxa"/>
          <w:trHeight w:val="748" w:hRule="atLeast"/>
        </w:trPr>
        <w:tc>
          <w:tcPr>
            <w:tcW w:w="9000" w:type="dxa"/>
            <w:gridSpan w:val="18"/>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注：本表反映部门本年度各项支出情况。</w:t>
            </w:r>
          </w:p>
        </w:tc>
      </w:tr>
    </w:tbl>
    <w:p>
      <w:pPr>
        <w:pageBreakBefore w:val="0"/>
        <w:widowControl/>
        <w:kinsoku/>
        <w:wordWrap/>
        <w:overflowPunct/>
        <w:topLinePunct w:val="0"/>
        <w:bidi w:val="0"/>
        <w:spacing w:after="0" w:line="560" w:lineRule="exact"/>
        <w:ind w:firstLine="562" w:firstLineChars="200"/>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财政拨款收入支出决</w:t>
            </w:r>
            <w:r>
              <w:pict>
                <v:group id="组合 43" o:spid="_x0000_s1050" o:spt="203" style="position:absolute;left:0pt;margin-left:-80.9pt;margin-top:-81.1pt;height:41.2pt;width:243.2pt;mso-position-vertical-relative:page;z-index:251677696;mso-width-relative:page;mso-height-relative:page;" coordorigin="4551,52615" coordsize="8546,1398">
                  <o:lock v:ext="edit"/>
                  <v:rect id="矩形 13" o:spid="_x0000_s1051" o:spt="1" style="position:absolute;left:4551;top:52615;height:1175;width:8546;v-text-anchor:middle;" fillcolor="#96DA9D" filled="t" stroked="f" coordsize="21600,21600">
                    <v:path/>
                    <v:fill on="t" focussize="0,0"/>
                    <v:stroke on="f" weight="2pt"/>
                    <v:imagedata o:title=""/>
                    <o:lock v:ext="edit"/>
                  </v:rect>
                  <v:rect id="矩形 14" o:spid="_x0000_s105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745"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325"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2974"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551"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65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82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1153"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20"/>
                <w:szCs w:val="20"/>
              </w:rPr>
            </w:pPr>
            <w:r>
              <w:rPr>
                <w:rFonts w:hint="eastAsia" w:ascii="宋体" w:hAnsi="宋体" w:cs="宋体"/>
                <w:color w:val="000000"/>
                <w:kern w:val="0"/>
                <w:sz w:val="20"/>
                <w:szCs w:val="20"/>
              </w:rPr>
              <w:t>部门：</w:t>
            </w:r>
            <w:r>
              <w:rPr>
                <w:rFonts w:hint="eastAsia" w:ascii="宋体" w:hAnsi="宋体" w:cs="宋体"/>
                <w:color w:val="000000"/>
                <w:kern w:val="0"/>
                <w:sz w:val="16"/>
                <w:szCs w:val="16"/>
                <w:lang w:eastAsia="zh-CN"/>
              </w:rPr>
              <w:t>中国共产党河北省阜平县纪律检查委员会</w:t>
            </w:r>
          </w:p>
        </w:tc>
        <w:tc>
          <w:tcPr>
            <w:tcW w:w="65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 w:val="20"/>
                <w:szCs w:val="20"/>
              </w:rPr>
            </w:pPr>
          </w:p>
        </w:tc>
        <w:tc>
          <w:tcPr>
            <w:tcW w:w="1978" w:type="dxa"/>
            <w:gridSpan w:val="4"/>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收入</w:t>
            </w:r>
          </w:p>
        </w:tc>
        <w:tc>
          <w:tcPr>
            <w:tcW w:w="6153" w:type="dxa"/>
            <w:gridSpan w:val="9"/>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支出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金额</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一般公共预算财政拨款</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 w:val="18"/>
                <w:szCs w:val="18"/>
              </w:rPr>
            </w:pP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一、一般公共预算财政拨款</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一、一般公共服务支出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29</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806.16</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806.16</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二、政府性基金预算财政拨款</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二、外交支出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30</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三、国防支出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31</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四、公共安全支出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32</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五、教育支出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33</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六、科学技术支出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34</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七、文化体育与传媒支出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35</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8</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八、社会保障和就业支出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36</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58.36</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58.36</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9</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6"/>
                <w:szCs w:val="16"/>
              </w:rPr>
              <w:t>九、医疗卫生与计划生育支出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37</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15.79</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15.79</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10</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十、节能环保支出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38</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11</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十一、城乡社区支出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39</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12</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十二、农林水支出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40</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13</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十三、交通运输支出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41</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14</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十四、资源勘探信息等支出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42</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15</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十五、商业服务业等支出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43</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16</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十六、金融支出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44</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17</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十七、援助其他地区支出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45</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18</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十八、国土海洋气象等支出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46</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19</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十九、住房保障支出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47</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27.32</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27.32</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20</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二十、粮油物资储备支出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48</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21</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二十一、其他支出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49</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22</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二十二、债务还本支出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50</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23</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二十三、债务付息支出</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51</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本年收入合计</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24</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本年支出合计</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52</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年初财政拨款结转和结余</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25</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年末财政拨款结转和结余</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53</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一般公共预算财政拨款</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26</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54</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政府性基金预算财政拨款</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27</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55</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28</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56</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r>
              <w:rPr>
                <w:rFonts w:hint="eastAsia" w:ascii="宋体" w:cs="宋体"/>
                <w:color w:val="000000"/>
                <w:sz w:val="18"/>
                <w:szCs w:val="18"/>
              </w:rPr>
              <w:t>907.63</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注：本表反映部门本年度一般公共预算财政拨款和政府性基金预算财政拨款的总收支和年末结转结余情况。</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60" w:type="dxa"/>
        <w:tblInd w:w="0" w:type="dxa"/>
        <w:tblLayout w:type="fixed"/>
        <w:tblCellMar>
          <w:top w:w="0" w:type="dxa"/>
          <w:left w:w="0" w:type="dxa"/>
          <w:bottom w:w="0" w:type="dxa"/>
          <w:right w:w="0" w:type="dxa"/>
        </w:tblCellMar>
      </w:tblPr>
      <w:tblGrid>
        <w:gridCol w:w="317"/>
        <w:gridCol w:w="319"/>
        <w:gridCol w:w="357"/>
        <w:gridCol w:w="2109"/>
        <w:gridCol w:w="745"/>
        <w:gridCol w:w="841"/>
        <w:gridCol w:w="1051"/>
        <w:gridCol w:w="1201"/>
        <w:gridCol w:w="1920"/>
      </w:tblGrid>
      <w:tr>
        <w:tblPrEx>
          <w:tblCellMar>
            <w:top w:w="0" w:type="dxa"/>
            <w:left w:w="0" w:type="dxa"/>
            <w:bottom w:w="0" w:type="dxa"/>
            <w:right w:w="0" w:type="dxa"/>
          </w:tblCellMar>
        </w:tblPrEx>
        <w:trPr>
          <w:trHeight w:val="600" w:hRule="atLeast"/>
        </w:trPr>
        <w:tc>
          <w:tcPr>
            <w:tcW w:w="8860" w:type="dxa"/>
            <w:gridSpan w:val="9"/>
            <w:tcBorders>
              <w:top w:val="nil"/>
              <w:left w:val="nil"/>
              <w:bottom w:val="nil"/>
              <w:right w:val="nil"/>
            </w:tcBorders>
            <w:tcMar>
              <w:top w:w="15" w:type="dxa"/>
              <w:left w:w="15" w:type="dxa"/>
              <w:right w:w="15" w:type="dxa"/>
            </w:tcMar>
            <w:vAlign w:val="bottom"/>
          </w:tcPr>
          <w:p>
            <w:pPr>
              <w:pageBreakBefore w:val="0"/>
              <w:widowControl/>
              <w:kinsoku/>
              <w:wordWrap/>
              <w:overflowPunct/>
              <w:topLinePunct w:val="0"/>
              <w:bidi w:val="0"/>
              <w:spacing w:after="0" w:line="240" w:lineRule="auto"/>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w:t>
            </w:r>
            <w:r>
              <w:pict>
                <v:group id="组合 46" o:spid="_x0000_s1053" o:spt="203" style="position:absolute;left:0pt;margin-left:-80.9pt;margin-top:-81.1pt;height:41.2pt;width:243.2pt;mso-position-vertical-relative:page;z-index:251678720;mso-width-relative:page;mso-height-relative:page;" coordorigin="4551,52615" coordsize="8546,1398">
                  <o:lock v:ext="edit"/>
                  <v:rect id="矩形 13" o:spid="_x0000_s1054" o:spt="1" style="position:absolute;left:4551;top:52615;height:1175;width:8546;v-text-anchor:middle;" fillcolor="#96DA9D" filled="t" stroked="f" coordsize="21600,21600">
                    <v:path/>
                    <v:fill on="t" focussize="0,0"/>
                    <v:stroke on="f" weight="2pt"/>
                    <v:imagedata o:title=""/>
                    <o:lock v:ext="edit"/>
                  </v:rect>
                  <v:rect id="矩形 14" o:spid="_x0000_s105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4" w:hRule="atLeast"/>
        </w:trPr>
        <w:tc>
          <w:tcPr>
            <w:tcW w:w="31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31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35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210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745"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1892"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3121"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05</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34" w:hRule="atLeast"/>
        </w:trPr>
        <w:tc>
          <w:tcPr>
            <w:tcW w:w="3847" w:type="dxa"/>
            <w:gridSpan w:val="5"/>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16"/>
                <w:szCs w:val="16"/>
                <w:lang w:eastAsia="zh-CN"/>
              </w:rPr>
              <w:t>中国共产党河北省阜平县纪律检查委员会</w:t>
            </w:r>
          </w:p>
        </w:tc>
        <w:tc>
          <w:tcPr>
            <w:tcW w:w="1892"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rPr>
                <w:rFonts w:ascii="Arial" w:hAnsi="Arial" w:cs="Arial"/>
                <w:color w:val="000000"/>
                <w:szCs w:val="21"/>
              </w:rPr>
            </w:pPr>
          </w:p>
        </w:tc>
        <w:tc>
          <w:tcPr>
            <w:tcW w:w="3121"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51" w:hRule="atLeast"/>
        </w:trPr>
        <w:tc>
          <w:tcPr>
            <w:tcW w:w="310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5758" w:type="dxa"/>
            <w:gridSpan w:val="5"/>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w:t>
            </w:r>
          </w:p>
        </w:tc>
      </w:tr>
      <w:tr>
        <w:tblPrEx>
          <w:tblCellMar>
            <w:top w:w="0" w:type="dxa"/>
            <w:left w:w="0" w:type="dxa"/>
            <w:bottom w:w="0" w:type="dxa"/>
            <w:right w:w="0" w:type="dxa"/>
          </w:tblCellMar>
        </w:tblPrEx>
        <w:trPr>
          <w:trHeight w:val="334" w:hRule="atLeast"/>
        </w:trPr>
        <w:tc>
          <w:tcPr>
            <w:tcW w:w="993"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2109"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1586"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小计</w:t>
            </w:r>
          </w:p>
        </w:tc>
        <w:tc>
          <w:tcPr>
            <w:tcW w:w="2252"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1920"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r>
      <w:tr>
        <w:tblPrEx>
          <w:tblCellMar>
            <w:top w:w="0" w:type="dxa"/>
            <w:left w:w="0" w:type="dxa"/>
            <w:bottom w:w="0" w:type="dxa"/>
            <w:right w:w="0" w:type="dxa"/>
          </w:tblCellMar>
        </w:tblPrEx>
        <w:trPr>
          <w:trHeight w:val="334"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2109"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586"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2252"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920"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2109"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586"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2252"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c>
          <w:tcPr>
            <w:tcW w:w="1920"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rPr>
                <w:rFonts w:ascii="宋体" w:cs="宋体"/>
                <w:color w:val="000000"/>
                <w:szCs w:val="21"/>
              </w:rPr>
            </w:pP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center"/>
              <w:textAlignment w:val="center"/>
              <w:rPr>
                <w:rFonts w:ascii="宋体" w:cs="宋体"/>
                <w:color w:val="000000"/>
                <w:szCs w:val="21"/>
              </w:rPr>
            </w:pPr>
            <w:r>
              <w:rPr>
                <w:rFonts w:hint="eastAsia" w:ascii="宋体" w:hAnsi="宋体" w:cs="宋体"/>
                <w:color w:val="000000"/>
                <w:kern w:val="0"/>
                <w:szCs w:val="21"/>
              </w:rPr>
              <w:t>合计</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907.63</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490.80</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b/>
                <w:color w:val="000000"/>
                <w:szCs w:val="21"/>
              </w:rPr>
            </w:pPr>
            <w:r>
              <w:rPr>
                <w:rFonts w:hint="eastAsia" w:ascii="宋体" w:cs="宋体"/>
                <w:b/>
                <w:color w:val="000000"/>
                <w:szCs w:val="21"/>
              </w:rPr>
              <w:t>416.83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一般公共服务支出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纪检监察事务</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806.16</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行政运行</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389.33</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2011102</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一般行政管理事务</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416.83</w:t>
            </w: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社会保障和就业支出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行政事业单位离退休</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58.36</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2080504</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未归口管理的行政单位离退休</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15.01</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2080505</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机关事业单位基本养老保险缴费支出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43.36</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医疗卫生与计划生育支出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行政事业单位医疗</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2101101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行政单位医疗</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15.79</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住房保障支出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住房改革支出</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2210201</w:t>
            </w:r>
          </w:p>
        </w:tc>
        <w:tc>
          <w:tcPr>
            <w:tcW w:w="210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left"/>
              <w:rPr>
                <w:rFonts w:ascii="宋体" w:cs="宋体"/>
                <w:color w:val="000000"/>
                <w:szCs w:val="21"/>
              </w:rPr>
            </w:pPr>
            <w:r>
              <w:rPr>
                <w:rFonts w:hint="eastAsia" w:ascii="宋体" w:cs="宋体"/>
                <w:color w:val="000000"/>
                <w:szCs w:val="21"/>
              </w:rPr>
              <w:t>住房公积金</w:t>
            </w:r>
          </w:p>
        </w:tc>
        <w:tc>
          <w:tcPr>
            <w:tcW w:w="1586"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22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r>
              <w:rPr>
                <w:rFonts w:hint="eastAsia" w:ascii="宋体" w:cs="宋体"/>
                <w:color w:val="000000"/>
                <w:szCs w:val="21"/>
              </w:rPr>
              <w:t>27.32</w:t>
            </w:r>
          </w:p>
        </w:tc>
        <w:tc>
          <w:tcPr>
            <w:tcW w:w="192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68" w:hRule="atLeast"/>
        </w:trPr>
        <w:tc>
          <w:tcPr>
            <w:tcW w:w="8860" w:type="dxa"/>
            <w:gridSpan w:val="9"/>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注：本表反映部门本年度一般公共预算财政拨款收入及支出情况。</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CellMar>
            <w:top w:w="0" w:type="dxa"/>
            <w:left w:w="0" w:type="dxa"/>
            <w:bottom w:w="0" w:type="dxa"/>
            <w:right w:w="0" w:type="dxa"/>
          </w:tblCellMar>
        </w:tblPrEx>
        <w:trPr>
          <w:trHeight w:val="526" w:hRule="atLeast"/>
          <w:jc w:val="center"/>
        </w:trPr>
        <w:tc>
          <w:tcPr>
            <w:tcW w:w="9180" w:type="dxa"/>
            <w:gridSpan w:val="9"/>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一般公共预算财政拨款基本支出决算表</w:t>
            </w:r>
          </w:p>
        </w:tc>
      </w:tr>
      <w:tr>
        <w:tblPrEx>
          <w:tblCellMar>
            <w:top w:w="0" w:type="dxa"/>
            <w:left w:w="0" w:type="dxa"/>
            <w:bottom w:w="0" w:type="dxa"/>
            <w:right w:w="0" w:type="dxa"/>
          </w:tblCellMar>
        </w:tblPrEx>
        <w:trPr>
          <w:trHeight w:val="269" w:hRule="atLeast"/>
          <w:jc w:val="center"/>
        </w:trPr>
        <w:tc>
          <w:tcPr>
            <w:tcW w:w="558"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159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84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47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1763"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74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56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264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06</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269" w:hRule="atLeast"/>
          <w:jc w:val="center"/>
        </w:trPr>
        <w:tc>
          <w:tcPr>
            <w:tcW w:w="5235" w:type="dxa"/>
            <w:gridSpan w:val="5"/>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部门：</w:t>
            </w:r>
            <w:r>
              <w:rPr>
                <w:rFonts w:hint="eastAsia" w:ascii="宋体" w:hAnsi="宋体" w:cs="宋体"/>
                <w:color w:val="000000"/>
                <w:kern w:val="0"/>
                <w:sz w:val="16"/>
                <w:szCs w:val="16"/>
                <w:lang w:eastAsia="zh-CN"/>
              </w:rPr>
              <w:t>中国共产党河北省阜平县纪律检查委员会</w:t>
            </w:r>
            <w:r>
              <w:pict>
                <v:group id="组合 49" o:spid="_x0000_s1056" o:spt="203" style="position:absolute;left:0pt;margin-left:-73.25pt;margin-top:-129.4pt;height:41.2pt;width:243.2pt;mso-position-vertical-relative:page;z-index:251679744;mso-width-relative:page;mso-height-relative:page;" coordorigin="4551,52615" coordsize="8546,1398">
                  <o:lock v:ext="edit"/>
                  <v:rect id="矩形 13" o:spid="_x0000_s1057" o:spt="1" style="position:absolute;left:4551;top:52615;height:1175;width:8546;v-text-anchor:middle;" fillcolor="#96DA9D" filled="t" stroked="f" coordsize="21600,21600">
                    <v:path/>
                    <v:fill on="t" focussize="0,0"/>
                    <v:stroke on="f" weight="2pt"/>
                    <v:imagedata o:title=""/>
                    <o:lock v:ext="edit"/>
                  </v:rect>
                  <v:rect id="矩形 14" o:spid="_x0000_s105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tc>
        <w:tc>
          <w:tcPr>
            <w:tcW w:w="74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56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264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277" w:hRule="atLeast"/>
          <w:jc w:val="center"/>
        </w:trPr>
        <w:tc>
          <w:tcPr>
            <w:tcW w:w="299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人员经费</w:t>
            </w:r>
          </w:p>
        </w:tc>
        <w:tc>
          <w:tcPr>
            <w:tcW w:w="6185" w:type="dxa"/>
            <w:gridSpan w:val="6"/>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公用经费</w:t>
            </w:r>
          </w:p>
        </w:tc>
      </w:tr>
      <w:tr>
        <w:tblPrEx>
          <w:tblCellMar>
            <w:top w:w="0" w:type="dxa"/>
            <w:left w:w="0" w:type="dxa"/>
            <w:bottom w:w="0" w:type="dxa"/>
            <w:right w:w="0" w:type="dxa"/>
          </w:tblCellMar>
        </w:tblPrEx>
        <w:trPr>
          <w:trHeight w:val="312" w:hRule="atLeast"/>
          <w:jc w:val="center"/>
        </w:trPr>
        <w:tc>
          <w:tcPr>
            <w:tcW w:w="558"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597"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40"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477"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63"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740"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560"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88"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57"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312" w:hRule="atLeast"/>
          <w:jc w:val="center"/>
        </w:trPr>
        <w:tc>
          <w:tcPr>
            <w:tcW w:w="558"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1597"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840"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477"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1763"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740"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560"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1788"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c>
          <w:tcPr>
            <w:tcW w:w="857"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rPr>
                <w:rFonts w:ascii="宋体" w:cs="宋体"/>
                <w:color w:val="000000"/>
                <w:sz w:val="22"/>
                <w:szCs w:val="22"/>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工资福利支出</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362.23</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商品和服务支出</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115.94</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债务利息及费用支出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基本工资</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176.84</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办公费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5.05</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国内债务付息</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津贴补贴</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77.54</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印刷费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4.00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国外债务付息</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奖金</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21.00</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咨询费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资本性支出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30106</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伙食补助费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手续费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房屋建筑物购建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30107</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绩效工资</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水费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办公设备购置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30108</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机关事业单位基本养老保险缴费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43.36</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电费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专用设备购置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职业年金缴费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邮电费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19.90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31005</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基础设施建设</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30110</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职工基本医疗保险缴费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15.79</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取暖费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2.95</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大型修缮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公务员医疗补助缴费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物业管理费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14.16</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信息网络及软件购置更新</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其他社会保障缴费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差旅费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6.10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物资储备</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住房公积金</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27.32</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因公出国（境）费用</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土地补偿</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30114</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医疗费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维修（护）费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1.00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安置补助</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30199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其他工资福利支出</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0.39</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租赁费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地上附着物和青苗补偿</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对个人和家庭的补助</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12.63</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会议费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1.00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拆迁补偿</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30301</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离休费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培训费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公务用车购置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30302</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退休费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0.94</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公务接待费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0.70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其他交通工具购置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30303</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退职（役）费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专用材料费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文物和陈列品购置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30304</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抚恤金</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被装购置费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无形资产购置</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30305</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生活补助</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3.05</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专用燃料费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其他资本性支出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30306</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救济费</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劳务费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30307</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医疗费补助</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委托业务费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赠与</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30308</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助学金</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工会经费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国家赔偿费用支出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0"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奖励金</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8.50</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福利费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对民间非营利组织和群众性自治组织补贴</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30310</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个人农业生产补贴</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公务用车运行维护费</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32.00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30399</w:t>
            </w: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其他对个人和家庭的补助支出</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0.15</w:t>
            </w: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其他交通费用</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27.79</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30240</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税金及附加费用</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159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30299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其他商品和服务支出</w:t>
            </w:r>
          </w:p>
        </w:tc>
        <w:tc>
          <w:tcPr>
            <w:tcW w:w="7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1.30</w:t>
            </w:r>
          </w:p>
        </w:tc>
        <w:tc>
          <w:tcPr>
            <w:tcW w:w="56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317" w:hRule="atLeast"/>
          <w:jc w:val="center"/>
        </w:trPr>
        <w:tc>
          <w:tcPr>
            <w:tcW w:w="2155"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人员经费合计</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r>
              <w:rPr>
                <w:rFonts w:hint="eastAsia" w:ascii="宋体" w:cs="宋体"/>
                <w:color w:val="000000"/>
                <w:sz w:val="16"/>
                <w:szCs w:val="16"/>
              </w:rPr>
              <w:t>374.86</w:t>
            </w:r>
          </w:p>
        </w:tc>
        <w:tc>
          <w:tcPr>
            <w:tcW w:w="5328" w:type="dxa"/>
            <w:gridSpan w:val="5"/>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公用经费合计</w:t>
            </w:r>
          </w:p>
        </w:tc>
        <w:tc>
          <w:tcPr>
            <w:tcW w:w="857"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napToGrid w:val="0"/>
              <w:spacing w:after="0" w:line="240" w:lineRule="auto"/>
              <w:jc w:val="right"/>
              <w:rPr>
                <w:rFonts w:ascii="宋体" w:cs="宋体"/>
                <w:color w:val="000000"/>
                <w:sz w:val="16"/>
                <w:szCs w:val="16"/>
              </w:rPr>
            </w:pPr>
          </w:p>
        </w:tc>
      </w:tr>
      <w:tr>
        <w:tblPrEx>
          <w:tblCellMar>
            <w:top w:w="0" w:type="dxa"/>
            <w:left w:w="0" w:type="dxa"/>
            <w:bottom w:w="0" w:type="dxa"/>
            <w:right w:w="0" w:type="dxa"/>
          </w:tblCellMar>
        </w:tblPrEx>
        <w:trPr>
          <w:trHeight w:val="277" w:hRule="atLeast"/>
          <w:jc w:val="center"/>
        </w:trPr>
        <w:tc>
          <w:tcPr>
            <w:tcW w:w="9180" w:type="dxa"/>
            <w:gridSpan w:val="9"/>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注：本表反映部门本年度一般公共预算财政拨款基本支出明细情况。</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w:t>
            </w:r>
            <w:r>
              <w:pict>
                <v:group id="组合 52" o:spid="_x0000_s1059" o:spt="203" style="position:absolute;left:0pt;margin-left:-82.75pt;margin-top:-81.1pt;height:41.2pt;width:243.2pt;mso-position-vertical-relative:page;z-index:251680768;mso-width-relative:page;mso-height-relative:page;" coordorigin="4551,52615" coordsize="8546,1398">
                  <o:lock v:ext="edit"/>
                  <v:rect id="矩形 13" o:spid="_x0000_s1060" o:spt="1" style="position:absolute;left:4551;top:52615;height:1175;width:8546;v-text-anchor:middle;" fillcolor="#96DA9D" filled="t" stroked="f" coordsize="21600,21600">
                    <v:path/>
                    <v:fill on="t" focussize="0,0"/>
                    <v:stroke on="f" weight="2pt"/>
                    <v:imagedata o:title=""/>
                    <o:lock v:ext="edit"/>
                  </v:rect>
                  <v:rect id="矩形 14" o:spid="_x0000_s106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07</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部门：</w:t>
            </w:r>
            <w:r>
              <w:rPr>
                <w:rFonts w:hint="eastAsia" w:ascii="宋体" w:hAnsi="宋体" w:cs="宋体"/>
                <w:color w:val="000000"/>
                <w:kern w:val="0"/>
                <w:sz w:val="16"/>
                <w:szCs w:val="16"/>
                <w:lang w:eastAsia="zh-CN"/>
              </w:rPr>
              <w:t>中国共产党河北省阜平县纪律检查委员会</w:t>
            </w:r>
          </w:p>
        </w:tc>
        <w:tc>
          <w:tcPr>
            <w:tcW w:w="1527"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62.70</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32.00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32.00</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30.70</w:t>
            </w: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7</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8</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9</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62.70</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32.00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32.00</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r>
              <w:rPr>
                <w:rFonts w:hint="eastAsia" w:ascii="宋体" w:cs="宋体"/>
                <w:color w:val="000000"/>
                <w:szCs w:val="21"/>
              </w:rPr>
              <w:t>30.70</w:t>
            </w: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注：本表反映部门本年度“三公”经费支出预决算情况。其中：预算数为“三公”经费年初预算数，决算数是包括当年一般公共预算财政拨款和以前年度结转资金安排的实际支出。</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60" w:type="dxa"/>
        <w:tblInd w:w="0" w:type="dxa"/>
        <w:tblLayout w:type="fixed"/>
        <w:tblCellMar>
          <w:top w:w="0" w:type="dxa"/>
          <w:left w:w="0" w:type="dxa"/>
          <w:bottom w:w="0" w:type="dxa"/>
          <w:right w:w="0" w:type="dxa"/>
        </w:tblCellMar>
      </w:tblPr>
      <w:tblGrid>
        <w:gridCol w:w="296"/>
        <w:gridCol w:w="191"/>
        <w:gridCol w:w="479"/>
        <w:gridCol w:w="669"/>
        <w:gridCol w:w="376"/>
        <w:gridCol w:w="1166"/>
        <w:gridCol w:w="840"/>
        <w:gridCol w:w="1191"/>
        <w:gridCol w:w="1192"/>
        <w:gridCol w:w="1192"/>
        <w:gridCol w:w="1268"/>
      </w:tblGrid>
      <w:tr>
        <w:tblPrEx>
          <w:tblCellMar>
            <w:top w:w="0" w:type="dxa"/>
            <w:left w:w="0" w:type="dxa"/>
            <w:bottom w:w="0" w:type="dxa"/>
            <w:right w:w="0" w:type="dxa"/>
          </w:tblCellMar>
        </w:tblPrEx>
        <w:trPr>
          <w:trHeight w:val="707" w:hRule="atLeast"/>
        </w:trPr>
        <w:tc>
          <w:tcPr>
            <w:tcW w:w="8860" w:type="dxa"/>
            <w:gridSpan w:val="11"/>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政府性基金预算财政拨款</w:t>
            </w:r>
            <w:r>
              <w:pict>
                <v:group id="组合 55" o:spid="_x0000_s1062" o:spt="203" style="position:absolute;left:0pt;margin-left:-80.9pt;margin-top:-81.1pt;height:41.2pt;width:243.2pt;mso-position-vertical-relative:page;z-index:251681792;mso-width-relative:page;mso-height-relative:page;" coordorigin="4551,52615" coordsize="8546,1398">
                  <o:lock v:ext="edit"/>
                  <v:rect id="矩形 13" o:spid="_x0000_s1063" o:spt="1" style="position:absolute;left:4551;top:52615;height:1175;width:8546;v-text-anchor:middle;" fillcolor="#96DA9D" filled="t" stroked="f" coordsize="21600,21600">
                    <v:path/>
                    <v:fill on="t" focussize="0,0"/>
                    <v:stroke on="f" weight="2pt"/>
                    <v:imagedata o:title=""/>
                    <o:lock v:ext="edit"/>
                  </v:rect>
                  <v:rect id="矩形 14" o:spid="_x0000_s106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91"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47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669"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542"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84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191"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192"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192"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268"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08</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411" w:hRule="atLeast"/>
        </w:trPr>
        <w:tc>
          <w:tcPr>
            <w:tcW w:w="3177" w:type="dxa"/>
            <w:gridSpan w:val="6"/>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16"/>
                <w:szCs w:val="16"/>
                <w:lang w:eastAsia="zh-CN"/>
              </w:rPr>
              <w:t>中国共产党河北省阜平县纪律检查委员会</w:t>
            </w:r>
          </w:p>
        </w:tc>
        <w:tc>
          <w:tcPr>
            <w:tcW w:w="84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191"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1192"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rPr>
                <w:rFonts w:ascii="Arial" w:hAnsi="Arial" w:cs="Arial"/>
                <w:color w:val="000000"/>
                <w:szCs w:val="21"/>
              </w:rPr>
            </w:pPr>
          </w:p>
        </w:tc>
        <w:tc>
          <w:tcPr>
            <w:tcW w:w="2460"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4" w:hRule="atLeast"/>
        </w:trPr>
        <w:tc>
          <w:tcPr>
            <w:tcW w:w="201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1166"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年初结转和结余</w:t>
            </w:r>
          </w:p>
        </w:tc>
        <w:tc>
          <w:tcPr>
            <w:tcW w:w="84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本年收入</w:t>
            </w:r>
          </w:p>
        </w:tc>
        <w:tc>
          <w:tcPr>
            <w:tcW w:w="3575"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本年支出</w:t>
            </w:r>
          </w:p>
        </w:tc>
        <w:tc>
          <w:tcPr>
            <w:tcW w:w="126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1045"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1"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基本支出</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项目支出</w:t>
            </w: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8860" w:type="dxa"/>
            <w:gridSpan w:val="11"/>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pacing w:after="0" w:line="240" w:lineRule="auto"/>
              <w:jc w:val="left"/>
              <w:textAlignment w:val="center"/>
              <w:rPr>
                <w:rFonts w:ascii="宋体" w:hAnsi="宋体" w:cs="宋体"/>
                <w:color w:val="000000"/>
                <w:kern w:val="0"/>
                <w:szCs w:val="21"/>
              </w:rPr>
            </w:pPr>
            <w:r>
              <w:rPr>
                <w:rFonts w:hint="eastAsia" w:ascii="宋体" w:hAnsi="宋体" w:cs="宋体"/>
                <w:color w:val="000000"/>
                <w:kern w:val="0"/>
                <w:szCs w:val="21"/>
              </w:rPr>
              <w:t>注：本表反映部门本年度政府性基金预算财政拨款收入、支出及结转和结余情况。</w:t>
            </w:r>
          </w:p>
          <w:p>
            <w:pPr>
              <w:pageBreakBefore w:val="0"/>
              <w:widowControl/>
              <w:kinsoku/>
              <w:wordWrap/>
              <w:overflowPunct/>
              <w:topLinePunct w:val="0"/>
              <w:bidi w:val="0"/>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本部门本年度无相关收支及结转结余等情况，按要求空表列示。</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国有资本经营预算财政拨</w:t>
            </w:r>
            <w:r>
              <w:pict>
                <v:group id="组合 58" o:spid="_x0000_s1065" o:spt="203" style="position:absolute;left:0pt;margin-left:-80.9pt;margin-top:-81.1pt;height:41.2pt;width:243.2pt;mso-position-vertical-relative:page;z-index:251682816;mso-width-relative:page;mso-height-relative:page;" coordorigin="4551,52615" coordsize="8546,1398">
                  <o:lock v:ext="edit"/>
                  <v:rect id="矩形 13" o:spid="_x0000_s1066" o:spt="1" style="position:absolute;left:4551;top:52615;height:1175;width:8546;v-text-anchor:middle;" fillcolor="#96DA9D" filled="t" stroked="f" coordsize="21600,21600">
                    <v:path/>
                    <v:fill on="t" focussize="0,0"/>
                    <v:stroke on="f" weight="2pt"/>
                    <v:imagedata o:title=""/>
                    <o:lock v:ext="edit"/>
                  </v:rect>
                  <v:rect id="矩形 14" o:spid="_x0000_s106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208"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504"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1168"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103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200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3438"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09</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编制单位：</w:t>
            </w:r>
            <w:r>
              <w:rPr>
                <w:rFonts w:hint="eastAsia" w:ascii="宋体" w:hAnsi="宋体" w:cs="宋体"/>
                <w:color w:val="000000"/>
                <w:kern w:val="0"/>
                <w:sz w:val="16"/>
                <w:szCs w:val="16"/>
                <w:lang w:eastAsia="zh-CN"/>
              </w:rPr>
              <w:t>中国共产党河北省阜平县纪律检查委员会</w:t>
            </w:r>
          </w:p>
        </w:tc>
        <w:tc>
          <w:tcPr>
            <w:tcW w:w="2005"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rPr>
                <w:rFonts w:ascii="Arial" w:hAnsi="Arial" w:cs="Arial"/>
                <w:color w:val="000000"/>
                <w:sz w:val="22"/>
                <w:szCs w:val="22"/>
              </w:rPr>
            </w:pPr>
          </w:p>
        </w:tc>
        <w:tc>
          <w:tcPr>
            <w:tcW w:w="3438"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w:t>
            </w:r>
          </w:p>
        </w:tc>
        <w:tc>
          <w:tcPr>
            <w:tcW w:w="5695" w:type="dxa"/>
            <w:gridSpan w:val="5"/>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功能分类科目编码</w:t>
            </w: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科目名称</w:t>
            </w: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小计</w:t>
            </w: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基本支出</w:t>
            </w: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项目支出</w:t>
            </w:r>
          </w:p>
        </w:tc>
      </w:tr>
      <w:tr>
        <w:tblPrEx>
          <w:tblCellMar>
            <w:top w:w="0" w:type="dxa"/>
            <w:left w:w="0" w:type="dxa"/>
            <w:bottom w:w="0" w:type="dxa"/>
            <w:right w:w="0" w:type="dxa"/>
          </w:tblCellMar>
        </w:tblPrEx>
        <w:trPr>
          <w:trHeight w:val="90" w:hRule="atLeast"/>
        </w:trPr>
        <w:tc>
          <w:tcPr>
            <w:tcW w:w="3105" w:type="dxa"/>
            <w:gridSpan w:val="6"/>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栏次</w:t>
            </w: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1</w:t>
            </w: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2</w:t>
            </w: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合计</w:t>
            </w: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spacing w:after="0" w:line="240" w:lineRule="auto"/>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注：本表反映部门本年度国有资本经营预算财政拨款支出情况。</w:t>
            </w:r>
          </w:p>
          <w:p>
            <w:pPr>
              <w:pageBreakBefore w:val="0"/>
              <w:widowControl/>
              <w:kinsoku/>
              <w:wordWrap/>
              <w:overflowPunct/>
              <w:topLinePunct w:val="0"/>
              <w:bidi w:val="0"/>
              <w:spacing w:after="0" w:line="240" w:lineRule="auto"/>
              <w:ind w:firstLine="420" w:firstLineChars="200"/>
              <w:jc w:val="left"/>
              <w:textAlignment w:val="center"/>
              <w:rPr>
                <w:rFonts w:ascii="宋体" w:hAnsi="宋体" w:cs="宋体"/>
                <w:color w:val="000000"/>
                <w:kern w:val="0"/>
                <w:sz w:val="22"/>
                <w:szCs w:val="22"/>
              </w:rPr>
            </w:pPr>
            <w:r>
              <w:rPr>
                <w:rFonts w:hint="eastAsia" w:ascii="宋体" w:hAnsi="宋体" w:cs="宋体"/>
                <w:color w:val="000000"/>
                <w:kern w:val="0"/>
                <w:szCs w:val="21"/>
              </w:rPr>
              <w:t>本部门本年度无相关支出情况，按要求空表列示。</w:t>
            </w: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政府采购</w:t>
            </w:r>
            <w:r>
              <w:pict>
                <v:group id="组合 61" o:spid="_x0000_s1068" o:spt="203" style="position:absolute;left:0pt;margin-left:-80.9pt;margin-top:-81.1pt;height:41.2pt;width:243.2pt;mso-position-vertical-relative:page;z-index:251683840;mso-width-relative:page;mso-height-relative:page;" coordorigin="4551,52615" coordsize="8546,1398">
                  <o:lock v:ext="edit"/>
                  <v:rect id="矩形 13" o:spid="_x0000_s1069" o:spt="1" style="position:absolute;left:4551;top:52615;height:1175;width:8546;v-text-anchor:middle;" fillcolor="#96DA9D" filled="t" stroked="f" coordsize="21600,21600">
                    <v:path/>
                    <v:fill on="t" focussize="0,0"/>
                    <v:stroke on="f" weight="2pt"/>
                    <v:imagedata o:title=""/>
                    <o:lock v:ext="edit"/>
                  </v:rect>
                  <v:rect id="矩形 14" o:spid="_x0000_s107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10</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编制单位：</w:t>
            </w:r>
            <w:r>
              <w:rPr>
                <w:rFonts w:hint="eastAsia" w:ascii="宋体" w:hAnsi="宋体" w:cs="宋体"/>
                <w:color w:val="000000"/>
                <w:kern w:val="0"/>
                <w:sz w:val="16"/>
                <w:szCs w:val="16"/>
                <w:lang w:eastAsia="zh-CN"/>
              </w:rPr>
              <w:t>中国共产党河北省阜平县纪律检查委员会</w:t>
            </w:r>
          </w:p>
        </w:tc>
        <w:tc>
          <w:tcPr>
            <w:tcW w:w="2500" w:type="dxa"/>
            <w:gridSpan w:val="3"/>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single" w:color="000000" w:sz="4" w:space="0"/>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tcMar>
              <w:top w:w="15" w:type="dxa"/>
              <w:left w:w="15" w:type="dxa"/>
              <w:right w:w="15" w:type="dxa"/>
            </w:tcMar>
            <w:vAlign w:val="center"/>
          </w:tcPr>
          <w:p>
            <w:pPr>
              <w:pageBreakBefore w:val="0"/>
              <w:widowControl/>
              <w:kinsoku/>
              <w:wordWrap/>
              <w:overflowPunct/>
              <w:topLinePunct w:val="0"/>
              <w:bidi w:val="0"/>
              <w:adjustRightInd w:val="0"/>
              <w:snapToGrid w:val="0"/>
              <w:spacing w:after="0" w:line="240" w:lineRule="auto"/>
              <w:jc w:val="left"/>
              <w:textAlignment w:val="center"/>
              <w:rPr>
                <w:rFonts w:ascii="宋体" w:hAnsi="宋体" w:cs="宋体"/>
                <w:color w:val="000000"/>
                <w:kern w:val="0"/>
                <w:szCs w:val="21"/>
              </w:rPr>
            </w:pPr>
            <w:r>
              <w:rPr>
                <w:rFonts w:hint="eastAsia" w:ascii="宋体" w:hAnsi="宋体" w:cs="宋体"/>
                <w:color w:val="000000"/>
                <w:kern w:val="0"/>
                <w:szCs w:val="21"/>
              </w:rPr>
              <w:t>注：本表反映部门本年度纳入部门预算范围的政府采购预算及支出情况。</w:t>
            </w:r>
          </w:p>
          <w:p>
            <w:pPr>
              <w:pageBreakBefore w:val="0"/>
              <w:widowControl/>
              <w:kinsoku/>
              <w:wordWrap/>
              <w:overflowPunct/>
              <w:topLinePunct w:val="0"/>
              <w:bidi w:val="0"/>
              <w:adjustRightInd w:val="0"/>
              <w:snapToGrid w:val="0"/>
              <w:spacing w:after="0" w:line="240" w:lineRule="auto"/>
              <w:jc w:val="left"/>
              <w:textAlignment w:val="center"/>
              <w:rPr>
                <w:rFonts w:ascii="楷体" w:hAnsi="楷体" w:eastAsia="楷体" w:cs="楷体"/>
                <w:sz w:val="32"/>
                <w:szCs w:val="32"/>
                <w:highlight w:val="yellow"/>
              </w:rPr>
            </w:pPr>
            <w:r>
              <w:rPr>
                <w:rFonts w:hint="eastAsia" w:ascii="宋体" w:hAnsi="宋体" w:cs="宋体"/>
                <w:color w:val="000000"/>
                <w:kern w:val="0"/>
                <w:szCs w:val="21"/>
              </w:rPr>
              <w:t>本部门本年度无相关支出按要求空表列示。</w:t>
            </w:r>
          </w:p>
          <w:p>
            <w:pPr>
              <w:pageBreakBefore w:val="0"/>
              <w:widowControl/>
              <w:kinsoku/>
              <w:wordWrap/>
              <w:overflowPunct/>
              <w:topLinePunct w:val="0"/>
              <w:bidi w:val="0"/>
              <w:adjustRightInd w:val="0"/>
              <w:snapToGrid w:val="0"/>
              <w:spacing w:after="0" w:line="240" w:lineRule="auto"/>
              <w:jc w:val="left"/>
              <w:textAlignment w:val="center"/>
              <w:rPr>
                <w:rFonts w:ascii="宋体" w:cs="宋体"/>
                <w:color w:val="000000"/>
                <w:szCs w:val="21"/>
              </w:rPr>
            </w:pPr>
          </w:p>
        </w:tc>
      </w:tr>
    </w:tbl>
    <w:p>
      <w:pPr>
        <w:pageBreakBefore w:val="0"/>
        <w:widowControl/>
        <w:kinsoku/>
        <w:wordWrap/>
        <w:overflowPunct/>
        <w:topLinePunct w:val="0"/>
        <w:bidi w:val="0"/>
        <w:spacing w:after="0" w:line="560" w:lineRule="exact"/>
        <w:jc w:val="left"/>
        <w:rPr>
          <w:rFonts w:ascii="仿宋_GB2312" w:hAnsi="宋体" w:eastAsia="仿宋_GB2312"/>
          <w:b/>
          <w:sz w:val="28"/>
          <w:szCs w:val="28"/>
          <w:highlight w:val="yellow"/>
        </w:rPr>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kinsoku/>
        <w:wordWrap/>
        <w:overflowPunct/>
        <w:topLinePunct w:val="0"/>
        <w:bidi w:val="0"/>
      </w:pPr>
    </w:p>
    <w:p>
      <w:pPr>
        <w:pageBreakBefore w:val="0"/>
        <w:tabs>
          <w:tab w:val="left" w:pos="1086"/>
        </w:tabs>
        <w:kinsoku/>
        <w:wordWrap/>
        <w:overflowPunct/>
        <w:topLinePunct w:val="0"/>
        <w:bidi w:val="0"/>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pageBreakBefore w:val="0"/>
        <w:kinsoku/>
        <w:wordWrap/>
        <w:overflowPunct/>
        <w:topLinePunct w:val="0"/>
        <w:bidi w:val="0"/>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50048;mso-width-relative:page;mso-height-relative:page;" filled="f" o:preferrelative="t" stroked="f" coordsize="21600,21600">
            <v:path/>
            <v:fill on="f" focussize="0,0"/>
            <v:stroke on="f" joinstyle="miter"/>
            <v:imagedata r:id="rId5" o:title=""/>
            <o:lock v:ext="edit" aspectratio="t"/>
          </v:shape>
        </w:pict>
      </w:r>
      <w:r>
        <w:pict>
          <v:shape id="文本框 5" o:spid="_x0000_s1072" o:spt="202" type="#_x0000_t202" style="position:absolute;left:0pt;margin-left:-78.7pt;margin-top:232.8pt;height:159.1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pageBreakBefore w:val="0"/>
        <w:kinsoku/>
        <w:wordWrap/>
        <w:overflowPunct/>
        <w:topLinePunct w:val="0"/>
        <w:bidi w:val="0"/>
        <w:spacing w:before="0" w:after="0" w:line="580" w:lineRule="exact"/>
        <w:ind w:firstLine="640" w:firstLineChars="200"/>
        <w:rPr>
          <w:rFonts w:ascii="黑体" w:eastAsia="黑体"/>
          <w:b w:val="0"/>
          <w:bCs w:val="0"/>
        </w:rPr>
      </w:pPr>
    </w:p>
    <w:p>
      <w:pPr>
        <w:pStyle w:val="3"/>
        <w:pageBreakBefore w:val="0"/>
        <w:kinsoku/>
        <w:wordWrap/>
        <w:overflowPunct/>
        <w:topLinePunct w:val="0"/>
        <w:bidi w:val="0"/>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92032;mso-width-relative:page;mso-height-relative:page;" coordorigin="4551,52615" coordsize="8546,139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pageBreakBefore w:val="0"/>
        <w:kinsoku/>
        <w:wordWrap/>
        <w:overflowPunct/>
        <w:topLinePunct w:val="0"/>
        <w:autoSpaceDE w:val="0"/>
        <w:autoSpaceDN w:val="0"/>
        <w:bidi w:val="0"/>
        <w:adjustRightInd w:val="0"/>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中共阜平县纪委2018年度决算收入总计</w:t>
      </w:r>
      <w:r>
        <w:rPr>
          <w:rFonts w:hint="eastAsia" w:ascii="仿宋" w:hAnsi="仿宋" w:eastAsia="仿宋" w:cs="仿宋"/>
          <w:bCs/>
          <w:color w:val="auto"/>
          <w:spacing w:val="12"/>
          <w:kern w:val="0"/>
          <w:sz w:val="32"/>
          <w:szCs w:val="20"/>
        </w:rPr>
        <w:t>（含结转和结余）</w:t>
      </w:r>
      <w:r>
        <w:rPr>
          <w:rFonts w:hint="eastAsia" w:ascii="仿宋_GB2312" w:hAnsi="仿宋_GB2312" w:eastAsia="仿宋_GB2312" w:cs="仿宋_GB2312"/>
          <w:color w:val="auto"/>
          <w:sz w:val="32"/>
          <w:szCs w:val="32"/>
        </w:rPr>
        <w:t>907.63万元，决算支出总计907.63万元。与2017年</w:t>
      </w:r>
      <w:r>
        <w:rPr>
          <w:rFonts w:hint="eastAsia" w:ascii="仿宋_GB2312" w:hAnsi="仿宋_GB2312" w:eastAsia="仿宋_GB2312" w:cs="仿宋_GB2312"/>
          <w:color w:val="auto"/>
          <w:sz w:val="32"/>
          <w:szCs w:val="32"/>
          <w:lang w:eastAsia="zh-CN"/>
        </w:rPr>
        <w:t>决算</w:t>
      </w:r>
      <w:r>
        <w:rPr>
          <w:rFonts w:hint="eastAsia" w:ascii="仿宋_GB2312" w:hAnsi="仿宋_GB2312" w:eastAsia="仿宋_GB2312" w:cs="仿宋_GB2312"/>
          <w:color w:val="auto"/>
          <w:sz w:val="32"/>
          <w:szCs w:val="32"/>
        </w:rPr>
        <w:t>相比，决算收</w:t>
      </w:r>
      <w:r>
        <w:rPr>
          <w:rFonts w:hint="eastAsia" w:ascii="仿宋_GB2312" w:hAnsi="仿宋_GB2312" w:eastAsia="仿宋_GB2312" w:cs="仿宋_GB2312"/>
          <w:color w:val="auto"/>
          <w:sz w:val="32"/>
          <w:szCs w:val="32"/>
          <w:lang w:eastAsia="zh-CN"/>
        </w:rPr>
        <w:t>入</w:t>
      </w:r>
      <w:r>
        <w:rPr>
          <w:rFonts w:hint="eastAsia" w:ascii="仿宋_GB2312" w:hAnsi="仿宋_GB2312" w:eastAsia="仿宋_GB2312" w:cs="仿宋_GB2312"/>
          <w:color w:val="auto"/>
          <w:sz w:val="32"/>
          <w:szCs w:val="32"/>
        </w:rPr>
        <w:t>增加313.71万元，增</w:t>
      </w:r>
      <w:r>
        <w:rPr>
          <w:rFonts w:hint="eastAsia" w:ascii="仿宋_GB2312" w:hAnsi="仿宋_GB2312" w:eastAsia="仿宋_GB2312" w:cs="仿宋_GB2312"/>
          <w:color w:val="auto"/>
          <w:sz w:val="32"/>
          <w:szCs w:val="32"/>
          <w:lang w:eastAsia="zh-CN"/>
        </w:rPr>
        <w:t>长</w:t>
      </w:r>
      <w:r>
        <w:rPr>
          <w:rFonts w:hint="eastAsia" w:ascii="仿宋_GB2312" w:hAnsi="仿宋_GB2312" w:eastAsia="仿宋_GB2312" w:cs="仿宋_GB2312"/>
          <w:color w:val="auto"/>
          <w:sz w:val="32"/>
          <w:szCs w:val="32"/>
        </w:rPr>
        <w:t>52.82%，主要原因是加大的案件查办的力度，案件线索处置情况大量</w:t>
      </w:r>
      <w:r>
        <w:rPr>
          <w:rFonts w:hint="eastAsia" w:ascii="仿宋_GB2312" w:hAnsi="仿宋_GB2312" w:eastAsia="仿宋_GB2312" w:cs="仿宋_GB2312"/>
          <w:bCs/>
          <w:color w:val="auto"/>
          <w:spacing w:val="12"/>
          <w:sz w:val="32"/>
        </w:rPr>
        <w:t>增加，发放了2017年、2018年的惠民服务员工资</w:t>
      </w:r>
      <w:r>
        <w:rPr>
          <w:rFonts w:hint="eastAsia" w:ascii="仿宋_GB2312" w:hAnsi="仿宋_GB2312" w:eastAsia="仿宋_GB2312" w:cs="仿宋_GB2312"/>
          <w:color w:val="auto"/>
          <w:sz w:val="32"/>
          <w:szCs w:val="32"/>
        </w:rPr>
        <w:t>。与2017年</w:t>
      </w:r>
      <w:r>
        <w:rPr>
          <w:rFonts w:hint="eastAsia" w:ascii="仿宋_GB2312" w:hAnsi="仿宋_GB2312" w:eastAsia="仿宋_GB2312" w:cs="仿宋_GB2312"/>
          <w:color w:val="auto"/>
          <w:sz w:val="32"/>
          <w:szCs w:val="32"/>
          <w:lang w:eastAsia="zh-CN"/>
        </w:rPr>
        <w:t>决算</w:t>
      </w:r>
      <w:r>
        <w:rPr>
          <w:rFonts w:hint="eastAsia" w:ascii="仿宋_GB2312" w:hAnsi="仿宋_GB2312" w:eastAsia="仿宋_GB2312" w:cs="仿宋_GB2312"/>
          <w:color w:val="auto"/>
          <w:sz w:val="32"/>
          <w:szCs w:val="32"/>
        </w:rPr>
        <w:t>相比，决算</w:t>
      </w:r>
      <w:r>
        <w:rPr>
          <w:rFonts w:hint="eastAsia" w:ascii="仿宋_GB2312" w:hAnsi="仿宋_GB2312" w:eastAsia="仿宋_GB2312" w:cs="仿宋_GB2312"/>
          <w:color w:val="auto"/>
          <w:sz w:val="32"/>
          <w:szCs w:val="32"/>
          <w:lang w:eastAsia="zh-CN"/>
        </w:rPr>
        <w:t>支出</w:t>
      </w:r>
      <w:r>
        <w:rPr>
          <w:rFonts w:hint="eastAsia" w:ascii="仿宋_GB2312" w:hAnsi="仿宋_GB2312" w:eastAsia="仿宋_GB2312" w:cs="仿宋_GB2312"/>
          <w:color w:val="auto"/>
          <w:sz w:val="32"/>
          <w:szCs w:val="32"/>
        </w:rPr>
        <w:t>增加313.71万元，增</w:t>
      </w:r>
      <w:r>
        <w:rPr>
          <w:rFonts w:hint="eastAsia" w:ascii="仿宋_GB2312" w:hAnsi="仿宋_GB2312" w:eastAsia="仿宋_GB2312" w:cs="仿宋_GB2312"/>
          <w:color w:val="auto"/>
          <w:sz w:val="32"/>
          <w:szCs w:val="32"/>
          <w:lang w:eastAsia="zh-CN"/>
        </w:rPr>
        <w:t>长</w:t>
      </w:r>
      <w:r>
        <w:rPr>
          <w:rFonts w:hint="eastAsia" w:ascii="仿宋_GB2312" w:hAnsi="仿宋_GB2312" w:eastAsia="仿宋_GB2312" w:cs="仿宋_GB2312"/>
          <w:color w:val="auto"/>
          <w:sz w:val="32"/>
          <w:szCs w:val="32"/>
        </w:rPr>
        <w:t>52.82%，主要原因是加大</w:t>
      </w:r>
      <w:r>
        <w:rPr>
          <w:rFonts w:hint="eastAsia" w:ascii="仿宋_GB2312" w:hAnsi="仿宋_GB2312" w:eastAsia="仿宋_GB2312" w:cs="仿宋_GB2312"/>
          <w:color w:val="auto"/>
          <w:sz w:val="32"/>
          <w:szCs w:val="32"/>
          <w:lang w:eastAsia="zh-CN"/>
        </w:rPr>
        <w:t>了</w:t>
      </w:r>
      <w:r>
        <w:rPr>
          <w:rFonts w:hint="eastAsia" w:ascii="仿宋_GB2312" w:hAnsi="仿宋_GB2312" w:eastAsia="仿宋_GB2312" w:cs="仿宋_GB2312"/>
          <w:color w:val="auto"/>
          <w:sz w:val="32"/>
          <w:szCs w:val="32"/>
        </w:rPr>
        <w:t>案件查办的力度，案件线索处置情况大量</w:t>
      </w:r>
      <w:r>
        <w:rPr>
          <w:rFonts w:hint="eastAsia" w:ascii="仿宋_GB2312" w:hAnsi="仿宋_GB2312" w:eastAsia="仿宋_GB2312" w:cs="仿宋_GB2312"/>
          <w:bCs/>
          <w:color w:val="auto"/>
          <w:spacing w:val="12"/>
          <w:sz w:val="32"/>
        </w:rPr>
        <w:t>增加，发放了2017年、2018年的惠民服务员工资</w:t>
      </w:r>
      <w:r>
        <w:rPr>
          <w:rFonts w:hint="eastAsia" w:ascii="仿宋_GB2312" w:hAnsi="仿宋_GB2312" w:eastAsia="仿宋_GB2312" w:cs="仿宋_GB2312"/>
          <w:color w:val="auto"/>
          <w:sz w:val="32"/>
          <w:szCs w:val="32"/>
        </w:rPr>
        <w:t>。单位2018年度无年初和年末结转和结余。</w:t>
      </w:r>
    </w:p>
    <w:p>
      <w:pPr>
        <w:pStyle w:val="3"/>
        <w:pageBreakBefore w:val="0"/>
        <w:kinsoku/>
        <w:wordWrap/>
        <w:overflowPunct/>
        <w:topLinePunct w:val="0"/>
        <w:bidi w:val="0"/>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pageBreakBefore w:val="0"/>
        <w:kinsoku/>
        <w:wordWrap/>
        <w:overflowPunct/>
        <w:topLinePunct w:val="0"/>
        <w:bidi w:val="0"/>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hAnsi="仿宋_GB2312" w:eastAsia="仿宋_GB2312" w:cs="仿宋_GB2312"/>
          <w:color w:val="000000"/>
          <w:sz w:val="32"/>
          <w:szCs w:val="32"/>
        </w:rPr>
        <w:t>中共阜平县纪委</w:t>
      </w:r>
      <w:r>
        <w:rPr>
          <w:rFonts w:hint="eastAsia" w:ascii="仿宋_GB2312" w:hAnsi="仿宋_GB2312" w:eastAsia="仿宋_GB2312" w:cs="仿宋_GB2312"/>
          <w:bCs/>
          <w:color w:val="000000"/>
          <w:sz w:val="32"/>
          <w:szCs w:val="32"/>
        </w:rPr>
        <w:t>2018年度本年收入合计</w:t>
      </w:r>
      <w:r>
        <w:rPr>
          <w:rFonts w:hint="eastAsia" w:ascii="仿宋_GB2312" w:hAnsi="仿宋_GB2312" w:eastAsia="仿宋_GB2312" w:cs="仿宋_GB2312"/>
          <w:color w:val="000000"/>
          <w:sz w:val="32"/>
          <w:szCs w:val="32"/>
        </w:rPr>
        <w:t>907.63</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color w:val="000000"/>
          <w:sz w:val="32"/>
          <w:szCs w:val="32"/>
        </w:rPr>
        <w:t>907.63</w:t>
      </w:r>
      <w:r>
        <w:rPr>
          <w:rFonts w:hint="eastAsia" w:ascii="仿宋_GB2312" w:hAnsi="仿宋_GB2312" w:eastAsia="仿宋_GB2312" w:cs="仿宋_GB2312"/>
          <w:sz w:val="32"/>
          <w:szCs w:val="32"/>
        </w:rPr>
        <w:t>万元，占本年收入的100%;事业收入0万元，占本年收入0%;经营收入0万元，占本年收入0%;其他收入0万元，占本年收入0%。</w:t>
      </w:r>
    </w:p>
    <w:p>
      <w:pPr>
        <w:pStyle w:val="3"/>
        <w:pageBreakBefore w:val="0"/>
        <w:kinsoku/>
        <w:wordWrap/>
        <w:overflowPunct/>
        <w:topLinePunct w:val="0"/>
        <w:bidi w:val="0"/>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pageBreakBefore w:val="0"/>
        <w:kinsoku/>
        <w:wordWrap/>
        <w:overflowPunct/>
        <w:topLinePunct w:val="0"/>
        <w:bidi w:val="0"/>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w:t>
      </w:r>
      <w:r>
        <w:rPr>
          <w:rFonts w:hint="eastAsia" w:ascii="仿宋_GB2312" w:hAnsi="仿宋_GB2312" w:eastAsia="仿宋_GB2312" w:cs="仿宋_GB2312"/>
          <w:sz w:val="32"/>
          <w:szCs w:val="32"/>
        </w:rPr>
        <w:t>907.63</w:t>
      </w:r>
      <w:r>
        <w:rPr>
          <w:rFonts w:hint="eastAsia" w:ascii="仿宋_GB2312" w:eastAsia="仿宋_GB2312" w:cs="DengXian-Regular"/>
          <w:sz w:val="32"/>
          <w:szCs w:val="32"/>
        </w:rPr>
        <w:t>万元，其中：基本支出</w:t>
      </w:r>
      <w:r>
        <w:rPr>
          <w:rFonts w:hint="eastAsia" w:ascii="仿宋_GB2312" w:hAnsi="仿宋_GB2312" w:eastAsia="仿宋_GB2312" w:cs="仿宋_GB2312"/>
          <w:sz w:val="32"/>
          <w:szCs w:val="32"/>
        </w:rPr>
        <w:t>490.80</w:t>
      </w:r>
      <w:r>
        <w:rPr>
          <w:rFonts w:hint="eastAsia" w:ascii="仿宋_GB2312" w:eastAsia="仿宋_GB2312" w:cs="DengXian-Regular"/>
          <w:sz w:val="32"/>
          <w:szCs w:val="32"/>
        </w:rPr>
        <w:t>万元，占</w:t>
      </w:r>
      <w:r>
        <w:rPr>
          <w:rFonts w:hint="eastAsia" w:ascii="仿宋_GB2312" w:hAnsi="仿宋_GB2312" w:eastAsia="仿宋_GB2312" w:cs="仿宋_GB2312"/>
          <w:sz w:val="32"/>
          <w:szCs w:val="32"/>
        </w:rPr>
        <w:t>54.07%</w:t>
      </w:r>
      <w:r>
        <w:rPr>
          <w:rFonts w:hint="eastAsia" w:ascii="仿宋_GB2312" w:eastAsia="仿宋_GB2312" w:cs="DengXian-Regular"/>
          <w:sz w:val="32"/>
          <w:szCs w:val="32"/>
        </w:rPr>
        <w:t>；项目支出</w:t>
      </w:r>
      <w:r>
        <w:rPr>
          <w:rFonts w:hint="eastAsia" w:ascii="仿宋_GB2312" w:hAnsi="仿宋_GB2312" w:eastAsia="仿宋_GB2312" w:cs="仿宋_GB2312"/>
          <w:sz w:val="32"/>
          <w:szCs w:val="32"/>
        </w:rPr>
        <w:t>416.83</w:t>
      </w:r>
      <w:r>
        <w:rPr>
          <w:rFonts w:hint="eastAsia" w:ascii="仿宋_GB2312" w:eastAsia="仿宋_GB2312" w:cs="DengXian-Regular"/>
          <w:sz w:val="32"/>
          <w:szCs w:val="32"/>
        </w:rPr>
        <w:t>万元，占</w:t>
      </w:r>
      <w:r>
        <w:rPr>
          <w:rFonts w:hint="eastAsia" w:ascii="仿宋_GB2312" w:hAnsi="仿宋_GB2312" w:eastAsia="仿宋_GB2312" w:cs="仿宋_GB2312"/>
          <w:sz w:val="32"/>
          <w:szCs w:val="32"/>
        </w:rPr>
        <w:t>45.93%</w:t>
      </w:r>
      <w:r>
        <w:rPr>
          <w:rFonts w:hint="eastAsia" w:ascii="仿宋_GB2312" w:eastAsia="仿宋_GB2312" w:cs="DengXian-Regular"/>
          <w:sz w:val="32"/>
          <w:szCs w:val="32"/>
        </w:rPr>
        <w:t>；经营支出0万元，占0</w:t>
      </w:r>
      <w:r>
        <w:rPr>
          <w:rFonts w:ascii="仿宋_GB2312" w:eastAsia="仿宋_GB2312" w:cs="DengXian-Regular"/>
          <w:sz w:val="32"/>
          <w:szCs w:val="32"/>
        </w:rPr>
        <w:t>%</w:t>
      </w:r>
      <w:r>
        <w:rPr>
          <w:rFonts w:hint="eastAsia" w:ascii="仿宋_GB2312" w:eastAsia="仿宋_GB2312" w:cs="DengXian-Regular"/>
          <w:sz w:val="32"/>
          <w:szCs w:val="32"/>
        </w:rPr>
        <w:t>。如图所示：</w:t>
      </w:r>
      <w:r>
        <w:t xml:space="preserve"> </w:t>
      </w:r>
      <w:r>
        <w:pict>
          <v:group id="组合 70" o:spid="_x0000_s1082" o:spt="203" style="position:absolute;left:0pt;margin-left:-79.5pt;margin-top:29.3pt;height:43.95pt;width:301.85pt;mso-position-vertical-relative:page;z-index:251684864;mso-width-relative:page;mso-height-relative:page;" coordorigin="4551,52615" coordsize="8546,1398">
            <o:lock v:ext="edit"/>
            <v:rect id="矩形 13" o:spid="_x0000_s1083" o:spt="1" style="position:absolute;left:4551;top:52615;height:1175;width:8546;v-text-anchor:middle;" fillcolor="#96DA9D" filled="t" stroked="f" coordsize="21600,21600">
              <v:path/>
              <v:fill on="t" focussize="0,0"/>
              <v:stroke on="f" weight="2pt"/>
              <v:imagedata o:title=""/>
              <o:lock v:ext="edit"/>
            </v:rect>
            <v:rect id="矩形 14" o:spid="_x0000_s108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目录</w:t>
                    </w:r>
                  </w:p>
                  <w:p>
                    <w:pPr>
                      <w:jc w:val="center"/>
                    </w:pPr>
                  </w:p>
                </w:txbxContent>
              </v:textbox>
            </v:rect>
            <w10:anchorlock/>
          </v:group>
        </w:pict>
      </w:r>
    </w:p>
    <w:p>
      <w:pPr>
        <w:pStyle w:val="3"/>
        <w:pageBreakBefore w:val="0"/>
        <w:kinsoku/>
        <w:wordWrap/>
        <w:overflowPunct/>
        <w:topLinePunct w:val="0"/>
        <w:bidi w:val="0"/>
        <w:spacing w:before="0" w:after="0" w:line="580" w:lineRule="exact"/>
        <w:ind w:firstLine="640" w:firstLineChars="200"/>
        <w:rPr>
          <w:rFonts w:ascii="黑体" w:eastAsia="黑体"/>
          <w:b w:val="0"/>
          <w:bCs w:val="0"/>
        </w:rPr>
      </w:pPr>
    </w:p>
    <w:p>
      <w:pPr>
        <w:pStyle w:val="3"/>
        <w:pageBreakBefore w:val="0"/>
        <w:kinsoku/>
        <w:wordWrap/>
        <w:overflowPunct/>
        <w:topLinePunct w:val="0"/>
        <w:bidi w:val="0"/>
        <w:spacing w:before="0" w:after="0" w:line="580" w:lineRule="exact"/>
        <w:ind w:firstLine="640" w:firstLineChars="200"/>
        <w:rPr>
          <w:rFonts w:ascii="黑体" w:eastAsia="黑体"/>
          <w:b w:val="0"/>
          <w:bCs w:val="0"/>
        </w:rPr>
      </w:pPr>
    </w:p>
    <w:p>
      <w:pPr>
        <w:pageBreakBefore w:val="0"/>
        <w:kinsoku/>
        <w:wordWrap/>
        <w:overflowPunct/>
        <w:topLinePunct w:val="0"/>
        <w:bidi w:val="0"/>
      </w:pPr>
    </w:p>
    <w:p>
      <w:pPr>
        <w:pageBreakBefore w:val="0"/>
        <w:kinsoku/>
        <w:wordWrap/>
        <w:overflowPunct/>
        <w:topLinePunct w:val="0"/>
        <w:bidi w:val="0"/>
      </w:pPr>
      <w:r>
        <w:rPr>
          <w:rFonts w:hint="eastAsia"/>
        </w:rPr>
        <w:drawing>
          <wp:anchor distT="0" distB="0" distL="114300" distR="114300" simplePos="0" relativeHeight="251693056" behindDoc="0" locked="0" layoutInCell="1" allowOverlap="0">
            <wp:simplePos x="0" y="0"/>
            <wp:positionH relativeFrom="margin">
              <wp:posOffset>401320</wp:posOffset>
            </wp:positionH>
            <wp:positionV relativeFrom="margin">
              <wp:posOffset>-132715</wp:posOffset>
            </wp:positionV>
            <wp:extent cx="4876800" cy="2171065"/>
            <wp:effectExtent l="0" t="0" r="0" b="635"/>
            <wp:wrapSquare wrapText="bothSides"/>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3"/>
        <w:pageBreakBefore w:val="0"/>
        <w:kinsoku/>
        <w:wordWrap/>
        <w:overflowPunct/>
        <w:topLinePunct w:val="0"/>
        <w:bidi w:val="0"/>
        <w:spacing w:before="0" w:after="0" w:line="580" w:lineRule="exact"/>
        <w:ind w:firstLine="640" w:firstLineChars="200"/>
        <w:rPr>
          <w:rFonts w:ascii="黑体" w:eastAsia="黑体"/>
          <w:b w:val="0"/>
          <w:bCs w:val="0"/>
        </w:rPr>
      </w:pPr>
    </w:p>
    <w:p>
      <w:pPr>
        <w:pStyle w:val="3"/>
        <w:pageBreakBefore w:val="0"/>
        <w:kinsoku/>
        <w:wordWrap/>
        <w:overflowPunct/>
        <w:topLinePunct w:val="0"/>
        <w:bidi w:val="0"/>
        <w:spacing w:before="0" w:after="0" w:line="580" w:lineRule="exact"/>
        <w:ind w:firstLine="640" w:firstLineChars="200"/>
        <w:rPr>
          <w:rFonts w:ascii="黑体" w:eastAsia="黑体"/>
          <w:b w:val="0"/>
          <w:bCs w:val="0"/>
        </w:rPr>
      </w:pPr>
    </w:p>
    <w:p>
      <w:pPr>
        <w:pStyle w:val="3"/>
        <w:pageBreakBefore w:val="0"/>
        <w:kinsoku/>
        <w:wordWrap/>
        <w:overflowPunct/>
        <w:topLinePunct w:val="0"/>
        <w:bidi w:val="0"/>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pageBreakBefore w:val="0"/>
        <w:kinsoku/>
        <w:wordWrap/>
        <w:overflowPunct/>
        <w:topLinePunct w:val="0"/>
        <w:bidi w:val="0"/>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pageBreakBefore w:val="0"/>
        <w:kinsoku/>
        <w:wordWrap/>
        <w:overflowPunct/>
        <w:topLinePunct w:val="0"/>
        <w:bidi w:val="0"/>
        <w:adjustRightInd w:val="0"/>
        <w:snapToGrid w:val="0"/>
        <w:spacing w:after="0" w:line="580" w:lineRule="exact"/>
        <w:ind w:firstLine="640" w:firstLineChars="200"/>
        <w:rPr>
          <w:rFonts w:ascii="仿宋_GB2312" w:hAnsi="仿宋_GB2312" w:eastAsia="仿宋_GB2312" w:cs="仿宋_GB2312"/>
          <w:color w:val="FF0000"/>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w:t>
      </w:r>
      <w:r>
        <w:rPr>
          <w:rFonts w:hint="eastAsia" w:ascii="仿宋_GB2312" w:eastAsia="仿宋_GB2312" w:cs="DengXian-Regular"/>
          <w:color w:val="000000" w:themeColor="text1"/>
          <w:sz w:val="32"/>
          <w:szCs w:val="32"/>
        </w:rPr>
        <w:t>拨款，其中一般公共预</w:t>
      </w:r>
      <w:r>
        <w:rPr>
          <w:rFonts w:hint="eastAsia" w:ascii="仿宋_GB2312" w:eastAsia="仿宋_GB2312" w:cs="DengXian-Regular"/>
          <w:color w:val="000000" w:themeColor="text1"/>
          <w:sz w:val="32"/>
          <w:szCs w:val="32"/>
          <w:highlight w:val="none"/>
        </w:rPr>
        <w:t>算财政拨款本年收入</w:t>
      </w:r>
      <w:r>
        <w:rPr>
          <w:rFonts w:hint="eastAsia" w:ascii="仿宋_GB2312" w:hAnsi="仿宋_GB2312" w:eastAsia="仿宋_GB2312" w:cs="仿宋_GB2312"/>
          <w:color w:val="000000" w:themeColor="text1"/>
          <w:sz w:val="32"/>
          <w:szCs w:val="32"/>
          <w:highlight w:val="none"/>
        </w:rPr>
        <w:t>806.16</w:t>
      </w:r>
      <w:r>
        <w:rPr>
          <w:rFonts w:hint="eastAsia" w:ascii="仿宋_GB2312" w:eastAsia="仿宋_GB2312" w:cs="DengXian-Regular"/>
          <w:color w:val="000000" w:themeColor="text1"/>
          <w:sz w:val="32"/>
          <w:szCs w:val="32"/>
          <w:highlight w:val="none"/>
        </w:rPr>
        <w:t>万元</w:t>
      </w:r>
      <w:r>
        <w:rPr>
          <w:rFonts w:ascii="仿宋_GB2312" w:eastAsia="仿宋_GB2312" w:cs="DengXian-Regular"/>
          <w:color w:val="000000" w:themeColor="text1"/>
          <w:sz w:val="32"/>
          <w:szCs w:val="32"/>
          <w:highlight w:val="none"/>
        </w:rPr>
        <w:t>,</w:t>
      </w:r>
      <w:r>
        <w:rPr>
          <w:rFonts w:hint="eastAsia" w:ascii="仿宋_GB2312" w:eastAsia="仿宋_GB2312" w:cs="DengXian-Regular"/>
          <w:color w:val="000000" w:themeColor="text1"/>
          <w:sz w:val="32"/>
          <w:szCs w:val="32"/>
          <w:highlight w:val="none"/>
        </w:rPr>
        <w:t>比</w:t>
      </w:r>
      <w:r>
        <w:rPr>
          <w:rFonts w:ascii="仿宋_GB2312" w:eastAsia="仿宋_GB2312" w:cs="DengXian-Regular"/>
          <w:color w:val="000000" w:themeColor="text1"/>
          <w:sz w:val="32"/>
          <w:szCs w:val="32"/>
          <w:highlight w:val="none"/>
        </w:rPr>
        <w:t>2017</w:t>
      </w:r>
      <w:r>
        <w:rPr>
          <w:rFonts w:hint="eastAsia" w:ascii="仿宋_GB2312" w:eastAsia="仿宋_GB2312" w:cs="DengXian-Regular"/>
          <w:color w:val="000000" w:themeColor="text1"/>
          <w:sz w:val="32"/>
          <w:szCs w:val="32"/>
          <w:highlight w:val="none"/>
        </w:rPr>
        <w:t>年度</w:t>
      </w:r>
      <w:r>
        <w:rPr>
          <w:rFonts w:hint="eastAsia" w:ascii="仿宋_GB2312" w:hAnsi="仿宋_GB2312" w:eastAsia="仿宋_GB2312" w:cs="仿宋_GB2312"/>
          <w:color w:val="000000" w:themeColor="text1"/>
          <w:sz w:val="32"/>
          <w:szCs w:val="32"/>
          <w:highlight w:val="none"/>
        </w:rPr>
        <w:t>增加358.05万元,增</w:t>
      </w:r>
      <w:r>
        <w:rPr>
          <w:rFonts w:hint="eastAsia" w:ascii="仿宋_GB2312" w:hAnsi="仿宋_GB2312" w:eastAsia="仿宋_GB2312" w:cs="仿宋_GB2312"/>
          <w:color w:val="000000" w:themeColor="text1"/>
          <w:sz w:val="32"/>
          <w:szCs w:val="32"/>
          <w:highlight w:val="none"/>
          <w:lang w:eastAsia="zh-CN"/>
        </w:rPr>
        <w:t>长</w:t>
      </w:r>
      <w:r>
        <w:rPr>
          <w:rFonts w:hint="eastAsia" w:ascii="仿宋_GB2312" w:hAnsi="仿宋_GB2312" w:eastAsia="仿宋_GB2312" w:cs="仿宋_GB2312"/>
          <w:color w:val="000000" w:themeColor="text1"/>
          <w:sz w:val="32"/>
          <w:szCs w:val="32"/>
          <w:highlight w:val="none"/>
        </w:rPr>
        <w:t>79.9</w:t>
      </w:r>
      <w:r>
        <w:rPr>
          <w:rFonts w:hint="eastAsia" w:ascii="仿宋_GB2312" w:hAnsi="仿宋_GB2312" w:eastAsia="仿宋_GB2312" w:cs="仿宋_GB2312"/>
          <w:color w:val="000000" w:themeColor="text1"/>
          <w:sz w:val="32"/>
          <w:szCs w:val="32"/>
          <w:highlight w:val="none"/>
          <w:lang w:val="en-US" w:eastAsia="zh-CN"/>
        </w:rPr>
        <w:t>0</w:t>
      </w:r>
      <w:r>
        <w:rPr>
          <w:rFonts w:hint="eastAsia" w:ascii="仿宋_GB2312" w:hAnsi="仿宋_GB2312" w:eastAsia="仿宋_GB2312" w:cs="仿宋_GB2312"/>
          <w:color w:val="000000" w:themeColor="text1"/>
          <w:sz w:val="32"/>
          <w:szCs w:val="32"/>
          <w:highlight w:val="none"/>
        </w:rPr>
        <w:t>%，主要原因是加大了案件查办的力度，案件线索处置情况大量</w:t>
      </w:r>
      <w:r>
        <w:rPr>
          <w:rFonts w:hint="eastAsia" w:ascii="仿宋_GB2312" w:hAnsi="仿宋_GB2312" w:eastAsia="仿宋_GB2312" w:cs="仿宋_GB2312"/>
          <w:bCs/>
          <w:color w:val="000000" w:themeColor="text1"/>
          <w:spacing w:val="12"/>
          <w:sz w:val="32"/>
          <w:highlight w:val="none"/>
        </w:rPr>
        <w:t>增加，发放了2017年、2018年的惠民服务员工资</w:t>
      </w:r>
      <w:r>
        <w:rPr>
          <w:rFonts w:hint="eastAsia" w:ascii="仿宋_GB2312" w:hAnsi="仿宋_GB2312" w:eastAsia="仿宋_GB2312" w:cs="仿宋_GB2312"/>
          <w:color w:val="000000" w:themeColor="text1"/>
          <w:sz w:val="32"/>
          <w:szCs w:val="32"/>
          <w:highlight w:val="none"/>
        </w:rPr>
        <w:t>;一般公共预算财政拨款本年支出806.16万元，</w:t>
      </w:r>
      <w:r>
        <w:rPr>
          <w:rFonts w:hint="eastAsia" w:ascii="仿宋_GB2312" w:hAnsi="仿宋_GB2312" w:eastAsia="仿宋_GB2312" w:cs="仿宋_GB2312"/>
          <w:color w:val="000000" w:themeColor="text1"/>
          <w:sz w:val="32"/>
          <w:szCs w:val="32"/>
          <w:highlight w:val="none"/>
          <w:lang w:eastAsia="zh-CN"/>
        </w:rPr>
        <w:t>比</w:t>
      </w:r>
      <w:r>
        <w:rPr>
          <w:rFonts w:hint="eastAsia" w:ascii="仿宋_GB2312" w:hAnsi="仿宋_GB2312" w:eastAsia="仿宋_GB2312" w:cs="仿宋_GB2312"/>
          <w:color w:val="000000" w:themeColor="text1"/>
          <w:sz w:val="32"/>
          <w:szCs w:val="32"/>
          <w:highlight w:val="none"/>
          <w:lang w:val="en-US" w:eastAsia="zh-CN"/>
        </w:rPr>
        <w:t>2017年度</w:t>
      </w:r>
      <w:r>
        <w:rPr>
          <w:rFonts w:hint="eastAsia" w:ascii="仿宋_GB2312" w:hAnsi="仿宋_GB2312" w:eastAsia="仿宋_GB2312" w:cs="仿宋_GB2312"/>
          <w:color w:val="000000" w:themeColor="text1"/>
          <w:sz w:val="32"/>
          <w:szCs w:val="32"/>
          <w:highlight w:val="none"/>
        </w:rPr>
        <w:t>决算增加358.05万元，增</w:t>
      </w:r>
      <w:r>
        <w:rPr>
          <w:rFonts w:hint="eastAsia" w:ascii="仿宋_GB2312" w:hAnsi="仿宋_GB2312" w:eastAsia="仿宋_GB2312" w:cs="仿宋_GB2312"/>
          <w:color w:val="000000" w:themeColor="text1"/>
          <w:sz w:val="32"/>
          <w:szCs w:val="32"/>
          <w:highlight w:val="none"/>
          <w:lang w:eastAsia="zh-CN"/>
        </w:rPr>
        <w:t>长</w:t>
      </w:r>
      <w:r>
        <w:rPr>
          <w:rFonts w:hint="eastAsia" w:ascii="仿宋_GB2312" w:hAnsi="仿宋_GB2312" w:eastAsia="仿宋_GB2312" w:cs="仿宋_GB2312"/>
          <w:color w:val="000000" w:themeColor="text1"/>
          <w:sz w:val="32"/>
          <w:szCs w:val="32"/>
          <w:highlight w:val="none"/>
        </w:rPr>
        <w:t>79.9</w:t>
      </w:r>
      <w:r>
        <w:rPr>
          <w:rFonts w:hint="eastAsia" w:ascii="仿宋_GB2312" w:hAnsi="仿宋_GB2312" w:eastAsia="仿宋_GB2312" w:cs="仿宋_GB2312"/>
          <w:color w:val="000000" w:themeColor="text1"/>
          <w:sz w:val="32"/>
          <w:szCs w:val="32"/>
          <w:highlight w:val="none"/>
          <w:lang w:val="en-US" w:eastAsia="zh-CN"/>
        </w:rPr>
        <w:t>0</w:t>
      </w:r>
      <w:r>
        <w:rPr>
          <w:rFonts w:hint="eastAsia" w:ascii="仿宋_GB2312" w:hAnsi="仿宋_GB2312" w:eastAsia="仿宋_GB2312" w:cs="仿宋_GB2312"/>
          <w:color w:val="000000" w:themeColor="text1"/>
          <w:sz w:val="32"/>
          <w:szCs w:val="32"/>
          <w:highlight w:val="none"/>
        </w:rPr>
        <w:t>%，主要原因是加大了案件查办的力度，案件线索处置情况大量</w:t>
      </w:r>
      <w:r>
        <w:rPr>
          <w:rFonts w:hint="eastAsia" w:ascii="仿宋_GB2312" w:hAnsi="仿宋_GB2312" w:eastAsia="仿宋_GB2312" w:cs="仿宋_GB2312"/>
          <w:bCs/>
          <w:color w:val="000000" w:themeColor="text1"/>
          <w:spacing w:val="12"/>
          <w:sz w:val="32"/>
        </w:rPr>
        <w:t>增加，发放了2017年、2018年的惠民服务员工资</w:t>
      </w:r>
      <w:r>
        <w:rPr>
          <w:rFonts w:hint="eastAsia" w:ascii="仿宋_GB2312" w:hAnsi="仿宋_GB2312" w:eastAsia="仿宋_GB2312" w:cs="仿宋_GB2312"/>
          <w:color w:val="000000" w:themeColor="text1"/>
          <w:sz w:val="32"/>
          <w:szCs w:val="32"/>
        </w:rPr>
        <w:t>。我单位2018年度无政府性基金</w:t>
      </w:r>
      <w:r>
        <w:rPr>
          <w:rFonts w:hint="eastAsia" w:ascii="仿宋_GB2312" w:hAnsi="仿宋_GB2312" w:eastAsia="仿宋_GB2312" w:cs="仿宋_GB2312"/>
          <w:bCs/>
          <w:color w:val="000000" w:themeColor="text1"/>
          <w:spacing w:val="12"/>
          <w:sz w:val="32"/>
        </w:rPr>
        <w:t>收入，较上年无增减变化</w:t>
      </w:r>
      <w:r>
        <w:rPr>
          <w:rFonts w:hint="eastAsia" w:ascii="仿宋_GB2312" w:hAnsi="仿宋_GB2312" w:eastAsia="仿宋_GB2312" w:cs="仿宋_GB2312"/>
          <w:color w:val="000000" w:themeColor="text1"/>
          <w:sz w:val="32"/>
          <w:szCs w:val="32"/>
        </w:rPr>
        <w:t>。</w:t>
      </w:r>
    </w:p>
    <w:p>
      <w:pPr>
        <w:pageBreakBefore w:val="0"/>
        <w:kinsoku/>
        <w:wordWrap/>
        <w:overflowPunct/>
        <w:topLinePunct w:val="0"/>
        <w:bidi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pageBreakBefore w:val="0"/>
        <w:kinsoku/>
        <w:wordWrap/>
        <w:overflowPunct/>
        <w:topLinePunct w:val="0"/>
        <w:autoSpaceDE w:val="0"/>
        <w:autoSpaceDN w:val="0"/>
        <w:bidi w:val="0"/>
        <w:adjustRightInd w:val="0"/>
        <w:spacing w:line="58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本单位2018年度财政拨款</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color w:val="000000"/>
          <w:sz w:val="32"/>
          <w:szCs w:val="32"/>
        </w:rPr>
        <w:t>907.63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，与年初预算相比无增减变化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lang w:eastAsia="zh-CN"/>
        </w:rPr>
        <w:t>决算数与预算数相等。</w:t>
      </w:r>
      <w:r>
        <w:rPr>
          <w:rFonts w:hint="eastAsia" w:ascii="仿宋_GB2312" w:hAnsi="仿宋_GB2312" w:eastAsia="仿宋_GB2312" w:cs="仿宋_GB2312"/>
          <w:sz w:val="32"/>
          <w:szCs w:val="32"/>
        </w:rPr>
        <w:t>财政拨款</w:t>
      </w:r>
      <w:r>
        <w:rPr>
          <w:rFonts w:hint="eastAsia" w:ascii="仿宋_GB2312" w:hAnsi="仿宋_GB2312" w:eastAsia="仿宋_GB2312" w:cs="仿宋_GB2312"/>
          <w:color w:val="000000"/>
          <w:sz w:val="32"/>
          <w:szCs w:val="32"/>
        </w:rPr>
        <w:t>本年支出907.63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年初预算相比无增减变化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lang w:eastAsia="zh-CN"/>
        </w:rPr>
        <w:t>决算数与预算数相等。</w:t>
      </w:r>
      <w:r>
        <w:rPr>
          <w:rFonts w:hint="eastAsia" w:ascii="仿宋_GB2312" w:hAnsi="仿宋_GB2312" w:eastAsia="仿宋_GB2312" w:cs="仿宋_GB2312"/>
          <w:color w:val="000000"/>
          <w:sz w:val="32"/>
          <w:szCs w:val="32"/>
        </w:rPr>
        <w:t>其中，一般公共预算财政拨款支出</w:t>
      </w:r>
      <w:r>
        <w:rPr>
          <w:rFonts w:hint="eastAsia" w:ascii="仿宋_GB2312" w:hAnsi="仿宋_GB2312" w:eastAsia="仿宋_GB2312" w:cs="仿宋_GB2312"/>
          <w:sz w:val="32"/>
          <w:szCs w:val="32"/>
        </w:rPr>
        <w:t>806.16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sz w:val="32"/>
          <w:szCs w:val="32"/>
        </w:rPr>
        <w:t>年初预算数806.16万元，与年初预算相比无增减变化</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sz w:val="32"/>
          <w:szCs w:val="32"/>
        </w:rPr>
        <w:t>806.16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sz w:val="32"/>
          <w:szCs w:val="32"/>
        </w:rPr>
        <w:t>年初预算数806.16万元，与年初预算相比无增减变化</w:t>
      </w:r>
      <w:r>
        <w:rPr>
          <w:rFonts w:hint="eastAsia" w:ascii="仿宋_GB2312" w:hAnsi="仿宋_GB2312" w:eastAsia="仿宋_GB2312" w:cs="仿宋_GB2312"/>
          <w:color w:val="000000"/>
          <w:sz w:val="32"/>
          <w:szCs w:val="32"/>
        </w:rPr>
        <w:t>。我单位2018年度无政府性基金</w:t>
      </w:r>
      <w:r>
        <w:rPr>
          <w:rFonts w:hint="eastAsia" w:ascii="仿宋_GB2312" w:hAnsi="仿宋_GB2312" w:eastAsia="仿宋_GB2312" w:cs="仿宋_GB2312"/>
          <w:bCs/>
          <w:spacing w:val="12"/>
          <w:sz w:val="32"/>
        </w:rPr>
        <w:t>收入，较上年无增减变化</w:t>
      </w:r>
      <w:r>
        <w:rPr>
          <w:rFonts w:hint="eastAsia" w:ascii="仿宋_GB2312" w:hAnsi="仿宋_GB2312" w:eastAsia="仿宋_GB2312" w:cs="仿宋_GB2312"/>
          <w:sz w:val="32"/>
          <w:szCs w:val="32"/>
        </w:rPr>
        <w:t>。</w:t>
      </w:r>
    </w:p>
    <w:p>
      <w:pPr>
        <w:pageBreakBefore w:val="0"/>
        <w:numPr>
          <w:ilvl w:val="0"/>
          <w:numId w:val="1"/>
        </w:numPr>
        <w:kinsoku/>
        <w:wordWrap/>
        <w:overflowPunct/>
        <w:topLinePunct w:val="0"/>
        <w:bidi w:val="0"/>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pageBreakBefore w:val="0"/>
        <w:kinsoku/>
        <w:wordWrap/>
        <w:overflowPunct/>
        <w:topLinePunct w:val="0"/>
        <w:bidi w:val="0"/>
        <w:adjustRightInd w:val="0"/>
        <w:snapToGrid w:val="0"/>
        <w:spacing w:after="0" w:line="580" w:lineRule="exact"/>
        <w:ind w:firstLine="640" w:firstLineChars="200"/>
        <w:rPr>
          <w:rFonts w:ascii="楷体_GB2312" w:eastAsia="仿宋_GB2312" w:cs="DengXian-Bold"/>
          <w:b/>
          <w:bCs/>
          <w:color w:val="FF0000"/>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_GB2312" w:hAnsi="仿宋_GB2312" w:eastAsia="仿宋_GB2312" w:cs="仿宋_GB2312"/>
          <w:color w:val="000000"/>
          <w:sz w:val="32"/>
          <w:szCs w:val="32"/>
        </w:rPr>
        <w:t>907.63</w:t>
      </w:r>
      <w:r>
        <w:rPr>
          <w:rFonts w:hint="eastAsia" w:ascii="仿宋_GB2312" w:eastAsia="仿宋_GB2312" w:cs="DengXian-Regular"/>
          <w:sz w:val="32"/>
          <w:szCs w:val="32"/>
        </w:rPr>
        <w:t>万元，主要用于以下方面：一般公共服务（类）支出</w:t>
      </w:r>
      <w:r>
        <w:rPr>
          <w:rFonts w:hint="eastAsia" w:ascii="仿宋_GB2312" w:hAnsi="仿宋_GB2312" w:eastAsia="仿宋_GB2312" w:cs="仿宋_GB2312"/>
          <w:color w:val="000000"/>
          <w:sz w:val="32"/>
          <w:szCs w:val="32"/>
        </w:rPr>
        <w:t>806.16</w:t>
      </w:r>
      <w:r>
        <w:rPr>
          <w:rFonts w:hint="eastAsia" w:ascii="仿宋_GB2312" w:eastAsia="仿宋_GB2312" w:cs="DengXian-Regular"/>
          <w:sz w:val="32"/>
          <w:szCs w:val="32"/>
        </w:rPr>
        <w:t>万元，占88.82</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hAnsi="仿宋_GB2312" w:eastAsia="仿宋_GB2312" w:cs="仿宋_GB2312"/>
          <w:sz w:val="32"/>
          <w:szCs w:val="32"/>
        </w:rPr>
        <w:t>社会保障和就业支出58.36万元，</w:t>
      </w:r>
      <w:r>
        <w:rPr>
          <w:rFonts w:hint="eastAsia" w:ascii="仿宋_GB2312" w:eastAsia="仿宋_GB2312" w:cs="DengXian-Regular"/>
          <w:sz w:val="32"/>
          <w:szCs w:val="32"/>
        </w:rPr>
        <w:t>占6.43</w:t>
      </w:r>
      <w:r>
        <w:rPr>
          <w:rFonts w:ascii="仿宋_GB2312" w:eastAsia="仿宋_GB2312" w:cs="DengXian-Regular"/>
          <w:sz w:val="32"/>
          <w:szCs w:val="32"/>
        </w:rPr>
        <w:t>%</w:t>
      </w:r>
      <w:r>
        <w:rPr>
          <w:rFonts w:hint="eastAsia" w:ascii="仿宋_GB2312" w:eastAsia="仿宋_GB2312" w:cs="DengXian-Regular"/>
          <w:sz w:val="32"/>
          <w:szCs w:val="32"/>
        </w:rPr>
        <w:t>；公共安全类（类）支出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；教育（类）支出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；科学技术（类）支出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ascii="仿宋_GB2312" w:eastAsia="仿宋_GB2312" w:cs="DengXian-Regular"/>
          <w:sz w:val="32"/>
          <w:szCs w:val="32"/>
        </w:rPr>
        <w:t xml:space="preserve"> </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hAnsi="仿宋_GB2312" w:eastAsia="仿宋_GB2312" w:cs="仿宋_GB2312"/>
          <w:sz w:val="32"/>
          <w:szCs w:val="32"/>
        </w:rPr>
        <w:t>医疗卫生与计划生育支出15.79万元，占</w:t>
      </w:r>
      <w:r>
        <w:rPr>
          <w:rFonts w:hint="eastAsia" w:ascii="仿宋_GB2312" w:eastAsia="仿宋_GB2312" w:cs="DengXian-Regular"/>
          <w:sz w:val="32"/>
          <w:szCs w:val="32"/>
        </w:rPr>
        <w:t>1.74</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hAnsi="仿宋_GB2312" w:eastAsia="仿宋_GB2312" w:cs="仿宋_GB2312"/>
          <w:sz w:val="32"/>
          <w:szCs w:val="32"/>
        </w:rPr>
        <w:t>住房保障支出27.32万元，</w:t>
      </w:r>
      <w:r>
        <w:rPr>
          <w:rFonts w:hint="eastAsia" w:ascii="仿宋_GB2312" w:eastAsia="仿宋_GB2312" w:cs="DengXian-Regular"/>
          <w:sz w:val="32"/>
          <w:szCs w:val="32"/>
        </w:rPr>
        <w:t>占3.01</w:t>
      </w:r>
      <w:r>
        <w:rPr>
          <w:rFonts w:ascii="仿宋_GB2312" w:eastAsia="仿宋_GB2312" w:cs="DengXian-Regular"/>
          <w:sz w:val="32"/>
          <w:szCs w:val="32"/>
        </w:rPr>
        <w:t>%</w:t>
      </w:r>
      <w:r>
        <w:rPr>
          <w:rFonts w:hint="eastAsia" w:ascii="仿宋_GB2312" w:eastAsia="仿宋_GB2312" w:cs="DengXian-Regular"/>
          <w:sz w:val="32"/>
          <w:szCs w:val="32"/>
        </w:rPr>
        <w:t>。</w:t>
      </w:r>
    </w:p>
    <w:p>
      <w:pPr>
        <w:pageBreakBefore w:val="0"/>
        <w:kinsoku/>
        <w:wordWrap/>
        <w:overflowPunct/>
        <w:topLinePunct w:val="0"/>
        <w:bidi w:val="0"/>
        <w:adjustRightInd w:val="0"/>
        <w:snapToGrid w:val="0"/>
        <w:spacing w:after="0" w:line="580" w:lineRule="exact"/>
        <w:ind w:left="420" w:leftChars="200"/>
        <w:rPr>
          <w:rFonts w:ascii="楷体_GB2312" w:eastAsia="楷体_GB2312" w:cs="DengXian-Bold"/>
          <w:b/>
          <w:bCs/>
          <w:sz w:val="32"/>
          <w:szCs w:val="32"/>
        </w:rPr>
      </w:pPr>
      <w:r>
        <w:pict>
          <v:group id="组合 79" o:spid="_x0000_s1100" o:spt="203" style="position:absolute;left:0pt;margin-left:-79.5pt;margin-top:29.3pt;height:43.95pt;width:301.85pt;mso-position-vertical-relative:page;z-index:251685888;mso-width-relative:page;mso-height-relative:page;" coordorigin="4551,52615" coordsize="8546,1398">
            <o:lock v:ext="edit"/>
            <v:rect id="矩形 13" o:spid="_x0000_s1101" o:spt="1" style="position:absolute;left:4551;top:52615;height:1175;width:8546;v-text-anchor:middle;" fillcolor="#96DA9D" filled="t" stroked="f" coordsize="21600,21600">
              <v:path/>
              <v:fill on="t" focussize="0,0"/>
              <v:stroke on="f" weight="2pt"/>
              <v:imagedata o:title=""/>
              <o:lock v:ext="edit"/>
            </v:rect>
            <v:rect id="矩形 14" o:spid="_x0000_s110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pageBreakBefore w:val="0"/>
        <w:kinsoku/>
        <w:wordWrap/>
        <w:overflowPunct/>
        <w:topLinePunct w:val="0"/>
        <w:autoSpaceDE w:val="0"/>
        <w:autoSpaceDN w:val="0"/>
        <w:bidi w:val="0"/>
        <w:adjustRightIn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2018年度财政拨款基本支出490.80万元，其中人员经费374.86万元，主要包括基本工资176.84万元、津贴补贴77.54万元、奖金21</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万元、机关事业单位基本养老保险缴费43.36万元、职工基本医疗保险缴费15.79万元、住房公积金27.32万元、其他工资福利支出0.39万元、退休费0.94万元、生活补助3.05万元、奖励</w:t>
      </w:r>
      <w:r>
        <w:rPr>
          <w:rFonts w:hint="eastAsia" w:ascii="仿宋_GB2312" w:hAnsi="仿宋_GB2312" w:eastAsia="仿宋_GB2312" w:cs="仿宋_GB2312"/>
          <w:sz w:val="32"/>
          <w:szCs w:val="32"/>
          <w:highlight w:val="none"/>
        </w:rPr>
        <w:t>金8.5</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万元、其他对个人和家庭补助支出0.15万元；公用经费115.94万元，主要包括办公费5.05万元、印刷费4</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万元、邮电费19.90万元、取暖费2.95万元、物业管理费14.16万</w:t>
      </w:r>
      <w:r>
        <w:rPr>
          <w:rFonts w:hint="eastAsia" w:ascii="仿宋_GB2312" w:hAnsi="仿宋_GB2312" w:eastAsia="仿宋_GB2312" w:cs="仿宋_GB2312"/>
          <w:sz w:val="32"/>
          <w:szCs w:val="32"/>
        </w:rPr>
        <w:t>元、差旅</w:t>
      </w:r>
      <w:r>
        <w:rPr>
          <w:rFonts w:hint="eastAsia" w:ascii="仿宋_GB2312" w:hAnsi="仿宋_GB2312" w:eastAsia="仿宋_GB2312" w:cs="仿宋_GB2312"/>
          <w:sz w:val="32"/>
          <w:szCs w:val="32"/>
          <w:highlight w:val="none"/>
        </w:rPr>
        <w:t>费6.1</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万元、维修（护）费1</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万元、会议费1</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万元、公务接待费0.7</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万元、公务用车运行维护费32</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万元、其他交通费用27.79万元、其他商品和服务支出1.3</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w:t>
      </w:r>
    </w:p>
    <w:p>
      <w:pPr>
        <w:pStyle w:val="3"/>
        <w:pageBreakBefore w:val="0"/>
        <w:kinsoku/>
        <w:wordWrap/>
        <w:overflowPunct/>
        <w:topLinePunct w:val="0"/>
        <w:bidi w:val="0"/>
        <w:spacing w:before="0" w:after="0" w:line="580" w:lineRule="exact"/>
        <w:ind w:firstLine="640" w:firstLineChars="200"/>
        <w:rPr>
          <w:rFonts w:ascii="黑体" w:eastAsia="黑体"/>
          <w:b w:val="0"/>
          <w:bCs w:val="0"/>
          <w:highlight w:val="none"/>
        </w:rPr>
      </w:pPr>
      <w:r>
        <w:rPr>
          <w:rFonts w:hint="eastAsia" w:ascii="黑体" w:eastAsia="黑体"/>
          <w:b w:val="0"/>
          <w:bCs w:val="0"/>
          <w:highlight w:val="none"/>
        </w:rPr>
        <w:t>五、一般公共预算财政拨款“三公”经费支出决算情况说明</w:t>
      </w:r>
    </w:p>
    <w:p>
      <w:pPr>
        <w:pageBreakBefore w:val="0"/>
        <w:kinsoku/>
        <w:wordWrap/>
        <w:overflowPunct/>
        <w:topLinePunct w:val="0"/>
        <w:bidi w:val="0"/>
        <w:adjustRightInd w:val="0"/>
        <w:snapToGrid w:val="0"/>
        <w:spacing w:after="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 xml:space="preserve"> 2018年全年一般公共预算财政拨款“三公经费”支出合计62.7</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万元，与年初预算数相比无增减变化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仿宋_GB2312" w:eastAsia="仿宋_GB2312" w:cs="仿宋_GB2312"/>
          <w:sz w:val="32"/>
          <w:szCs w:val="32"/>
        </w:rPr>
        <w:t>。较2017年度决算增</w:t>
      </w:r>
      <w:r>
        <w:rPr>
          <w:rFonts w:hint="eastAsia" w:ascii="仿宋_GB2312" w:hAnsi="仿宋_GB2312" w:eastAsia="仿宋_GB2312" w:cs="仿宋_GB2312"/>
          <w:sz w:val="32"/>
          <w:szCs w:val="32"/>
          <w:lang w:eastAsia="zh-CN"/>
        </w:rPr>
        <w:t>加</w:t>
      </w:r>
      <w:r>
        <w:rPr>
          <w:rFonts w:hint="eastAsia" w:ascii="仿宋_GB2312" w:hAnsi="仿宋_GB2312" w:eastAsia="仿宋_GB2312" w:cs="仿宋_GB2312"/>
          <w:sz w:val="32"/>
          <w:szCs w:val="32"/>
        </w:rPr>
        <w:t>3.43万元，增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rPr>
        <w:t>5.79%。原因是2018年案件大幅度增涨导致了下乡查办案件用车量增大，省市纪委多次派驻督导检查组和明察暗访组督导。具体情况如下：</w:t>
      </w:r>
    </w:p>
    <w:p>
      <w:pPr>
        <w:pageBreakBefore w:val="0"/>
        <w:kinsoku/>
        <w:wordWrap/>
        <w:overflowPunct/>
        <w:topLinePunct w:val="0"/>
        <w:bidi w:val="0"/>
        <w:adjustRightInd w:val="0"/>
        <w:snapToGrid w:val="0"/>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w:t>
      </w:r>
      <w:r>
        <w:pict>
          <v:group id="_x0000_s1106" o:spid="_x0000_s1106" o:spt="203" style="position:absolute;left:0pt;margin-left:-67.5pt;margin-top:41.3pt;height:43.95pt;width:301.85pt;mso-position-vertical-relative:page;z-index:251686912;mso-width-relative:page;mso-height-relative:page;" coordorigin="4551,52615" coordsize="8546,1398">
            <o:lock v:ext="edit"/>
            <v:rect id="矩形 13" o:spid="_x0000_s1107" o:spt="1" style="position:absolute;left:4551;top:52615;height:1175;width:8546;v-text-anchor:middle;" fillcolor="#96DA9D" filled="t" stroked="f" coordsize="21600,21600">
              <v:path/>
              <v:fill on="t" focussize="0,0"/>
              <v:stroke on="f" weight="2pt"/>
              <v:imagedata o:title=""/>
              <o:lock v:ext="edit"/>
            </v:rect>
            <v:rect id="矩形 14" o:spid="_x0000_s110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p>
    <w:p>
      <w:pPr>
        <w:pageBreakBefore w:val="0"/>
        <w:kinsoku/>
        <w:wordWrap/>
        <w:overflowPunct/>
        <w:topLinePunct w:val="0"/>
        <w:bidi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本单位2018年度参加其他单位组织的因公出国（境）团组0个、共0人，无本单位组织的出国（境）团。较年初预算无增减变化，</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仿宋_GB2312" w:eastAsia="仿宋_GB2312" w:cs="仿宋_GB2312"/>
          <w:sz w:val="32"/>
          <w:szCs w:val="32"/>
        </w:rPr>
        <w:t>较2017年决算无增减变化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仿宋_GB2312" w:eastAsia="仿宋_GB2312" w:cs="仿宋_GB2312"/>
          <w:sz w:val="32"/>
          <w:szCs w:val="32"/>
        </w:rPr>
        <w:t>。</w:t>
      </w:r>
    </w:p>
    <w:p>
      <w:pPr>
        <w:pageBreakBefore w:val="0"/>
        <w:numPr>
          <w:ilvl w:val="0"/>
          <w:numId w:val="2"/>
        </w:numPr>
        <w:kinsoku/>
        <w:wordWrap/>
        <w:overflowPunct/>
        <w:topLinePunct w:val="0"/>
        <w:bidi w:val="0"/>
        <w:adjustRightInd w:val="0"/>
        <w:snapToGrid w:val="0"/>
        <w:spacing w:after="0" w:line="580" w:lineRule="exact"/>
        <w:ind w:firstLine="643" w:firstLineChars="200"/>
        <w:rPr>
          <w:rFonts w:ascii="楷体_GB2312" w:eastAsia="楷体_GB2312" w:cs="DengXian-Bold"/>
          <w:b/>
          <w:bCs/>
          <w:sz w:val="32"/>
          <w:szCs w:val="32"/>
          <w:highlight w:val="none"/>
        </w:rPr>
      </w:pPr>
      <w:r>
        <w:rPr>
          <w:rFonts w:hint="eastAsia" w:ascii="楷体_GB2312" w:eastAsia="楷体_GB2312" w:cs="DengXian-Bold"/>
          <w:b/>
          <w:bCs/>
          <w:sz w:val="32"/>
          <w:szCs w:val="32"/>
        </w:rPr>
        <w:t>公务用车购置及运行维护费支</w:t>
      </w:r>
      <w:r>
        <w:rPr>
          <w:rFonts w:hint="eastAsia" w:ascii="楷体_GB2312" w:eastAsia="楷体_GB2312" w:cs="DengXian-Bold"/>
          <w:b/>
          <w:bCs/>
          <w:sz w:val="32"/>
          <w:szCs w:val="32"/>
          <w:highlight w:val="none"/>
        </w:rPr>
        <w:t>出32</w:t>
      </w:r>
      <w:r>
        <w:rPr>
          <w:rFonts w:hint="eastAsia" w:ascii="楷体_GB2312" w:eastAsia="楷体_GB2312" w:cs="DengXian-Bold"/>
          <w:b/>
          <w:bCs/>
          <w:sz w:val="32"/>
          <w:szCs w:val="32"/>
          <w:highlight w:val="none"/>
          <w:lang w:val="en-US" w:eastAsia="zh-CN"/>
        </w:rPr>
        <w:t>.00</w:t>
      </w:r>
      <w:r>
        <w:rPr>
          <w:rFonts w:hint="eastAsia" w:ascii="楷体_GB2312" w:eastAsia="楷体_GB2312" w:cs="DengXian-Bold"/>
          <w:b/>
          <w:bCs/>
          <w:sz w:val="32"/>
          <w:szCs w:val="32"/>
          <w:highlight w:val="none"/>
        </w:rPr>
        <w:t>万元</w:t>
      </w:r>
    </w:p>
    <w:p>
      <w:pPr>
        <w:pageBreakBefore w:val="0"/>
        <w:kinsoku/>
        <w:wordWrap/>
        <w:overflowPunct/>
        <w:topLinePunct w:val="0"/>
        <w:autoSpaceDE w:val="0"/>
        <w:autoSpaceDN w:val="0"/>
        <w:bidi w:val="0"/>
        <w:adjustRightInd w:val="0"/>
        <w:spacing w:line="580" w:lineRule="exact"/>
        <w:ind w:firstLine="640" w:firstLineChars="200"/>
        <w:rPr>
          <w:rFonts w:ascii="仿宋_GB2312" w:eastAsia="仿宋_GB2312" w:cs="DengXian-Bold"/>
          <w:b/>
          <w:bCs/>
          <w:sz w:val="32"/>
          <w:szCs w:val="32"/>
        </w:rPr>
      </w:pPr>
      <w:r>
        <w:rPr>
          <w:rFonts w:hint="eastAsia" w:ascii="仿宋_GB2312" w:eastAsia="仿宋_GB2312" w:cs="DengXian-Regular"/>
          <w:sz w:val="32"/>
          <w:szCs w:val="32"/>
          <w:highlight w:val="none"/>
        </w:rPr>
        <w:t>本部门</w:t>
      </w:r>
      <w:r>
        <w:rPr>
          <w:rFonts w:ascii="仿宋_GB2312" w:eastAsia="仿宋_GB2312" w:cs="DengXian-Regular"/>
          <w:sz w:val="32"/>
          <w:szCs w:val="32"/>
          <w:highlight w:val="none"/>
        </w:rPr>
        <w:t>2018</w:t>
      </w:r>
      <w:r>
        <w:rPr>
          <w:rFonts w:hint="eastAsia" w:ascii="仿宋_GB2312" w:eastAsia="仿宋_GB2312" w:cs="DengXian-Regular"/>
          <w:sz w:val="32"/>
          <w:szCs w:val="32"/>
          <w:highlight w:val="none"/>
        </w:rPr>
        <w:t>年度</w:t>
      </w:r>
      <w:r>
        <w:rPr>
          <w:rFonts w:hint="eastAsia" w:ascii="仿宋_GB2312" w:hAnsi="仿宋_GB2312" w:eastAsia="仿宋_GB2312" w:cs="仿宋_GB2312"/>
          <w:sz w:val="32"/>
          <w:szCs w:val="32"/>
          <w:highlight w:val="none"/>
        </w:rPr>
        <w:t>公务用车运行维护费32</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万元（2018年度未购置公务用车，支出全部为公务用车运行维护费，年末公务用车保有量8辆），较年初预算数无增减变化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仿宋_GB2312" w:eastAsia="仿宋_GB2312" w:cs="仿宋_GB2312"/>
          <w:sz w:val="32"/>
          <w:szCs w:val="32"/>
          <w:highlight w:val="none"/>
        </w:rPr>
        <w:t>。较2017年度决算减少3.6</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降低</w:t>
      </w:r>
      <w:r>
        <w:rPr>
          <w:rFonts w:hint="eastAsia" w:ascii="仿宋_GB2312" w:hAnsi="仿宋_GB2312" w:eastAsia="仿宋_GB2312" w:cs="仿宋_GB2312"/>
          <w:sz w:val="32"/>
          <w:szCs w:val="32"/>
          <w:highlight w:val="none"/>
        </w:rPr>
        <w:t>10.11%。原因是厉行节约，</w:t>
      </w:r>
      <w:r>
        <w:rPr>
          <w:rFonts w:hint="eastAsia" w:ascii="仿宋_GB2312" w:hAnsi="仿宋_GB2312" w:eastAsia="仿宋_GB2312" w:cs="仿宋_GB2312"/>
          <w:sz w:val="32"/>
          <w:szCs w:val="32"/>
          <w:highlight w:val="none"/>
          <w:lang w:eastAsia="zh-CN"/>
        </w:rPr>
        <w:t>车辆油耗减少，</w:t>
      </w:r>
      <w:r>
        <w:rPr>
          <w:rFonts w:hint="eastAsia" w:ascii="仿宋_GB2312" w:hAnsi="仿宋_GB2312" w:eastAsia="仿宋_GB2312" w:cs="仿宋_GB2312"/>
          <w:sz w:val="32"/>
          <w:szCs w:val="32"/>
          <w:highlight w:val="none"/>
        </w:rPr>
        <w:t>运</w:t>
      </w:r>
      <w:r>
        <w:rPr>
          <w:rFonts w:hint="eastAsia" w:ascii="仿宋_GB2312" w:hAnsi="仿宋_GB2312" w:eastAsia="仿宋_GB2312" w:cs="仿宋_GB2312"/>
          <w:sz w:val="32"/>
          <w:szCs w:val="32"/>
        </w:rPr>
        <w:t>行维护费减少。</w:t>
      </w:r>
    </w:p>
    <w:p>
      <w:pPr>
        <w:pageBreakBefore w:val="0"/>
        <w:kinsoku/>
        <w:wordWrap/>
        <w:overflowPunct/>
        <w:topLinePunct w:val="0"/>
        <w:bidi w:val="0"/>
        <w:spacing w:line="580" w:lineRule="exact"/>
        <w:ind w:firstLine="643" w:firstLineChars="200"/>
        <w:rPr>
          <w:rFonts w:ascii="仿宋_GB2312" w:hAnsi="仿宋_GB2312" w:eastAsia="仿宋_GB2312" w:cs="仿宋_GB2312"/>
          <w:sz w:val="32"/>
          <w:szCs w:val="32"/>
        </w:rPr>
      </w:pPr>
      <w:r>
        <w:rPr>
          <w:rFonts w:hint="eastAsia" w:ascii="仿宋_GB2312" w:eastAsia="仿宋_GB2312" w:cs="DengXian-Regular"/>
          <w:b/>
          <w:bCs/>
          <w:sz w:val="32"/>
          <w:szCs w:val="32"/>
        </w:rPr>
        <w:t>公务用车购置费</w:t>
      </w:r>
      <w:r>
        <w:rPr>
          <w:rFonts w:hint="eastAsia" w:ascii="仿宋_GB2312" w:eastAsia="仿宋_GB2312" w:cs="DengXian-Regular"/>
          <w:b/>
          <w:bCs/>
          <w:sz w:val="32"/>
          <w:szCs w:val="32"/>
          <w:lang w:val="en-US" w:eastAsia="zh-CN"/>
        </w:rPr>
        <w:t>0万元</w:t>
      </w:r>
      <w:r>
        <w:rPr>
          <w:rFonts w:hint="eastAsia" w:ascii="仿宋_GB2312" w:eastAsia="仿宋_GB2312" w:cs="DengXian-Regular"/>
          <w:b/>
          <w:bCs/>
          <w:sz w:val="32"/>
          <w:szCs w:val="32"/>
        </w:rPr>
        <w:t>：</w:t>
      </w:r>
      <w:r>
        <w:rPr>
          <w:rFonts w:hint="eastAsia" w:ascii="仿宋_GB2312" w:eastAsia="仿宋_GB2312" w:cs="DengXian-Regular"/>
          <w:sz w:val="32"/>
          <w:szCs w:val="32"/>
        </w:rPr>
        <w:t>本部门2018年度公务用车购置量0辆，发生“公务用车购置”经费支出0万元，较年初预算无增减变化</w:t>
      </w:r>
      <w:r>
        <w:rPr>
          <w:rFonts w:hint="eastAsia" w:ascii="仿宋_GB2312" w:eastAsia="仿宋_GB2312" w:cs="DengXian-Regular"/>
          <w:sz w:val="32"/>
          <w:szCs w:val="32"/>
          <w:lang w:eastAsia="zh-CN"/>
        </w:rPr>
        <w:t>，</w:t>
      </w:r>
      <w:r>
        <w:rPr>
          <w:rFonts w:hint="eastAsia" w:ascii="仿宋_GB2312" w:hAnsi="仿宋_GB2312" w:eastAsia="仿宋_GB2312" w:cs="仿宋_GB2312"/>
          <w:sz w:val="32"/>
          <w:szCs w:val="32"/>
          <w:highlight w:val="none"/>
          <w:lang w:val="en-US" w:eastAsia="zh-CN"/>
        </w:rPr>
        <w:t>主要是</w:t>
      </w:r>
      <w:r>
        <w:rPr>
          <w:rFonts w:hint="eastAsia" w:ascii="仿宋_GB2312" w:eastAsia="仿宋_GB2312" w:cs="DengXian-Regular"/>
          <w:sz w:val="32"/>
          <w:szCs w:val="32"/>
        </w:rPr>
        <w:t>2018年未购置新车</w:t>
      </w:r>
      <w:r>
        <w:rPr>
          <w:rFonts w:hint="eastAsia" w:ascii="仿宋_GB2312" w:hAnsi="仿宋_GB2312" w:eastAsia="仿宋_GB2312" w:cs="仿宋_GB2312"/>
          <w:sz w:val="32"/>
          <w:szCs w:val="32"/>
          <w:highlight w:val="none"/>
          <w:lang w:val="en-US" w:eastAsia="zh-CN"/>
        </w:rPr>
        <w:t>。</w:t>
      </w:r>
      <w:r>
        <w:rPr>
          <w:rFonts w:hint="eastAsia" w:ascii="仿宋_GB2312" w:eastAsia="仿宋_GB2312" w:cs="DengXian-Regular"/>
          <w:sz w:val="32"/>
          <w:szCs w:val="32"/>
        </w:rPr>
        <w:t>较2017年决算无增减变化，原因是2018年未购置新车。</w:t>
      </w:r>
    </w:p>
    <w:p>
      <w:pPr>
        <w:pageBreakBefore w:val="0"/>
        <w:kinsoku/>
        <w:wordWrap/>
        <w:overflowPunct/>
        <w:topLinePunct w:val="0"/>
        <w:bidi w:val="0"/>
        <w:adjustRightInd w:val="0"/>
        <w:snapToGrid w:val="0"/>
        <w:spacing w:after="0" w:line="580" w:lineRule="exact"/>
        <w:ind w:firstLine="643" w:firstLineChars="200"/>
        <w:rPr>
          <w:rFonts w:ascii="仿宋_GB2312" w:hAnsi="仿宋_GB2312" w:eastAsia="仿宋_GB2312" w:cs="仿宋_GB2312"/>
          <w:sz w:val="32"/>
          <w:szCs w:val="32"/>
          <w:highlight w:val="none"/>
        </w:rPr>
      </w:pPr>
      <w:r>
        <w:rPr>
          <w:rFonts w:hint="eastAsia" w:ascii="仿宋_GB2312" w:eastAsia="仿宋_GB2312" w:cs="DengXian-Regular"/>
          <w:b/>
          <w:sz w:val="32"/>
          <w:szCs w:val="32"/>
        </w:rPr>
        <w:t>公务用车运行维护费</w:t>
      </w:r>
      <w:r>
        <w:rPr>
          <w:rFonts w:hint="eastAsia" w:ascii="仿宋_GB2312" w:eastAsia="仿宋_GB2312" w:cs="DengXian-Regular"/>
          <w:b/>
          <w:sz w:val="32"/>
          <w:szCs w:val="32"/>
          <w:lang w:val="en-US" w:eastAsia="zh-CN"/>
        </w:rPr>
        <w:t>32.00万元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年度单位公务用车保有量8辆。公</w:t>
      </w:r>
      <w:r>
        <w:rPr>
          <w:rFonts w:hint="eastAsia" w:ascii="仿宋_GB2312" w:eastAsia="仿宋_GB2312" w:cs="DengXian-Regular"/>
          <w:sz w:val="32"/>
          <w:szCs w:val="32"/>
          <w:highlight w:val="none"/>
        </w:rPr>
        <w:t>车运行维护费支出较年初预算</w:t>
      </w:r>
      <w:r>
        <w:rPr>
          <w:rFonts w:hint="eastAsia" w:ascii="仿宋_GB2312" w:hAnsi="仿宋_GB2312" w:eastAsia="仿宋_GB2312" w:cs="仿宋_GB2312"/>
          <w:sz w:val="32"/>
          <w:szCs w:val="32"/>
          <w:highlight w:val="none"/>
        </w:rPr>
        <w:t>无增减变化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仿宋_GB2312" w:eastAsia="仿宋_GB2312" w:cs="仿宋_GB2312"/>
          <w:sz w:val="32"/>
          <w:szCs w:val="32"/>
          <w:highlight w:val="none"/>
        </w:rPr>
        <w:t>较2017年度决算减少3.6</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sz w:val="32"/>
          <w:szCs w:val="32"/>
          <w:highlight w:val="none"/>
          <w:lang w:eastAsia="zh-CN"/>
        </w:rPr>
        <w:t>降低</w:t>
      </w:r>
      <w:r>
        <w:rPr>
          <w:rFonts w:hint="eastAsia" w:ascii="仿宋_GB2312" w:hAnsi="仿宋_GB2312" w:eastAsia="仿宋_GB2312" w:cs="仿宋_GB2312"/>
          <w:color w:val="auto"/>
          <w:sz w:val="32"/>
          <w:szCs w:val="32"/>
          <w:highlight w:val="none"/>
        </w:rPr>
        <w:t>10.11%</w:t>
      </w:r>
      <w:r>
        <w:rPr>
          <w:rFonts w:hint="eastAsia" w:ascii="仿宋_GB2312" w:hAnsi="仿宋_GB2312" w:eastAsia="仿宋_GB2312" w:cs="仿宋_GB2312"/>
          <w:sz w:val="32"/>
          <w:szCs w:val="32"/>
          <w:highlight w:val="none"/>
        </w:rPr>
        <w:t>。原因是厉行节约，</w:t>
      </w:r>
      <w:r>
        <w:rPr>
          <w:rFonts w:hint="eastAsia" w:ascii="仿宋_GB2312" w:hAnsi="仿宋_GB2312" w:eastAsia="仿宋_GB2312" w:cs="仿宋_GB2312"/>
          <w:sz w:val="32"/>
          <w:szCs w:val="32"/>
          <w:highlight w:val="none"/>
          <w:lang w:eastAsia="zh-CN"/>
        </w:rPr>
        <w:t>车辆油耗减少，</w:t>
      </w:r>
      <w:r>
        <w:rPr>
          <w:rFonts w:hint="eastAsia" w:ascii="仿宋_GB2312" w:hAnsi="仿宋_GB2312" w:eastAsia="仿宋_GB2312" w:cs="仿宋_GB2312"/>
          <w:sz w:val="32"/>
          <w:szCs w:val="32"/>
          <w:highlight w:val="none"/>
        </w:rPr>
        <w:t>运行维护费减少。</w:t>
      </w:r>
    </w:p>
    <w:p>
      <w:pPr>
        <w:pageBreakBefore w:val="0"/>
        <w:numPr>
          <w:ilvl w:val="0"/>
          <w:numId w:val="2"/>
        </w:numPr>
        <w:kinsoku/>
        <w:wordWrap/>
        <w:overflowPunct/>
        <w:topLinePunct w:val="0"/>
        <w:bidi w:val="0"/>
        <w:adjustRightInd w:val="0"/>
        <w:snapToGrid w:val="0"/>
        <w:spacing w:after="0" w:line="580" w:lineRule="exact"/>
        <w:ind w:firstLine="643" w:firstLineChars="200"/>
        <w:rPr>
          <w:rFonts w:ascii="楷体_GB2312" w:eastAsia="楷体_GB2312" w:cs="DengXian-Bold"/>
          <w:b/>
          <w:bCs/>
          <w:sz w:val="32"/>
          <w:szCs w:val="32"/>
          <w:highlight w:val="none"/>
        </w:rPr>
      </w:pPr>
      <w:r>
        <w:rPr>
          <w:rFonts w:hint="eastAsia" w:ascii="楷体_GB2312" w:eastAsia="楷体_GB2312" w:cs="DengXian-Bold"/>
          <w:b/>
          <w:bCs/>
          <w:sz w:val="32"/>
          <w:szCs w:val="32"/>
          <w:highlight w:val="none"/>
        </w:rPr>
        <w:t>公务接待费支出30.7万元</w:t>
      </w:r>
    </w:p>
    <w:p>
      <w:pPr>
        <w:pStyle w:val="11"/>
        <w:spacing w:before="0" w:beforeAutospacing="0" w:after="0" w:afterAutospacing="0" w:line="580" w:lineRule="exact"/>
        <w:ind w:firstLine="688" w:firstLineChars="200"/>
        <w:rPr>
          <w:rFonts w:hint="eastAsia" w:ascii="仿宋" w:hAnsi="仿宋" w:eastAsia="仿宋" w:cs="仿宋"/>
          <w:bCs/>
          <w:spacing w:val="12"/>
          <w:sz w:val="32"/>
          <w:lang w:eastAsia="zh-CN"/>
        </w:rPr>
      </w:pPr>
      <w:r>
        <w:rPr>
          <w:rFonts w:hint="eastAsia" w:ascii="仿宋" w:hAnsi="仿宋" w:eastAsia="仿宋" w:cs="仿宋"/>
          <w:bCs/>
          <w:spacing w:val="12"/>
          <w:sz w:val="32"/>
          <w:highlight w:val="none"/>
          <w:lang w:eastAsia="zh-CN"/>
        </w:rPr>
        <w:pict>
          <v:group id="_x0000_s1109" o:spid="_x0000_s1109" o:spt="203" style="position:absolute;left:0pt;margin-left:-66pt;margin-top:40.55pt;height:43.95pt;width:301.85pt;mso-position-vertical-relative:page;z-index:251687936;mso-width-relative:page;mso-height-relative:page;" coordorigin="4551,52615" coordsize="8546,1398">
            <o:lock v:ext="edit"/>
            <v:rect id="矩形 13" o:spid="_x0000_s1110" o:spt="1" style="position:absolute;left:4551;top:52615;height:1175;width:8546;v-text-anchor:middle;" fillcolor="#96DA9D" filled="t" stroked="f" coordsize="21600,21600">
              <v:path/>
              <v:fill on="t" focussize="0,0"/>
              <v:stroke on="f" weight="2pt"/>
              <v:imagedata o:title=""/>
              <o:lock v:ext="edit"/>
            </v:rect>
            <v:rect id="矩形 14" o:spid="_x0000_s111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 w:hAnsi="仿宋" w:eastAsia="仿宋" w:cs="仿宋"/>
          <w:bCs/>
          <w:spacing w:val="12"/>
          <w:sz w:val="32"/>
          <w:highlight w:val="none"/>
          <w:lang w:eastAsia="zh-CN"/>
        </w:rPr>
        <w:t>本部门2018年度公务接待共90批次、3530人次。公务接待费支出较年初预算相比无增减变化，</w:t>
      </w:r>
      <w:r>
        <w:rPr>
          <w:rFonts w:hint="eastAsia" w:ascii="仿宋_GB2312" w:hAnsi="仿宋_GB2312" w:eastAsia="仿宋_GB2312" w:cs="仿宋_GB2312"/>
          <w:sz w:val="32"/>
          <w:szCs w:val="32"/>
          <w:highlight w:val="none"/>
          <w:lang w:val="en-US" w:eastAsia="zh-CN"/>
        </w:rPr>
        <w:t>主要是厉行节约，严格控制了费用支出</w:t>
      </w:r>
      <w:bookmarkStart w:id="2" w:name="_GoBack"/>
      <w:bookmarkEnd w:id="2"/>
      <w:r>
        <w:rPr>
          <w:rFonts w:hint="eastAsia" w:ascii="仿宋" w:hAnsi="仿宋" w:eastAsia="仿宋" w:cs="仿宋"/>
          <w:bCs/>
          <w:spacing w:val="12"/>
          <w:sz w:val="32"/>
          <w:highlight w:val="none"/>
          <w:lang w:eastAsia="zh-CN"/>
        </w:rPr>
        <w:t>；</w:t>
      </w:r>
      <w:r>
        <w:rPr>
          <w:rFonts w:hint="eastAsia" w:ascii="仿宋" w:hAnsi="仿宋" w:eastAsia="仿宋" w:cs="仿宋"/>
          <w:bCs/>
          <w:spacing w:val="12"/>
          <w:sz w:val="32"/>
          <w:highlight w:val="none"/>
          <w:lang w:val="en-US" w:eastAsia="zh-CN"/>
        </w:rPr>
        <w:t>较2017</w:t>
      </w:r>
      <w:r>
        <w:rPr>
          <w:rFonts w:hint="eastAsia" w:ascii="仿宋_GB2312" w:hAnsi="仿宋_GB2312" w:eastAsia="仿宋_GB2312" w:cs="仿宋_GB2312"/>
          <w:bCs/>
          <w:spacing w:val="12"/>
          <w:sz w:val="32"/>
          <w:highlight w:val="none"/>
        </w:rPr>
        <w:t>年决算增加</w:t>
      </w:r>
      <w:r>
        <w:rPr>
          <w:rFonts w:hint="eastAsia" w:ascii="仿宋_GB2312" w:hAnsi="仿宋_GB2312" w:eastAsia="仿宋_GB2312" w:cs="仿宋_GB2312"/>
          <w:bCs/>
          <w:spacing w:val="12"/>
          <w:sz w:val="32"/>
          <w:highlight w:val="none"/>
          <w:lang w:val="en-US" w:eastAsia="zh-CN"/>
        </w:rPr>
        <w:t>7.03</w:t>
      </w:r>
      <w:r>
        <w:rPr>
          <w:rFonts w:hint="eastAsia" w:ascii="仿宋_GB2312" w:hAnsi="仿宋_GB2312" w:eastAsia="仿宋_GB2312" w:cs="仿宋_GB2312"/>
          <w:bCs/>
          <w:spacing w:val="12"/>
          <w:sz w:val="32"/>
          <w:highlight w:val="none"/>
        </w:rPr>
        <w:t xml:space="preserve"> 万元，</w:t>
      </w:r>
      <w:r>
        <w:rPr>
          <w:rFonts w:hint="eastAsia" w:ascii="仿宋_GB2312" w:hAnsi="仿宋_GB2312" w:eastAsia="仿宋_GB2312" w:cs="仿宋_GB2312"/>
          <w:bCs/>
          <w:spacing w:val="12"/>
          <w:sz w:val="32"/>
        </w:rPr>
        <w:t>增</w:t>
      </w:r>
      <w:r>
        <w:rPr>
          <w:rFonts w:hint="eastAsia" w:ascii="仿宋_GB2312" w:hAnsi="仿宋_GB2312" w:eastAsia="仿宋_GB2312" w:cs="仿宋_GB2312"/>
          <w:bCs/>
          <w:spacing w:val="12"/>
          <w:sz w:val="32"/>
          <w:lang w:eastAsia="zh-CN"/>
        </w:rPr>
        <w:t>长</w:t>
      </w:r>
      <w:r>
        <w:rPr>
          <w:rFonts w:hint="eastAsia" w:ascii="仿宋_GB2312" w:hAnsi="仿宋_GB2312" w:eastAsia="仿宋_GB2312" w:cs="仿宋_GB2312"/>
          <w:bCs/>
          <w:spacing w:val="12"/>
          <w:sz w:val="32"/>
          <w:lang w:val="en-US" w:eastAsia="zh-CN"/>
        </w:rPr>
        <w:t>29.71</w:t>
      </w:r>
      <w:r>
        <w:rPr>
          <w:rFonts w:hint="eastAsia" w:ascii="仿宋_GB2312" w:hAnsi="仿宋_GB2312" w:eastAsia="仿宋_GB2312" w:cs="仿宋_GB2312"/>
          <w:bCs/>
          <w:spacing w:val="12"/>
          <w:sz w:val="32"/>
        </w:rPr>
        <w:t>%，</w:t>
      </w:r>
      <w:r>
        <w:rPr>
          <w:rFonts w:hint="eastAsia" w:ascii="仿宋_GB2312" w:hAnsi="仿宋_GB2312" w:eastAsia="仿宋_GB2312" w:cs="仿宋_GB2312"/>
          <w:kern w:val="2"/>
          <w:sz w:val="32"/>
          <w:szCs w:val="32"/>
        </w:rPr>
        <w:t>主要原因是201</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年</w:t>
      </w:r>
      <w:r>
        <w:rPr>
          <w:rFonts w:hint="eastAsia" w:ascii="仿宋" w:hAnsi="仿宋" w:eastAsia="仿宋" w:cs="仿宋"/>
          <w:bCs/>
          <w:spacing w:val="12"/>
          <w:sz w:val="32"/>
          <w:lang w:eastAsia="zh-CN"/>
        </w:rPr>
        <w:t>以来案件线索大量增加，市纪委多次到我县开展大要案查办工作，同时省市纪委分阶段安排人员对一问责八清理专项行动进行督导检查，增加专项接待开支。</w:t>
      </w:r>
    </w:p>
    <w:p>
      <w:pPr>
        <w:pageBreakBefore w:val="0"/>
        <w:kinsoku/>
        <w:wordWrap/>
        <w:overflowPunct/>
        <w:topLinePunct w:val="0"/>
        <w:bidi w:val="0"/>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pageBreakBefore w:val="0"/>
        <w:kinsoku/>
        <w:wordWrap/>
        <w:overflowPunct/>
        <w:topLinePunct w:val="0"/>
        <w:bidi w:val="0"/>
        <w:spacing w:line="580" w:lineRule="exact"/>
        <w:ind w:firstLine="691" w:firstLineChars="200"/>
        <w:outlineLvl w:val="0"/>
        <w:rPr>
          <w:rFonts w:hint="eastAsia" w:ascii="仿宋" w:hAnsi="仿宋" w:eastAsia="仿宋" w:cs="仿宋"/>
          <w:b/>
          <w:bCs w:val="0"/>
          <w:spacing w:val="12"/>
          <w:sz w:val="32"/>
          <w:lang w:eastAsia="zh-CN"/>
        </w:rPr>
      </w:pPr>
      <w:r>
        <w:rPr>
          <w:rFonts w:hint="eastAsia" w:ascii="仿宋" w:hAnsi="仿宋" w:eastAsia="仿宋" w:cs="仿宋"/>
          <w:b/>
          <w:bCs w:val="0"/>
          <w:spacing w:val="12"/>
          <w:sz w:val="32"/>
          <w:lang w:eastAsia="zh-CN"/>
        </w:rPr>
        <w:t>（一）预算绩效管理工作开展情况  </w:t>
      </w:r>
    </w:p>
    <w:p>
      <w:pPr>
        <w:pageBreakBefore w:val="0"/>
        <w:kinsoku/>
        <w:wordWrap/>
        <w:overflowPunct/>
        <w:topLinePunct w:val="0"/>
        <w:bidi w:val="0"/>
        <w:spacing w:line="580" w:lineRule="exact"/>
        <w:ind w:firstLine="688" w:firstLineChars="200"/>
        <w:outlineLvl w:val="0"/>
        <w:rPr>
          <w:rFonts w:hint="eastAsia" w:ascii="仿宋" w:hAnsi="仿宋" w:eastAsia="仿宋" w:cs="仿宋"/>
          <w:bCs/>
          <w:spacing w:val="12"/>
          <w:sz w:val="32"/>
          <w:lang w:eastAsia="zh-CN"/>
        </w:rPr>
      </w:pPr>
      <w:r>
        <w:rPr>
          <w:rFonts w:hint="eastAsia" w:ascii="仿宋" w:hAnsi="仿宋" w:eastAsia="仿宋" w:cs="仿宋"/>
          <w:bCs/>
          <w:spacing w:val="12"/>
          <w:sz w:val="32"/>
          <w:lang w:eastAsia="zh-CN"/>
        </w:rPr>
        <w:t>认真贯彻落实中央、省委、市委县委关于党风廉政建设和反腐败斗争的决策部署，按照中央纪委、省纪委、市纪委提出的目标任务要求，阜平县纪委坚持巩固和深化落实中央八项规定精神成果，持之以恒纠正“四风”，深入推进党风廉政建设和反腐败斗争。为进一步增强本单位支出管理的责任，优化支出结构，提高财政资金使用效益，保障更好地履行职责，根据关于开展财政资金绩效自评工作相关文件要求，结合单位实际情况，实施了包含核实数据、查阅资料、发放调查问卷、归纳汇总、根据评价材料结合各项评价指标进行分析评分、形成绩效评价自评报告等工作程序，确保了绩效评估工作按照相关文件精神不走样。</w:t>
      </w:r>
    </w:p>
    <w:p>
      <w:pPr>
        <w:pageBreakBefore w:val="0"/>
        <w:kinsoku/>
        <w:wordWrap/>
        <w:overflowPunct/>
        <w:topLinePunct w:val="0"/>
        <w:bidi w:val="0"/>
        <w:spacing w:line="580" w:lineRule="exact"/>
        <w:ind w:firstLine="691" w:firstLineChars="200"/>
        <w:outlineLvl w:val="0"/>
        <w:rPr>
          <w:rFonts w:hint="eastAsia" w:ascii="仿宋" w:hAnsi="仿宋" w:eastAsia="仿宋" w:cs="仿宋"/>
          <w:b/>
          <w:bCs w:val="0"/>
          <w:spacing w:val="12"/>
          <w:sz w:val="32"/>
          <w:lang w:eastAsia="zh-CN"/>
        </w:rPr>
      </w:pPr>
      <w:r>
        <w:rPr>
          <w:rFonts w:hint="eastAsia" w:ascii="仿宋" w:hAnsi="仿宋" w:eastAsia="仿宋" w:cs="仿宋"/>
          <w:b/>
          <w:bCs w:val="0"/>
          <w:spacing w:val="12"/>
          <w:sz w:val="32"/>
          <w:lang w:eastAsia="zh-CN"/>
        </w:rPr>
        <w:t>（二）项目绩效自评结果</w:t>
      </w:r>
    </w:p>
    <w:p>
      <w:pPr>
        <w:pageBreakBefore w:val="0"/>
        <w:kinsoku/>
        <w:wordWrap/>
        <w:overflowPunct/>
        <w:topLinePunct w:val="0"/>
        <w:bidi w:val="0"/>
        <w:spacing w:line="580" w:lineRule="exact"/>
        <w:ind w:firstLine="688" w:firstLineChars="200"/>
        <w:outlineLvl w:val="0"/>
        <w:rPr>
          <w:rFonts w:hint="eastAsia" w:ascii="仿宋" w:hAnsi="仿宋" w:eastAsia="仿宋" w:cs="仿宋"/>
          <w:bCs/>
          <w:spacing w:val="12"/>
          <w:sz w:val="32"/>
          <w:lang w:eastAsia="zh-CN"/>
        </w:rPr>
      </w:pPr>
      <w:r>
        <w:rPr>
          <w:rFonts w:hint="eastAsia" w:ascii="仿宋" w:hAnsi="仿宋" w:eastAsia="仿宋" w:cs="仿宋"/>
          <w:bCs/>
          <w:spacing w:val="12"/>
          <w:sz w:val="32"/>
          <w:lang w:eastAsia="zh-CN"/>
        </w:rPr>
        <w:t>根据</w:t>
      </w:r>
      <w:bookmarkStart w:id="1" w:name="_Toc477179486"/>
      <w:r>
        <w:rPr>
          <w:rFonts w:hint="eastAsia" w:ascii="仿宋" w:hAnsi="仿宋" w:eastAsia="仿宋" w:cs="仿宋"/>
          <w:bCs/>
          <w:spacing w:val="12"/>
          <w:sz w:val="32"/>
          <w:lang w:eastAsia="zh-CN"/>
        </w:rPr>
        <w:t>部门职责-工作活动绩效目标</w:t>
      </w:r>
      <w:bookmarkEnd w:id="1"/>
      <w:r>
        <w:rPr>
          <w:rFonts w:hint="eastAsia" w:ascii="仿宋" w:hAnsi="仿宋" w:eastAsia="仿宋" w:cs="仿宋"/>
          <w:bCs/>
          <w:spacing w:val="12"/>
          <w:sz w:val="32"/>
          <w:lang w:eastAsia="zh-CN"/>
        </w:rPr>
        <w:t>评分，部门整体支出绩效为“优秀”取得了较好的成果，较好实现了预算项目绩效目标。县纪委2018年加大惠民政策落实情况监督检查力度，严肃处理十八大以来不收敛不收手，群众反映强烈的干部，建立健全规章制度，从制度上防止腐败现象发生，通报典型案例，警示全县党员干部。</w:t>
      </w:r>
    </w:p>
    <w:p>
      <w:pPr>
        <w:pageBreakBefore w:val="0"/>
        <w:kinsoku/>
        <w:wordWrap/>
        <w:overflowPunct/>
        <w:topLinePunct w:val="0"/>
        <w:bidi w:val="0"/>
        <w:spacing w:line="580" w:lineRule="exact"/>
        <w:ind w:firstLine="643" w:firstLineChars="200"/>
        <w:outlineLvl w:val="0"/>
        <w:rPr>
          <w:rFonts w:hint="eastAsia" w:ascii="仿宋" w:hAnsi="仿宋" w:eastAsia="仿宋_GB2312" w:cs="仿宋"/>
          <w:bCs/>
          <w:spacing w:val="12"/>
          <w:sz w:val="32"/>
          <w:lang w:eastAsia="zh-CN"/>
        </w:rPr>
      </w:pPr>
      <w:r>
        <w:rPr>
          <w:rFonts w:hint="eastAsia" w:ascii="仿宋_GB2312" w:eastAsia="仿宋_GB2312" w:cs="DengXian-Regular"/>
          <w:b/>
          <w:bCs/>
          <w:sz w:val="32"/>
          <w:szCs w:val="32"/>
        </w:rPr>
        <w:t>（三）重点项目绩效评价结果</w:t>
      </w:r>
      <w:r>
        <w:rPr>
          <w:rFonts w:hint="eastAsia" w:ascii="仿宋_GB2312" w:eastAsia="仿宋_GB2312" w:cs="DengXian-Regular"/>
          <w:sz w:val="32"/>
          <w:szCs w:val="32"/>
          <w:lang w:eastAsia="zh-CN"/>
        </w:rPr>
        <w:t>：无。</w:t>
      </w:r>
    </w:p>
    <w:p>
      <w:pPr>
        <w:pStyle w:val="3"/>
        <w:pageBreakBefore w:val="0"/>
        <w:kinsoku/>
        <w:wordWrap/>
        <w:overflowPunct/>
        <w:topLinePunct w:val="0"/>
        <w:bidi w:val="0"/>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pageBreakBefore w:val="0"/>
        <w:kinsoku/>
        <w:wordWrap/>
        <w:overflowPunct/>
        <w:topLinePunct w:val="0"/>
        <w:bidi w:val="0"/>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pageBreakBefore w:val="0"/>
        <w:kinsoku/>
        <w:wordWrap/>
        <w:overflowPunct/>
        <w:topLinePunct w:val="0"/>
        <w:bidi w:val="0"/>
        <w:adjustRightInd w:val="0"/>
        <w:snapToGrid w:val="0"/>
        <w:spacing w:after="0" w:line="580" w:lineRule="exact"/>
        <w:ind w:firstLine="688" w:firstLineChars="200"/>
        <w:rPr>
          <w:rFonts w:hint="eastAsia" w:ascii="仿宋" w:hAnsi="仿宋" w:eastAsia="仿宋" w:cs="仿宋"/>
          <w:bCs/>
          <w:spacing w:val="12"/>
          <w:sz w:val="32"/>
        </w:rPr>
      </w:pPr>
      <w:r>
        <w:rPr>
          <w:rFonts w:hint="eastAsia" w:ascii="仿宋" w:hAnsi="仿宋" w:eastAsia="仿宋" w:cs="仿宋"/>
          <w:bCs/>
          <w:spacing w:val="12"/>
          <w:sz w:val="32"/>
          <w:lang w:eastAsia="zh-CN"/>
        </w:rPr>
        <w:t>本部</w:t>
      </w:r>
      <w:r>
        <w:rPr>
          <w:rFonts w:hint="eastAsia" w:ascii="仿宋" w:hAnsi="仿宋" w:eastAsia="仿宋" w:cs="仿宋"/>
          <w:bCs/>
          <w:spacing w:val="12"/>
          <w:sz w:val="32"/>
        </w:rPr>
        <w:t>门2018年度机关运行经费支出115.94万元，</w:t>
      </w:r>
      <w:r>
        <w:rPr>
          <w:rFonts w:hint="eastAsia" w:ascii="仿宋" w:hAnsi="仿宋" w:eastAsia="仿宋" w:cs="仿宋"/>
          <w:bCs/>
          <w:spacing w:val="12"/>
          <w:sz w:val="32"/>
          <w:lang w:eastAsia="zh-CN"/>
        </w:rPr>
        <w:t>与年初预算数相比增加</w:t>
      </w:r>
      <w:r>
        <w:rPr>
          <w:rFonts w:hint="eastAsia" w:ascii="仿宋" w:hAnsi="仿宋" w:eastAsia="仿宋" w:cs="仿宋"/>
          <w:bCs/>
          <w:spacing w:val="12"/>
          <w:sz w:val="32"/>
          <w:lang w:val="en-US" w:eastAsia="zh-CN"/>
        </w:rPr>
        <w:t>0万元，增长0%</w:t>
      </w:r>
      <w:r>
        <w:rPr>
          <w:rFonts w:hint="eastAsia" w:ascii="仿宋" w:hAnsi="仿宋" w:eastAsia="仿宋" w:cs="仿宋"/>
          <w:bCs/>
          <w:spacing w:val="12"/>
          <w:sz w:val="32"/>
          <w:lang w:eastAsia="zh-CN"/>
        </w:rPr>
        <w:t>；</w:t>
      </w:r>
      <w:r>
        <w:rPr>
          <w:rFonts w:hint="eastAsia" w:ascii="仿宋" w:hAnsi="仿宋" w:eastAsia="仿宋" w:cs="仿宋"/>
          <w:bCs/>
          <w:spacing w:val="12"/>
          <w:sz w:val="32"/>
        </w:rPr>
        <w:t>比上年决算减少82.12万元，</w:t>
      </w:r>
      <w:r>
        <w:rPr>
          <w:rFonts w:hint="eastAsia" w:ascii="仿宋" w:hAnsi="仿宋" w:eastAsia="仿宋" w:cs="仿宋"/>
          <w:bCs/>
          <w:spacing w:val="12"/>
          <w:sz w:val="32"/>
          <w:lang w:eastAsia="zh-CN"/>
        </w:rPr>
        <w:t>降低</w:t>
      </w:r>
      <w:r>
        <w:rPr>
          <w:rFonts w:hint="eastAsia" w:ascii="仿宋" w:hAnsi="仿宋" w:eastAsia="仿宋" w:cs="仿宋"/>
          <w:bCs/>
          <w:spacing w:val="12"/>
          <w:sz w:val="32"/>
        </w:rPr>
        <w:t>41.46%，原因是厉行俭约缩减开支。</w:t>
      </w:r>
    </w:p>
    <w:p>
      <w:pPr>
        <w:pStyle w:val="4"/>
        <w:pageBreakBefore w:val="0"/>
        <w:kinsoku/>
        <w:wordWrap/>
        <w:overflowPunct/>
        <w:topLinePunct w:val="0"/>
        <w:bidi w:val="0"/>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pageBreakBefore w:val="0"/>
        <w:kinsoku/>
        <w:wordWrap/>
        <w:overflowPunct/>
        <w:topLinePunct w:val="0"/>
        <w:bidi w:val="0"/>
        <w:spacing w:line="600" w:lineRule="exact"/>
        <w:ind w:firstLine="860" w:firstLineChars="250"/>
        <w:rPr>
          <w:rFonts w:ascii="仿宋" w:hAnsi="仿宋" w:eastAsia="仿宋" w:cs="仿宋"/>
          <w:bCs/>
          <w:spacing w:val="12"/>
          <w:sz w:val="32"/>
        </w:rPr>
      </w:pPr>
      <w:r>
        <w:rPr>
          <w:rFonts w:hint="eastAsia" w:ascii="仿宋" w:hAnsi="仿宋" w:eastAsia="仿宋" w:cs="仿宋"/>
          <w:bCs/>
          <w:spacing w:val="12"/>
          <w:sz w:val="32"/>
        </w:rPr>
        <w:t>本部门2018年度政府采购支出总额0万元，从采购类型来看，政府采购货物支出0万元、政府采购工程支出0万元、政府采购服务支出0万元。授予中小企业合同金0万元，占政府采购支出总额的0%，其中授予小微企业合同金额0万元，占政府采购支出总额的 0%。</w:t>
      </w:r>
    </w:p>
    <w:p>
      <w:pPr>
        <w:pStyle w:val="4"/>
        <w:pageBreakBefore w:val="0"/>
        <w:kinsoku/>
        <w:wordWrap/>
        <w:overflowPunct/>
        <w:topLinePunct w:val="0"/>
        <w:bidi w:val="0"/>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pStyle w:val="11"/>
        <w:pageBreakBefore w:val="0"/>
        <w:kinsoku/>
        <w:wordWrap/>
        <w:overflowPunct/>
        <w:topLinePunct w:val="0"/>
        <w:bidi w:val="0"/>
        <w:spacing w:before="0" w:beforeAutospacing="0" w:after="0" w:afterAutospacing="0" w:line="580" w:lineRule="exact"/>
        <w:ind w:firstLine="688" w:firstLineChars="200"/>
        <w:rPr>
          <w:rFonts w:hint="eastAsia" w:ascii="仿宋" w:hAnsi="仿宋" w:eastAsia="仿宋" w:cs="仿宋"/>
          <w:bCs/>
          <w:color w:val="000000"/>
          <w:spacing w:val="12"/>
          <w:kern w:val="0"/>
          <w:sz w:val="32"/>
          <w:szCs w:val="20"/>
          <w:lang w:val="en-US" w:eastAsia="zh-CN" w:bidi="ar-SA"/>
        </w:rPr>
      </w:pPr>
      <w:r>
        <w:rPr>
          <w:rFonts w:hint="eastAsia" w:ascii="仿宋" w:hAnsi="仿宋" w:eastAsia="仿宋" w:cs="仿宋"/>
          <w:bCs/>
          <w:spacing w:val="12"/>
          <w:kern w:val="2"/>
          <w:sz w:val="32"/>
          <w:szCs w:val="24"/>
          <w:lang w:val="en-US" w:eastAsia="zh-CN" w:bidi="ar-SA"/>
        </w:rPr>
        <w:t>截至2018年12月31日，本部门共有车辆8辆，与去年相比无增减变化。其中：副部（省）级及以上领导用车0辆，主要领导干部用车0辆，机要通信用车0辆，应急保障用车0辆，特种专业技术用车0辆，离退休干部用车0辆，其他用车0辆，一般公务用车2辆，一般执法执勤用车6辆。无其他用车。无价值在50.00万元以上的通用设备，与上年相比无增减变化；无价值在100.00万元以上的专用设备，与上年相</w:t>
      </w:r>
      <w:r>
        <w:rPr>
          <w:rFonts w:hint="eastAsia" w:ascii="仿宋" w:hAnsi="仿宋" w:eastAsia="仿宋" w:cs="仿宋"/>
          <w:bCs/>
          <w:color w:val="000000"/>
          <w:spacing w:val="12"/>
          <w:kern w:val="0"/>
          <w:sz w:val="32"/>
          <w:szCs w:val="20"/>
          <w:lang w:val="en-US" w:eastAsia="zh-CN" w:bidi="ar-SA"/>
        </w:rPr>
        <w:t>比无增减变化。</w:t>
      </w:r>
    </w:p>
    <w:p>
      <w:pPr>
        <w:pStyle w:val="4"/>
        <w:pageBreakBefore w:val="0"/>
        <w:kinsoku/>
        <w:wordWrap/>
        <w:overflowPunct/>
        <w:topLinePunct w:val="0"/>
        <w:bidi w:val="0"/>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pageBreakBefore w:val="0"/>
        <w:kinsoku/>
        <w:wordWrap/>
        <w:overflowPunct/>
        <w:topLinePunct w:val="0"/>
        <w:bidi w:val="0"/>
        <w:snapToGrid w:val="0"/>
        <w:spacing w:line="520" w:lineRule="exact"/>
        <w:ind w:firstLine="688" w:firstLineChars="200"/>
        <w:rPr>
          <w:rFonts w:hint="eastAsia" w:ascii="仿宋" w:hAnsi="仿宋" w:eastAsia="仿宋" w:cs="仿宋"/>
          <w:bCs/>
          <w:color w:val="000000"/>
          <w:spacing w:val="12"/>
          <w:kern w:val="0"/>
          <w:sz w:val="32"/>
          <w:szCs w:val="20"/>
          <w:highlight w:val="none"/>
        </w:rPr>
      </w:pPr>
      <w:r>
        <w:rPr>
          <w:rFonts w:hint="eastAsia" w:ascii="仿宋" w:hAnsi="仿宋" w:eastAsia="仿宋" w:cs="仿宋"/>
          <w:bCs/>
          <w:color w:val="000000"/>
          <w:spacing w:val="12"/>
          <w:kern w:val="0"/>
          <w:sz w:val="32"/>
          <w:szCs w:val="20"/>
        </w:rPr>
        <w:t>1、本部门2018年会议</w:t>
      </w:r>
      <w:r>
        <w:rPr>
          <w:rFonts w:hint="eastAsia" w:ascii="仿宋" w:hAnsi="仿宋" w:eastAsia="仿宋" w:cs="仿宋"/>
          <w:bCs/>
          <w:color w:val="000000"/>
          <w:spacing w:val="12"/>
          <w:kern w:val="0"/>
          <w:sz w:val="32"/>
          <w:szCs w:val="20"/>
          <w:highlight w:val="none"/>
        </w:rPr>
        <w:t>费1</w:t>
      </w:r>
      <w:r>
        <w:rPr>
          <w:rFonts w:hint="eastAsia" w:ascii="仿宋" w:hAnsi="仿宋" w:eastAsia="仿宋" w:cs="仿宋"/>
          <w:bCs/>
          <w:color w:val="000000"/>
          <w:spacing w:val="12"/>
          <w:kern w:val="0"/>
          <w:sz w:val="32"/>
          <w:szCs w:val="20"/>
          <w:highlight w:val="none"/>
          <w:lang w:val="en-US" w:eastAsia="zh-CN"/>
        </w:rPr>
        <w:t>.00</w:t>
      </w:r>
      <w:r>
        <w:rPr>
          <w:rFonts w:hint="eastAsia" w:ascii="仿宋" w:hAnsi="仿宋" w:eastAsia="仿宋" w:cs="仿宋"/>
          <w:bCs/>
          <w:color w:val="000000"/>
          <w:spacing w:val="12"/>
          <w:kern w:val="0"/>
          <w:sz w:val="32"/>
          <w:szCs w:val="20"/>
          <w:highlight w:val="none"/>
        </w:rPr>
        <w:t>万元，</w:t>
      </w:r>
      <w:r>
        <w:rPr>
          <w:rFonts w:hint="eastAsia" w:ascii="仿宋" w:hAnsi="仿宋" w:eastAsia="仿宋" w:cs="仿宋"/>
          <w:bCs/>
          <w:color w:val="000000"/>
          <w:spacing w:val="12"/>
          <w:kern w:val="0"/>
          <w:sz w:val="32"/>
          <w:szCs w:val="20"/>
          <w:highlight w:val="none"/>
          <w:lang w:eastAsia="zh-CN"/>
        </w:rPr>
        <w:t>与</w:t>
      </w:r>
      <w:r>
        <w:rPr>
          <w:rFonts w:hint="eastAsia" w:ascii="仿宋" w:hAnsi="仿宋" w:eastAsia="仿宋" w:cs="仿宋"/>
          <w:bCs/>
          <w:color w:val="000000"/>
          <w:spacing w:val="12"/>
          <w:kern w:val="0"/>
          <w:sz w:val="32"/>
          <w:szCs w:val="20"/>
          <w:highlight w:val="none"/>
        </w:rPr>
        <w:t>2017年决算</w:t>
      </w:r>
      <w:r>
        <w:rPr>
          <w:rFonts w:hint="eastAsia" w:ascii="仿宋" w:hAnsi="仿宋" w:eastAsia="仿宋" w:cs="仿宋"/>
          <w:bCs/>
          <w:color w:val="000000"/>
          <w:spacing w:val="12"/>
          <w:kern w:val="0"/>
          <w:sz w:val="32"/>
          <w:szCs w:val="20"/>
          <w:highlight w:val="none"/>
          <w:lang w:eastAsia="zh-CN"/>
        </w:rPr>
        <w:t>相比</w:t>
      </w:r>
      <w:r>
        <w:rPr>
          <w:rFonts w:hint="eastAsia" w:ascii="仿宋" w:hAnsi="仿宋" w:eastAsia="仿宋" w:cs="仿宋"/>
          <w:bCs/>
          <w:color w:val="000000"/>
          <w:spacing w:val="12"/>
          <w:kern w:val="0"/>
          <w:sz w:val="32"/>
          <w:szCs w:val="20"/>
          <w:highlight w:val="none"/>
        </w:rPr>
        <w:t>无增减变化。与年初预算相比无变化。</w:t>
      </w:r>
    </w:p>
    <w:p>
      <w:pPr>
        <w:pageBreakBefore w:val="0"/>
        <w:kinsoku/>
        <w:wordWrap/>
        <w:overflowPunct/>
        <w:topLinePunct w:val="0"/>
        <w:bidi w:val="0"/>
        <w:snapToGrid w:val="0"/>
        <w:spacing w:line="520" w:lineRule="exact"/>
        <w:ind w:firstLine="688" w:firstLineChars="200"/>
        <w:rPr>
          <w:rFonts w:hint="eastAsia"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highlight w:val="none"/>
        </w:rPr>
        <w:t>2、2018年培训费无年初预算，无实际支出。较年初预算无增减变化</w:t>
      </w:r>
      <w:r>
        <w:rPr>
          <w:rFonts w:hint="eastAsia" w:ascii="仿宋" w:hAnsi="仿宋" w:eastAsia="仿宋" w:cs="仿宋"/>
          <w:bCs/>
          <w:color w:val="000000"/>
          <w:spacing w:val="12"/>
          <w:kern w:val="0"/>
          <w:sz w:val="32"/>
          <w:szCs w:val="20"/>
        </w:rPr>
        <w:t>，较2017年决算无增减变化。</w:t>
      </w:r>
    </w:p>
    <w:p>
      <w:pPr>
        <w:pageBreakBefore w:val="0"/>
        <w:kinsoku/>
        <w:wordWrap/>
        <w:overflowPunct/>
        <w:topLinePunct w:val="0"/>
        <w:bidi w:val="0"/>
        <w:snapToGrid w:val="0"/>
        <w:spacing w:line="520" w:lineRule="exact"/>
        <w:ind w:firstLine="688" w:firstLineChars="200"/>
        <w:rPr>
          <w:rFonts w:hint="eastAsia"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lang w:val="en-US" w:eastAsia="zh-CN"/>
        </w:rPr>
        <w:t>3、</w:t>
      </w:r>
      <w:r>
        <w:rPr>
          <w:rFonts w:hint="eastAsia" w:ascii="仿宋" w:hAnsi="仿宋" w:eastAsia="仿宋" w:cs="仿宋"/>
          <w:bCs/>
          <w:color w:val="000000"/>
          <w:spacing w:val="12"/>
          <w:kern w:val="0"/>
          <w:sz w:val="32"/>
          <w:szCs w:val="20"/>
        </w:rPr>
        <w:t>本单位2018年度无国有资本经营预算财政拨款支出表、无政府采购情况表及结转结余情况，故公开政府性基金财政拨款收入支出、国有资本经营预算财政拨款支出、政府采购表以空表列示。</w:t>
      </w:r>
    </w:p>
    <w:p>
      <w:pPr>
        <w:pageBreakBefore w:val="0"/>
        <w:kinsoku/>
        <w:wordWrap/>
        <w:overflowPunct/>
        <w:topLinePunct w:val="0"/>
        <w:bidi w:val="0"/>
        <w:snapToGrid w:val="0"/>
        <w:spacing w:line="520" w:lineRule="exact"/>
        <w:ind w:firstLine="688" w:firstLineChars="200"/>
        <w:rPr>
          <w:rFonts w:hint="eastAsia"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4、由于决算公开表格中金额数值应当保留两位小数，公开数据为四舍五入计算结</w:t>
      </w:r>
      <w:r>
        <w:rPr>
          <w:rFonts w:hint="eastAsia" w:ascii="仿宋" w:hAnsi="仿宋" w:eastAsia="仿宋" w:cs="仿宋"/>
          <w:bCs/>
          <w:color w:val="000000"/>
          <w:spacing w:val="12"/>
          <w:kern w:val="0"/>
          <w:sz w:val="32"/>
          <w:szCs w:val="20"/>
        </w:rPr>
        <w:pict>
          <v:group id="_x0000_s1115" o:spid="_x0000_s1115" o:spt="203" style="position:absolute;left:0pt;margin-left:-67.5pt;margin-top:41.3pt;height:43.95pt;width:301.85pt;mso-position-vertical-relative:page;z-index:251688960;mso-width-relative:page;mso-height-relative:page;" coordorigin="4551,52615" coordsize="8546,1398">
            <o:lock v:ext="edit"/>
            <v:rect id="矩形 13" o:spid="_x0000_s1116" o:spt="1" style="position:absolute;left:4551;top:52615;height:1175;width:8546;v-text-anchor:middle;" fillcolor="#96DA9D" filled="t" stroked="f" coordsize="21600,21600">
              <v:path/>
              <v:fill on="t" focussize="0,0"/>
              <v:stroke on="f" weight="2pt"/>
              <v:imagedata o:title=""/>
              <o:lock v:ext="edit"/>
            </v:rect>
            <v:rect id="矩形 14" o:spid="_x0000_s111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 w:hAnsi="仿宋" w:eastAsia="仿宋" w:cs="仿宋"/>
          <w:bCs/>
          <w:color w:val="000000"/>
          <w:spacing w:val="12"/>
          <w:kern w:val="0"/>
          <w:sz w:val="32"/>
          <w:szCs w:val="20"/>
        </w:rPr>
        <w:t>果，个别数据合计项与分项之和存在小数点后差额，特此说明。</w:t>
      </w:r>
    </w:p>
    <w:p>
      <w:pPr>
        <w:pageBreakBefore w:val="0"/>
        <w:kinsoku/>
        <w:wordWrap/>
        <w:overflowPunct/>
        <w:topLinePunct w:val="0"/>
        <w:bidi w:val="0"/>
        <w:snapToGrid w:val="0"/>
        <w:spacing w:line="520" w:lineRule="exact"/>
        <w:ind w:firstLine="688" w:firstLineChars="200"/>
        <w:rPr>
          <w:rFonts w:hint="eastAsia" w:ascii="仿宋" w:hAnsi="仿宋" w:eastAsia="仿宋" w:cs="仿宋"/>
          <w:bCs/>
          <w:color w:val="000000"/>
          <w:spacing w:val="12"/>
          <w:kern w:val="0"/>
          <w:sz w:val="32"/>
          <w:szCs w:val="20"/>
        </w:rPr>
        <w:sectPr>
          <w:pgSz w:w="11906" w:h="16838"/>
          <w:pgMar w:top="2098" w:right="1474" w:bottom="1984" w:left="1588" w:header="851" w:footer="992" w:gutter="0"/>
          <w:cols w:space="0" w:num="1"/>
          <w:docGrid w:type="lines" w:linePitch="312" w:charSpace="0"/>
        </w:sectPr>
      </w:pPr>
    </w:p>
    <w:p>
      <w:pPr>
        <w:pageBreakBefore w:val="0"/>
        <w:kinsoku/>
        <w:wordWrap/>
        <w:overflowPunct/>
        <w:topLinePunct w:val="0"/>
        <w:bidi w:val="0"/>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48000;mso-width-relative:page;mso-height-relative:page;" filled="f" o:preferrelative="t" stroked="f" coordsize="21600,21600">
            <v:path/>
            <v:fill on="f" focussize="0,0"/>
            <v:stroke on="f" joinstyle="miter"/>
            <v:imagedata r:id="rId5" o:title=""/>
            <o:lock v:ext="edit" aspectratio="t"/>
          </v:shape>
        </w:pict>
      </w:r>
      <w:r>
        <w:pict>
          <v:shape id="文本框 22" o:spid="_x0000_s1119" o:spt="202" type="#_x0000_t202" style="position:absolute;left:0pt;margin-left:-78.7pt;margin-top:232.8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120" o:spt="203" style="position:absolute;left:0pt;margin-left:-81.05pt;margin-top:39.65pt;height:43.95pt;width:264.85pt;mso-position-vertical-relative:page;z-index:251671552;mso-width-relative:page;mso-height-relative:page;" coordorigin="4551,52615" coordsize="8546,1398">
            <o:lock v:ext="edit"/>
            <v:rect id="矩形 13" o:spid="_x0000_s1121" o:spt="1" style="position:absolute;left:4551;top:52615;height:1175;width:8546;v-text-anchor:middle;" fillcolor="#96DA9D" filled="t" stroked="f" coordsize="21600,21600">
              <v:path/>
              <v:fill on="t" focussize="0,0"/>
              <v:stroke on="f" weight="2pt"/>
              <v:imagedata o:title=""/>
              <o:lock v:ext="edit"/>
            </v:rect>
            <v:rect id="矩形 14" o:spid="_x0000_s112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123" o:spt="203" style="position:absolute;left:0pt;margin-left:-81.05pt;margin-top:39.65pt;height:43.95pt;width:264.85pt;mso-position-vertical-relative:page;z-index:251689984;mso-width-relative:page;mso-height-relative:page;" coordorigin="4551,52615" coordsize="8546,1398">
            <o:lock v:ext="edit"/>
            <v:rect id="矩形 13" o:spid="_x0000_s1124" o:spt="1" style="position:absolute;left:4551;top:52615;height:1175;width:8546;v-text-anchor:middle;" fillcolor="#96DA9D" filled="t" stroked="f" coordsize="21600,21600">
              <v:path/>
              <v:fill on="t" focussize="0,0"/>
              <v:stroke on="f" weight="2pt"/>
              <v:imagedata o:title=""/>
              <o:lock v:ext="edit"/>
            </v:rect>
            <v:rect id="矩形 14" o:spid="_x0000_s112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126" o:spt="203" style="position:absolute;left:0pt;margin-left:-81.05pt;margin-top:39.65pt;height:43.95pt;width:264.85pt;mso-position-vertical-relative:page;z-index:251691008;mso-width-relative:page;mso-height-relative:page;" coordorigin="4551,52615" coordsize="8546,1398">
            <o:lock v:ext="edit"/>
            <v:rect id="矩形 13" o:spid="_x0000_s1127" o:spt="1" style="position:absolute;left:4551;top:52615;height:1175;width:8546;v-text-anchor:middle;" fillcolor="#96DA9D" filled="t" stroked="f" coordsize="21600,21600">
              <v:path/>
              <v:fill on="t" focussize="0,0"/>
              <v:stroke on="f" weight="2pt"/>
              <v:imagedata o:title=""/>
              <o:lock v:ext="edit"/>
            </v:rect>
            <v:rect id="矩形 14" o:spid="_x0000_s112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pageBreakBefore w:val="0"/>
        <w:widowControl/>
        <w:kinsoku/>
        <w:wordWrap/>
        <w:overflowPunct/>
        <w:topLinePunct w:val="0"/>
        <w:bidi w:val="0"/>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pageBreakBefore w:val="0"/>
        <w:widowControl/>
        <w:kinsoku/>
        <w:wordWrap/>
        <w:overflowPunct/>
        <w:topLinePunct w:val="0"/>
        <w:bidi w:val="0"/>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pageBreakBefore w:val="0"/>
        <w:widowControl/>
        <w:kinsoku/>
        <w:wordWrap/>
        <w:overflowPunct/>
        <w:topLinePunct w:val="0"/>
        <w:bidi w:val="0"/>
        <w:spacing w:after="0" w:line="560" w:lineRule="exact"/>
        <w:ind w:firstLine="420" w:firstLineChars="200"/>
        <w:rPr>
          <w:rFonts w:ascii="仿宋_GB2312" w:hAnsi="Cambria" w:eastAsia="仿宋_GB2312" w:cs="ArialUnicodeMS"/>
          <w:kern w:val="0"/>
          <w:sz w:val="32"/>
          <w:szCs w:val="32"/>
        </w:rPr>
      </w:pPr>
      <w:r>
        <w:pict>
          <v:shape id="图片 101" o:spid="_x0000_s1129" o:spt="75" alt="3" type="#_x0000_t75" style="position:absolute;left:0pt;margin-left:-78pt;margin-top:-106.7pt;height:845.35pt;width:597.65pt;z-index:-251646976;mso-width-relative:page;mso-height-relative:page;" filled="f" o:preferrelative="t" stroked="f" coordsize="21600,21600">
            <v:path/>
            <v:fill on="f" focussize="0,0"/>
            <v:stroke on="f" joinstyle="miter"/>
            <v:imagedata r:id="rId7" o:title=""/>
            <o:lock v:ext="edit" aspectratio="t"/>
          </v:shape>
        </w:pic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705D695-6797-4EB1-82FA-66B85B9B1944}"/>
  </w:font>
  <w:font w:name="Arial">
    <w:panose1 w:val="020B0604020202020204"/>
    <w:charset w:val="01"/>
    <w:family w:val="swiss"/>
    <w:pitch w:val="default"/>
    <w:sig w:usb0="E0002EFF" w:usb1="C000785B" w:usb2="00000009" w:usb3="00000000" w:csb0="400001FF" w:csb1="FFFF0000"/>
    <w:embedRegular r:id="rId2" w:fontKey="{CE848C48-EC9C-4CFA-8797-842965E926C6}"/>
  </w:font>
  <w:font w:name="黑体">
    <w:panose1 w:val="02010609060101010101"/>
    <w:charset w:val="86"/>
    <w:family w:val="auto"/>
    <w:pitch w:val="default"/>
    <w:sig w:usb0="800002BF" w:usb1="38CF7CFA" w:usb2="00000016" w:usb3="00000000" w:csb0="00040001" w:csb1="00000000"/>
    <w:embedRegular r:id="rId3" w:fontKey="{9017541A-483C-4F1D-9A8F-658F12DE73BF}"/>
  </w:font>
  <w:font w:name="Courier New">
    <w:panose1 w:val="02070309020205020404"/>
    <w:charset w:val="01"/>
    <w:family w:val="modern"/>
    <w:pitch w:val="default"/>
    <w:sig w:usb0="E0002EFF" w:usb1="C0007843" w:usb2="00000009" w:usb3="00000000" w:csb0="400001FF" w:csb1="FFFF0000"/>
    <w:embedRegular r:id="rId4" w:fontKey="{586419E0-F532-4AEB-B317-28711C7BC9AD}"/>
  </w:font>
  <w:font w:name="Symbol">
    <w:panose1 w:val="05050102010706020507"/>
    <w:charset w:val="02"/>
    <w:family w:val="roman"/>
    <w:pitch w:val="default"/>
    <w:sig w:usb0="00000000" w:usb1="00000000" w:usb2="00000000" w:usb3="00000000" w:csb0="80000000" w:csb1="00000000"/>
    <w:embedRegular r:id="rId5" w:fontKey="{444F6BE2-AAB6-4F43-A8B4-170E50A47CBB}"/>
  </w:font>
  <w:font w:name="Calibri">
    <w:panose1 w:val="020F0502020204030204"/>
    <w:charset w:val="00"/>
    <w:family w:val="swiss"/>
    <w:pitch w:val="default"/>
    <w:sig w:usb0="E4002EFF" w:usb1="C000247B" w:usb2="00000009" w:usb3="00000000" w:csb0="200001FF" w:csb1="00000000"/>
    <w:embedRegular r:id="rId6" w:fontKey="{53036CEC-2566-4C61-93B9-488BD0D510BF}"/>
  </w:font>
  <w:font w:name="Cambria">
    <w:panose1 w:val="02040503050406030204"/>
    <w:charset w:val="00"/>
    <w:family w:val="roman"/>
    <w:pitch w:val="default"/>
    <w:sig w:usb0="E00006FF" w:usb1="420024FF" w:usb2="02000000" w:usb3="00000000" w:csb0="2000019F" w:csb1="00000000"/>
    <w:embedRegular r:id="rId7" w:fontKey="{EF14CBB3-7252-48F2-AD3F-037D998B8B40}"/>
  </w:font>
  <w:font w:name="楷体">
    <w:panose1 w:val="02010609060101010101"/>
    <w:charset w:val="86"/>
    <w:family w:val="modern"/>
    <w:pitch w:val="default"/>
    <w:sig w:usb0="800002BF" w:usb1="38CF7CFA" w:usb2="00000016" w:usb3="00000000" w:csb0="00040001" w:csb1="00000000"/>
    <w:embedRegular r:id="rId8" w:fontKey="{F8080BC5-A1E4-4F39-9A39-A49DD7D08D39}"/>
  </w:font>
  <w:font w:name="仿宋_GB2312">
    <w:altName w:val="仿宋"/>
    <w:panose1 w:val="00000000000000000000"/>
    <w:charset w:val="86"/>
    <w:family w:val="modern"/>
    <w:pitch w:val="default"/>
    <w:sig w:usb0="00000000" w:usb1="00000000" w:usb2="00000010" w:usb3="00000000" w:csb0="00040000" w:csb1="00000000"/>
    <w:embedRegular r:id="rId9" w:fontKey="{47157D27-0837-4C19-ACDB-45035E8DBCB5}"/>
  </w:font>
  <w:font w:name="MS Gothic">
    <w:panose1 w:val="020B0609070205080204"/>
    <w:charset w:val="80"/>
    <w:family w:val="modern"/>
    <w:pitch w:val="default"/>
    <w:sig w:usb0="E00002FF" w:usb1="6AC7FDFB" w:usb2="08000012" w:usb3="00000000" w:csb0="4002009F" w:csb1="DFD70000"/>
    <w:embedRegular r:id="rId10" w:fontKey="{F3AC1F89-B914-4F79-B051-8EEC3B95BF92}"/>
  </w:font>
  <w:font w:name="ArialUnicodeMS">
    <w:altName w:val="Malgun Gothic"/>
    <w:panose1 w:val="00000000000000000000"/>
    <w:charset w:val="81"/>
    <w:family w:val="auto"/>
    <w:pitch w:val="default"/>
    <w:sig w:usb0="00000000" w:usb1="00000000" w:usb2="00000010" w:usb3="00000000" w:csb0="00080000" w:csb1="00000000"/>
    <w:embedRegular r:id="rId11" w:fontKey="{2B34977C-6DC7-4DE2-9511-0EB273D555E6}"/>
  </w:font>
  <w:font w:name="仿宋">
    <w:panose1 w:val="02010609060101010101"/>
    <w:charset w:val="86"/>
    <w:family w:val="auto"/>
    <w:pitch w:val="default"/>
    <w:sig w:usb0="800002BF" w:usb1="38CF7CFA" w:usb2="00000016" w:usb3="00000000" w:csb0="00040001" w:csb1="00000000"/>
    <w:embedRegular r:id="rId12" w:fontKey="{59EA0056-8BCA-4833-9FE2-96D39007E4EF}"/>
  </w:font>
  <w:font w:name="MS-UIGothic,Bold">
    <w:altName w:val="Malgun Gothic"/>
    <w:panose1 w:val="00000000000000000000"/>
    <w:charset w:val="81"/>
    <w:family w:val="auto"/>
    <w:pitch w:val="default"/>
    <w:sig w:usb0="00000000" w:usb1="00000000" w:usb2="00000010" w:usb3="00000000" w:csb0="00080000" w:csb1="00000000"/>
    <w:embedRegular r:id="rId13" w:fontKey="{BF77A7C1-9E1F-4692-9F9E-4EB2DF506899}"/>
  </w:font>
  <w:font w:name="DengXian-Regular">
    <w:altName w:val="宋体"/>
    <w:panose1 w:val="00000000000000000000"/>
    <w:charset w:val="86"/>
    <w:family w:val="auto"/>
    <w:pitch w:val="default"/>
    <w:sig w:usb0="00000000" w:usb1="00000000" w:usb2="00000010" w:usb3="00000000" w:csb0="00040000" w:csb1="00000000"/>
    <w:embedRegular r:id="rId14" w:fontKey="{4C1072D3-96E4-4910-B103-BBCD7FB7E023}"/>
  </w:font>
  <w:font w:name="楷体_GB2312">
    <w:altName w:val="楷体"/>
    <w:panose1 w:val="00000000000000000000"/>
    <w:charset w:val="86"/>
    <w:family w:val="modern"/>
    <w:pitch w:val="default"/>
    <w:sig w:usb0="00000000" w:usb1="00000000" w:usb2="00000010" w:usb3="00000000" w:csb0="00040000" w:csb1="00000000"/>
    <w:embedRegular r:id="rId15" w:fontKey="{407EC417-4717-48D0-BB5A-A458C612ABE7}"/>
  </w:font>
  <w:font w:name="DengXian-Bold">
    <w:altName w:val="宋体"/>
    <w:panose1 w:val="00000000000000000000"/>
    <w:charset w:val="86"/>
    <w:family w:val="auto"/>
    <w:pitch w:val="default"/>
    <w:sig w:usb0="00000000" w:usb1="00000000" w:usb2="00000010" w:usb3="00000000" w:csb0="00040000" w:csb1="00000000"/>
    <w:embedRegular r:id="rId16" w:fontKey="{869A203F-96D4-460D-AB85-9A51BFF788C3}"/>
  </w:font>
  <w:font w:name="Malgun Gothic">
    <w:panose1 w:val="020B0503020000020004"/>
    <w:charset w:val="81"/>
    <w:family w:val="auto"/>
    <w:pitch w:val="default"/>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4AD822"/>
    <w:multiLevelType w:val="singleLevel"/>
    <w:tmpl w:val="EC4AD822"/>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C1413"/>
    <w:rsid w:val="00024E7F"/>
    <w:rsid w:val="000475A0"/>
    <w:rsid w:val="000838C3"/>
    <w:rsid w:val="000B2446"/>
    <w:rsid w:val="000D7C65"/>
    <w:rsid w:val="000E2F81"/>
    <w:rsid w:val="00117946"/>
    <w:rsid w:val="00117E2C"/>
    <w:rsid w:val="00146C47"/>
    <w:rsid w:val="00152FB8"/>
    <w:rsid w:val="00175BC0"/>
    <w:rsid w:val="00176658"/>
    <w:rsid w:val="0018239E"/>
    <w:rsid w:val="001A29BD"/>
    <w:rsid w:val="001B3410"/>
    <w:rsid w:val="001C030D"/>
    <w:rsid w:val="001C4A84"/>
    <w:rsid w:val="001D6732"/>
    <w:rsid w:val="001E5902"/>
    <w:rsid w:val="001F5EB9"/>
    <w:rsid w:val="00227A2F"/>
    <w:rsid w:val="00233705"/>
    <w:rsid w:val="002455AB"/>
    <w:rsid w:val="00275CA2"/>
    <w:rsid w:val="002A65A5"/>
    <w:rsid w:val="002C04C4"/>
    <w:rsid w:val="002D08B0"/>
    <w:rsid w:val="002D1AE3"/>
    <w:rsid w:val="002D4F3F"/>
    <w:rsid w:val="002E141B"/>
    <w:rsid w:val="002F2ECE"/>
    <w:rsid w:val="00341C8F"/>
    <w:rsid w:val="0035463A"/>
    <w:rsid w:val="00391D9D"/>
    <w:rsid w:val="00397883"/>
    <w:rsid w:val="003B6C51"/>
    <w:rsid w:val="003C1413"/>
    <w:rsid w:val="003C549F"/>
    <w:rsid w:val="003D5A16"/>
    <w:rsid w:val="003E7DB3"/>
    <w:rsid w:val="003F67EE"/>
    <w:rsid w:val="00431175"/>
    <w:rsid w:val="00431771"/>
    <w:rsid w:val="004A5791"/>
    <w:rsid w:val="004B6E37"/>
    <w:rsid w:val="004C32BA"/>
    <w:rsid w:val="00575922"/>
    <w:rsid w:val="00576EC8"/>
    <w:rsid w:val="005A6C90"/>
    <w:rsid w:val="005D749C"/>
    <w:rsid w:val="005E3FB0"/>
    <w:rsid w:val="005F4B66"/>
    <w:rsid w:val="005F5208"/>
    <w:rsid w:val="00623803"/>
    <w:rsid w:val="00641318"/>
    <w:rsid w:val="0064405D"/>
    <w:rsid w:val="00695557"/>
    <w:rsid w:val="006D4EA7"/>
    <w:rsid w:val="0070012A"/>
    <w:rsid w:val="00702109"/>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B96664"/>
    <w:rsid w:val="00C06973"/>
    <w:rsid w:val="00C12630"/>
    <w:rsid w:val="00C34562"/>
    <w:rsid w:val="00C3774E"/>
    <w:rsid w:val="00C57456"/>
    <w:rsid w:val="00C65387"/>
    <w:rsid w:val="00C87FAB"/>
    <w:rsid w:val="00C91FF7"/>
    <w:rsid w:val="00C94E53"/>
    <w:rsid w:val="00CC46BD"/>
    <w:rsid w:val="00CF2F58"/>
    <w:rsid w:val="00D0048E"/>
    <w:rsid w:val="00D23E7A"/>
    <w:rsid w:val="00D61063"/>
    <w:rsid w:val="00DB35AF"/>
    <w:rsid w:val="00DC04E4"/>
    <w:rsid w:val="00DC3EE0"/>
    <w:rsid w:val="00DD72D7"/>
    <w:rsid w:val="00DF5B88"/>
    <w:rsid w:val="00E0589E"/>
    <w:rsid w:val="00E241FA"/>
    <w:rsid w:val="00E2595E"/>
    <w:rsid w:val="00E35374"/>
    <w:rsid w:val="00E50C19"/>
    <w:rsid w:val="00E64655"/>
    <w:rsid w:val="00E73081"/>
    <w:rsid w:val="00E856C9"/>
    <w:rsid w:val="00E870B8"/>
    <w:rsid w:val="00EB6A8B"/>
    <w:rsid w:val="00EC6D2F"/>
    <w:rsid w:val="00EF38C6"/>
    <w:rsid w:val="00F40692"/>
    <w:rsid w:val="00F55BC9"/>
    <w:rsid w:val="00F679C7"/>
    <w:rsid w:val="00F7711A"/>
    <w:rsid w:val="00FA0D58"/>
    <w:rsid w:val="00FA56F4"/>
    <w:rsid w:val="00FB4EDA"/>
    <w:rsid w:val="00FC4766"/>
    <w:rsid w:val="00FD31EE"/>
    <w:rsid w:val="00FD3BD5"/>
    <w:rsid w:val="00FE3DC8"/>
    <w:rsid w:val="0137045A"/>
    <w:rsid w:val="0189162F"/>
    <w:rsid w:val="01970ED4"/>
    <w:rsid w:val="023E0517"/>
    <w:rsid w:val="03124299"/>
    <w:rsid w:val="03787599"/>
    <w:rsid w:val="04073F84"/>
    <w:rsid w:val="04501784"/>
    <w:rsid w:val="04AE186F"/>
    <w:rsid w:val="05114019"/>
    <w:rsid w:val="053D5190"/>
    <w:rsid w:val="05B25C6E"/>
    <w:rsid w:val="05C06565"/>
    <w:rsid w:val="06AC75B2"/>
    <w:rsid w:val="071914E4"/>
    <w:rsid w:val="074B5CB7"/>
    <w:rsid w:val="07A2758C"/>
    <w:rsid w:val="080960A2"/>
    <w:rsid w:val="08552A08"/>
    <w:rsid w:val="08BE0291"/>
    <w:rsid w:val="094F6AF5"/>
    <w:rsid w:val="0A474232"/>
    <w:rsid w:val="0AAA6A19"/>
    <w:rsid w:val="0B5D735E"/>
    <w:rsid w:val="0B60750A"/>
    <w:rsid w:val="0D985492"/>
    <w:rsid w:val="0DA371D4"/>
    <w:rsid w:val="0E4A360E"/>
    <w:rsid w:val="0F3B1E71"/>
    <w:rsid w:val="10150A42"/>
    <w:rsid w:val="102A7303"/>
    <w:rsid w:val="10686488"/>
    <w:rsid w:val="10DF728A"/>
    <w:rsid w:val="116868CF"/>
    <w:rsid w:val="11F44291"/>
    <w:rsid w:val="1264200E"/>
    <w:rsid w:val="126518D2"/>
    <w:rsid w:val="12771516"/>
    <w:rsid w:val="12BA6918"/>
    <w:rsid w:val="13BD4959"/>
    <w:rsid w:val="141C5B77"/>
    <w:rsid w:val="149D4A18"/>
    <w:rsid w:val="14B47177"/>
    <w:rsid w:val="14EF4B64"/>
    <w:rsid w:val="15862F3E"/>
    <w:rsid w:val="178E716A"/>
    <w:rsid w:val="17BB516F"/>
    <w:rsid w:val="185A5023"/>
    <w:rsid w:val="18757EE9"/>
    <w:rsid w:val="18C750D1"/>
    <w:rsid w:val="18D8339D"/>
    <w:rsid w:val="18E20E1B"/>
    <w:rsid w:val="190C5E00"/>
    <w:rsid w:val="191B3554"/>
    <w:rsid w:val="196E5DE0"/>
    <w:rsid w:val="19FC5327"/>
    <w:rsid w:val="1A21388F"/>
    <w:rsid w:val="1A570D2F"/>
    <w:rsid w:val="1AC22B6C"/>
    <w:rsid w:val="1B5C07F6"/>
    <w:rsid w:val="1C453ACE"/>
    <w:rsid w:val="1C89788D"/>
    <w:rsid w:val="1CFA1EF9"/>
    <w:rsid w:val="1D336BA2"/>
    <w:rsid w:val="1D8911E4"/>
    <w:rsid w:val="1F367F05"/>
    <w:rsid w:val="1FA54FC1"/>
    <w:rsid w:val="203F6D0F"/>
    <w:rsid w:val="204A7122"/>
    <w:rsid w:val="206B52DC"/>
    <w:rsid w:val="20C9303A"/>
    <w:rsid w:val="21A42F62"/>
    <w:rsid w:val="21EC2A5D"/>
    <w:rsid w:val="220743C4"/>
    <w:rsid w:val="22163E9A"/>
    <w:rsid w:val="22983088"/>
    <w:rsid w:val="22E1274E"/>
    <w:rsid w:val="237D44FB"/>
    <w:rsid w:val="244E6489"/>
    <w:rsid w:val="24DA715B"/>
    <w:rsid w:val="25383ED4"/>
    <w:rsid w:val="26253F74"/>
    <w:rsid w:val="26C00990"/>
    <w:rsid w:val="270A5B99"/>
    <w:rsid w:val="272566DE"/>
    <w:rsid w:val="27990512"/>
    <w:rsid w:val="27E6226A"/>
    <w:rsid w:val="27E7012A"/>
    <w:rsid w:val="282B485A"/>
    <w:rsid w:val="28FB0B8D"/>
    <w:rsid w:val="29E677F9"/>
    <w:rsid w:val="2A96532A"/>
    <w:rsid w:val="2CCF513C"/>
    <w:rsid w:val="2D2B7942"/>
    <w:rsid w:val="2D46481D"/>
    <w:rsid w:val="2E733B28"/>
    <w:rsid w:val="2F8A533D"/>
    <w:rsid w:val="3016183F"/>
    <w:rsid w:val="308150DE"/>
    <w:rsid w:val="30B16464"/>
    <w:rsid w:val="31852B5A"/>
    <w:rsid w:val="31982BB8"/>
    <w:rsid w:val="32097914"/>
    <w:rsid w:val="323345CC"/>
    <w:rsid w:val="32393EF7"/>
    <w:rsid w:val="32D01238"/>
    <w:rsid w:val="3332129E"/>
    <w:rsid w:val="33583AE8"/>
    <w:rsid w:val="35597F70"/>
    <w:rsid w:val="35795A38"/>
    <w:rsid w:val="35A94554"/>
    <w:rsid w:val="361A7322"/>
    <w:rsid w:val="36EF720D"/>
    <w:rsid w:val="380C2E60"/>
    <w:rsid w:val="39356F09"/>
    <w:rsid w:val="394B703E"/>
    <w:rsid w:val="399922BF"/>
    <w:rsid w:val="39AD549C"/>
    <w:rsid w:val="3A774937"/>
    <w:rsid w:val="3B1E43B3"/>
    <w:rsid w:val="3BBA5625"/>
    <w:rsid w:val="3C033B52"/>
    <w:rsid w:val="3DD35113"/>
    <w:rsid w:val="3DFC59A8"/>
    <w:rsid w:val="3E263224"/>
    <w:rsid w:val="3E944B78"/>
    <w:rsid w:val="3EC014BF"/>
    <w:rsid w:val="3ECF245E"/>
    <w:rsid w:val="3EED5002"/>
    <w:rsid w:val="3EFB6A3C"/>
    <w:rsid w:val="3F463C34"/>
    <w:rsid w:val="3F911E03"/>
    <w:rsid w:val="3FB96314"/>
    <w:rsid w:val="406C1ACF"/>
    <w:rsid w:val="40D5505B"/>
    <w:rsid w:val="40F12AC2"/>
    <w:rsid w:val="41B53745"/>
    <w:rsid w:val="41D6478D"/>
    <w:rsid w:val="42323046"/>
    <w:rsid w:val="428874C5"/>
    <w:rsid w:val="437349BF"/>
    <w:rsid w:val="43C94018"/>
    <w:rsid w:val="44427A91"/>
    <w:rsid w:val="44672AE9"/>
    <w:rsid w:val="449C68B5"/>
    <w:rsid w:val="451E066C"/>
    <w:rsid w:val="45BD32FF"/>
    <w:rsid w:val="45CD2F6D"/>
    <w:rsid w:val="46145318"/>
    <w:rsid w:val="46220B64"/>
    <w:rsid w:val="46742CC4"/>
    <w:rsid w:val="46D37B97"/>
    <w:rsid w:val="47F35C74"/>
    <w:rsid w:val="48EE3590"/>
    <w:rsid w:val="49B4579F"/>
    <w:rsid w:val="4A847088"/>
    <w:rsid w:val="4A9F552B"/>
    <w:rsid w:val="4B712D91"/>
    <w:rsid w:val="4C097F97"/>
    <w:rsid w:val="4CDE6460"/>
    <w:rsid w:val="4DAF0941"/>
    <w:rsid w:val="4DBE2B1F"/>
    <w:rsid w:val="4E7900C6"/>
    <w:rsid w:val="4F4860AD"/>
    <w:rsid w:val="4F5E0CF8"/>
    <w:rsid w:val="4F7277DE"/>
    <w:rsid w:val="4F9D0084"/>
    <w:rsid w:val="50602793"/>
    <w:rsid w:val="50A1193C"/>
    <w:rsid w:val="50FD6178"/>
    <w:rsid w:val="515566ED"/>
    <w:rsid w:val="51D03A37"/>
    <w:rsid w:val="525143B5"/>
    <w:rsid w:val="53027349"/>
    <w:rsid w:val="531B1447"/>
    <w:rsid w:val="53631984"/>
    <w:rsid w:val="53A44FAF"/>
    <w:rsid w:val="54695AF5"/>
    <w:rsid w:val="54B431D0"/>
    <w:rsid w:val="55576696"/>
    <w:rsid w:val="558A763D"/>
    <w:rsid w:val="5603479C"/>
    <w:rsid w:val="58381AAC"/>
    <w:rsid w:val="5854666B"/>
    <w:rsid w:val="590921C3"/>
    <w:rsid w:val="594329EC"/>
    <w:rsid w:val="59847238"/>
    <w:rsid w:val="5A921BDE"/>
    <w:rsid w:val="5B7D7666"/>
    <w:rsid w:val="5BCC5AE6"/>
    <w:rsid w:val="5BEE1540"/>
    <w:rsid w:val="5CB34927"/>
    <w:rsid w:val="5D1D2B61"/>
    <w:rsid w:val="5DE61A5D"/>
    <w:rsid w:val="5EC2704D"/>
    <w:rsid w:val="5EEC4CFA"/>
    <w:rsid w:val="5F124142"/>
    <w:rsid w:val="5F424170"/>
    <w:rsid w:val="5FC27E80"/>
    <w:rsid w:val="60637EE2"/>
    <w:rsid w:val="61180EDF"/>
    <w:rsid w:val="61DE0D6C"/>
    <w:rsid w:val="62297805"/>
    <w:rsid w:val="62607668"/>
    <w:rsid w:val="62C1116A"/>
    <w:rsid w:val="63C04243"/>
    <w:rsid w:val="63D24E75"/>
    <w:rsid w:val="64024055"/>
    <w:rsid w:val="649C01C7"/>
    <w:rsid w:val="64CB0705"/>
    <w:rsid w:val="657F1DEA"/>
    <w:rsid w:val="65E2342E"/>
    <w:rsid w:val="66F220BF"/>
    <w:rsid w:val="67660621"/>
    <w:rsid w:val="67756368"/>
    <w:rsid w:val="67C87834"/>
    <w:rsid w:val="67D524D6"/>
    <w:rsid w:val="68C4161E"/>
    <w:rsid w:val="68F556BC"/>
    <w:rsid w:val="699A3F60"/>
    <w:rsid w:val="6A635C8A"/>
    <w:rsid w:val="6AC82843"/>
    <w:rsid w:val="6AF44C41"/>
    <w:rsid w:val="6C2174FB"/>
    <w:rsid w:val="6CB109A4"/>
    <w:rsid w:val="6D214F0E"/>
    <w:rsid w:val="6DA333BD"/>
    <w:rsid w:val="6E0A6EAA"/>
    <w:rsid w:val="6ECB0E60"/>
    <w:rsid w:val="6F9A752B"/>
    <w:rsid w:val="6FC13565"/>
    <w:rsid w:val="6FD87234"/>
    <w:rsid w:val="706F15C1"/>
    <w:rsid w:val="70FA5B82"/>
    <w:rsid w:val="71194DAA"/>
    <w:rsid w:val="711A0DD3"/>
    <w:rsid w:val="717B56CA"/>
    <w:rsid w:val="71D2781B"/>
    <w:rsid w:val="72902E62"/>
    <w:rsid w:val="72D31DF7"/>
    <w:rsid w:val="73233A57"/>
    <w:rsid w:val="73475492"/>
    <w:rsid w:val="73C61104"/>
    <w:rsid w:val="74CC40E9"/>
    <w:rsid w:val="752C65BA"/>
    <w:rsid w:val="763478E6"/>
    <w:rsid w:val="76E37838"/>
    <w:rsid w:val="772F1B44"/>
    <w:rsid w:val="776452EA"/>
    <w:rsid w:val="77C94E1E"/>
    <w:rsid w:val="78003BF5"/>
    <w:rsid w:val="782F61E6"/>
    <w:rsid w:val="78637291"/>
    <w:rsid w:val="78883A0B"/>
    <w:rsid w:val="792E5B85"/>
    <w:rsid w:val="79A92540"/>
    <w:rsid w:val="79AC4942"/>
    <w:rsid w:val="7A616083"/>
    <w:rsid w:val="7A6D10E6"/>
    <w:rsid w:val="7B1E4736"/>
    <w:rsid w:val="7BD9763C"/>
    <w:rsid w:val="7BFD0DC9"/>
    <w:rsid w:val="7DB73F53"/>
    <w:rsid w:val="7DC663B9"/>
    <w:rsid w:val="7DDC00AE"/>
    <w:rsid w:val="7E477A5A"/>
    <w:rsid w:val="7E764ABA"/>
    <w:rsid w:val="7F503259"/>
    <w:rsid w:val="7FD2103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0"/>
    <w:semiHidden/>
    <w:qFormat/>
    <w:uiPriority w:val="99"/>
    <w:pPr>
      <w:ind w:left="100" w:leftChars="2500"/>
    </w:p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1">
    <w:name w:val="Normal (Web)"/>
    <w:basedOn w:val="1"/>
    <w:unhideWhenUsed/>
    <w:qFormat/>
    <w:uiPriority w:val="99"/>
    <w:pPr>
      <w:spacing w:before="100" w:beforeAutospacing="1" w:after="100" w:afterAutospacing="1"/>
      <w:jc w:val="left"/>
    </w:pPr>
    <w:rPr>
      <w:kern w:val="0"/>
      <w:sz w:val="24"/>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标题 1 Char"/>
    <w:basedOn w:val="15"/>
    <w:link w:val="2"/>
    <w:qFormat/>
    <w:locked/>
    <w:uiPriority w:val="99"/>
    <w:rPr>
      <w:rFonts w:ascii="Times New Roman" w:hAnsi="Times New Roman" w:eastAsia="宋体" w:cs="Times New Roman"/>
      <w:b/>
      <w:bCs/>
      <w:kern w:val="44"/>
      <w:sz w:val="44"/>
      <w:szCs w:val="44"/>
    </w:rPr>
  </w:style>
  <w:style w:type="character" w:customStyle="1" w:styleId="17">
    <w:name w:val="标题 2 Char"/>
    <w:basedOn w:val="15"/>
    <w:link w:val="3"/>
    <w:qFormat/>
    <w:locked/>
    <w:uiPriority w:val="99"/>
    <w:rPr>
      <w:rFonts w:ascii="Calibri" w:hAnsi="Calibri" w:eastAsia="宋体" w:cs="Times New Roman"/>
      <w:b/>
      <w:bCs/>
      <w:sz w:val="32"/>
      <w:szCs w:val="32"/>
    </w:rPr>
  </w:style>
  <w:style w:type="character" w:customStyle="1" w:styleId="18">
    <w:name w:val="标题 3 Char"/>
    <w:basedOn w:val="15"/>
    <w:link w:val="4"/>
    <w:qFormat/>
    <w:locked/>
    <w:uiPriority w:val="99"/>
    <w:rPr>
      <w:rFonts w:ascii="Times New Roman" w:hAnsi="Times New Roman" w:eastAsia="宋体" w:cs="Times New Roman"/>
      <w:b/>
      <w:bCs/>
      <w:sz w:val="32"/>
      <w:szCs w:val="32"/>
    </w:rPr>
  </w:style>
  <w:style w:type="character" w:customStyle="1" w:styleId="19">
    <w:name w:val="标题 4 Char"/>
    <w:basedOn w:val="15"/>
    <w:link w:val="5"/>
    <w:qFormat/>
    <w:locked/>
    <w:uiPriority w:val="99"/>
    <w:rPr>
      <w:rFonts w:ascii="Calibri" w:hAnsi="Calibri" w:eastAsia="宋体" w:cs="Times New Roman"/>
      <w:b/>
      <w:bCs/>
      <w:sz w:val="28"/>
      <w:szCs w:val="28"/>
    </w:rPr>
  </w:style>
  <w:style w:type="character" w:customStyle="1" w:styleId="20">
    <w:name w:val="日期 Char"/>
    <w:basedOn w:val="15"/>
    <w:link w:val="6"/>
    <w:semiHidden/>
    <w:qFormat/>
    <w:locked/>
    <w:uiPriority w:val="99"/>
    <w:rPr>
      <w:rFonts w:ascii="Times New Roman" w:hAnsi="Times New Roman" w:eastAsia="宋体" w:cs="Times New Roman"/>
      <w:sz w:val="24"/>
      <w:szCs w:val="24"/>
    </w:rPr>
  </w:style>
  <w:style w:type="character" w:customStyle="1" w:styleId="21">
    <w:name w:val="批注框文本 Char"/>
    <w:basedOn w:val="15"/>
    <w:link w:val="7"/>
    <w:semiHidden/>
    <w:qFormat/>
    <w:locked/>
    <w:uiPriority w:val="99"/>
    <w:rPr>
      <w:rFonts w:ascii="Times New Roman" w:hAnsi="Times New Roman" w:eastAsia="宋体" w:cs="Times New Roman"/>
      <w:sz w:val="18"/>
      <w:szCs w:val="18"/>
    </w:rPr>
  </w:style>
  <w:style w:type="character" w:customStyle="1" w:styleId="22">
    <w:name w:val="页脚 Char"/>
    <w:basedOn w:val="15"/>
    <w:link w:val="8"/>
    <w:qFormat/>
    <w:locked/>
    <w:uiPriority w:val="99"/>
    <w:rPr>
      <w:rFonts w:cs="Times New Roman"/>
      <w:sz w:val="18"/>
      <w:szCs w:val="18"/>
    </w:rPr>
  </w:style>
  <w:style w:type="character" w:customStyle="1" w:styleId="23">
    <w:name w:val="页眉 Char"/>
    <w:basedOn w:val="15"/>
    <w:link w:val="9"/>
    <w:qFormat/>
    <w:locked/>
    <w:uiPriority w:val="99"/>
    <w:rPr>
      <w:rFonts w:cs="Times New Roman"/>
      <w:sz w:val="18"/>
      <w:szCs w:val="18"/>
    </w:rPr>
  </w:style>
  <w:style w:type="character" w:customStyle="1" w:styleId="24">
    <w:name w:val="副标题 Char"/>
    <w:basedOn w:val="15"/>
    <w:link w:val="10"/>
    <w:qFormat/>
    <w:locked/>
    <w:uiPriority w:val="99"/>
    <w:rPr>
      <w:rFonts w:ascii="Calibri" w:hAnsi="Calibri" w:eastAsia="宋体" w:cs="Times New Roman"/>
      <w:i/>
      <w:iCs/>
      <w:color w:val="F0A22E"/>
      <w:spacing w:val="15"/>
      <w:kern w:val="0"/>
      <w:sz w:val="24"/>
      <w:szCs w:val="24"/>
    </w:rPr>
  </w:style>
  <w:style w:type="character" w:customStyle="1" w:styleId="25">
    <w:name w:val="标题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sz w:val="22"/>
      <w:szCs w:val="22"/>
      <w:lang w:val="en-US" w:eastAsia="zh-CN" w:bidi="ar-SA"/>
    </w:rPr>
  </w:style>
  <w:style w:type="character" w:customStyle="1" w:styleId="27">
    <w:name w:val="无间隔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chart" Target="charts/chart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b" anchorCtr="0"/>
          <a:lstStyle/>
          <a:p>
            <a:pPr algn="ctr">
              <a:defRPr lang="zh-CN" sz="1400" b="1" i="0" u="none" strike="noStrike" kern="1200" baseline="0">
                <a:solidFill>
                  <a:schemeClr val="tx1"/>
                </a:solidFill>
                <a:latin typeface="+mn-lt"/>
                <a:ea typeface="+mn-ea"/>
                <a:cs typeface="+mn-cs"/>
              </a:defRPr>
            </a:pPr>
            <a:r>
              <a:rPr lang="zh-CN" altLang="en-US" sz="1050"/>
              <a:t>支出构成情况</a:t>
            </a:r>
            <a:r>
              <a:rPr lang="en-US" altLang="zh-CN" sz="1050"/>
              <a:t>(</a:t>
            </a:r>
            <a:r>
              <a:rPr lang="zh-CN" altLang="en-US" sz="1050"/>
              <a:t>按支出性质</a:t>
            </a:r>
            <a:r>
              <a:rPr lang="en-US" altLang="zh-CN" sz="1050"/>
              <a:t>)</a:t>
            </a:r>
            <a:endParaRPr lang="zh-CN" altLang="en-US" sz="1050"/>
          </a:p>
        </c:rich>
      </c:tx>
      <c:layout>
        <c:manualLayout>
          <c:xMode val="edge"/>
          <c:yMode val="edge"/>
          <c:x val="0.316533701328571"/>
          <c:y val="0.853865041063415"/>
        </c:manualLayout>
      </c:layout>
      <c:overlay val="0"/>
      <c:spPr>
        <a:scene3d>
          <a:camera prst="orthographicFront"/>
          <a:lightRig rig="threePt" dir="t"/>
        </a:scene3d>
        <a:sp3d>
          <a:bevelT h="6350"/>
        </a:sp3d>
      </c:spPr>
    </c:title>
    <c:autoTitleDeleted val="0"/>
    <c:plotArea>
      <c:layout>
        <c:manualLayout>
          <c:layoutTarget val="inner"/>
          <c:xMode val="edge"/>
          <c:yMode val="edge"/>
          <c:x val="0.0988921675371741"/>
          <c:y val="0.0483347115857093"/>
          <c:w val="0.740335569164965"/>
          <c:h val="0.732420849737533"/>
        </c:manualLayout>
      </c:layout>
      <c:pieChart>
        <c:varyColors val="1"/>
        <c:ser>
          <c:idx val="0"/>
          <c:order val="0"/>
          <c:tx>
            <c:strRef>
              <c:f>Sheet1!$B$1</c:f>
              <c:strCache>
                <c:ptCount val="1"/>
                <c:pt idx="0">
                  <c:v>支出构成情况</c:v>
                </c:pt>
              </c:strCache>
            </c:strRef>
          </c:tx>
          <c:spPr>
            <a:scene3d>
              <a:camera prst="orthographicFront"/>
              <a:lightRig rig="threePt" dir="t">
                <a:rot lat="0" lon="0" rev="0"/>
              </a:lightRig>
            </a:scene3d>
            <a:sp3d>
              <a:bevelT/>
            </a:sp3d>
          </c:spPr>
          <c:explosion val="0"/>
          <c:dPt>
            <c:idx val="0"/>
            <c:bubble3D val="0"/>
            <c:spPr>
              <a:scene3d>
                <a:camera prst="orthographicFront"/>
                <a:lightRig rig="threePt" dir="t">
                  <a:rot lat="0" lon="0" rev="0"/>
                </a:lightRig>
              </a:scene3d>
              <a:sp3d>
                <a:bevelT/>
              </a:sp3d>
            </c:spPr>
          </c:dPt>
          <c:dPt>
            <c:idx val="1"/>
            <c:bubble3D val="0"/>
            <c:spPr>
              <a:scene3d>
                <a:camera prst="orthographicFront"/>
                <a:lightRig rig="threePt" dir="t">
                  <a:rot lat="0" lon="0" rev="0"/>
                </a:lightRig>
              </a:scene3d>
              <a:sp3d>
                <a:bevelT/>
              </a:sp3d>
            </c:spPr>
          </c:dPt>
          <c:dLbls>
            <c:spPr>
              <a:noFill/>
              <a:ln>
                <a:noFill/>
              </a:ln>
              <a:effectLst/>
              <a:scene3d>
                <a:camera prst="orthographicFront"/>
                <a:lightRig rig="threePt" dir="t"/>
              </a:scene3d>
              <a:sp3d>
                <a:bevelT w="165100" prst="coolSlant"/>
              </a:sp3d>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0.00%</c:formatCode>
                <c:ptCount val="2"/>
                <c:pt idx="0">
                  <c:v>0.5407</c:v>
                </c:pt>
                <c:pt idx="1">
                  <c:v>0.4593</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ln w="9525" cap="flat" cmpd="sng" algn="ctr">
      <a:noFill/>
      <a:prstDash val="solid"/>
      <a:round/>
    </a:ln>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9"/>
    <customShpInfo spid="_x0000_s1030"/>
    <customShpInfo spid="_x0000_s1028"/>
    <customShpInfo spid="_x0000_s1032"/>
    <customShpInfo spid="_x0000_s1033"/>
    <customShpInfo spid="_x0000_s1031"/>
    <customShpInfo spid="_x0000_s1034"/>
    <customShpInfo spid="_x0000_s1035"/>
    <customShpInfo spid="_x0000_s1037"/>
    <customShpInfo spid="_x0000_s1038"/>
    <customShpInfo spid="_x0000_s1036"/>
    <customShpInfo spid="_x0000_s1039"/>
    <customShpInfo spid="_x0000_s1040"/>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6"/>
    <customShpInfo spid="_x0000_s1067"/>
    <customShpInfo spid="_x0000_s1065"/>
    <customShpInfo spid="_x0000_s1069"/>
    <customShpInfo spid="_x0000_s1070"/>
    <customShpInfo spid="_x0000_s1068"/>
    <customShpInfo spid="_x0000_s1071"/>
    <customShpInfo spid="_x0000_s1072"/>
    <customShpInfo spid="_x0000_s1074"/>
    <customShpInfo spid="_x0000_s1075"/>
    <customShpInfo spid="_x0000_s1073"/>
    <customShpInfo spid="_x0000_s1083"/>
    <customShpInfo spid="_x0000_s1084"/>
    <customShpInfo spid="_x0000_s1082"/>
    <customShpInfo spid="_x0000_s1101"/>
    <customShpInfo spid="_x0000_s1102"/>
    <customShpInfo spid="_x0000_s1100"/>
    <customShpInfo spid="_x0000_s1107"/>
    <customShpInfo spid="_x0000_s1108"/>
    <customShpInfo spid="_x0000_s1106"/>
    <customShpInfo spid="_x0000_s1110"/>
    <customShpInfo spid="_x0000_s1111"/>
    <customShpInfo spid="_x0000_s1109"/>
    <customShpInfo spid="_x0000_s1116"/>
    <customShpInfo spid="_x0000_s1117"/>
    <customShpInfo spid="_x0000_s1115"/>
    <customShpInfo spid="_x0000_s1118"/>
    <customShpInfo spid="_x0000_s1119"/>
    <customShpInfo spid="_x0000_s1121"/>
    <customShpInfo spid="_x0000_s1122"/>
    <customShpInfo spid="_x0000_s1120"/>
    <customShpInfo spid="_x0000_s1124"/>
    <customShpInfo spid="_x0000_s1125"/>
    <customShpInfo spid="_x0000_s1123"/>
    <customShpInfo spid="_x0000_s1127"/>
    <customShpInfo spid="_x0000_s1128"/>
    <customShpInfo spid="_x0000_s1126"/>
    <customShpInfo spid="_x0000_s11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1D08C1-B19B-4F1E-886F-B5719A4BD32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27</Words>
  <Characters>160</Characters>
  <Lines>1</Lines>
  <Paragraphs>1</Paragraphs>
  <TotalTime>0</TotalTime>
  <ScaleCrop>false</ScaleCrop>
  <LinksUpToDate>false</LinksUpToDate>
  <CharactersWithSpaces>186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Dell</cp:lastModifiedBy>
  <cp:lastPrinted>2019-08-02T01:01:00Z</cp:lastPrinted>
  <dcterms:modified xsi:type="dcterms:W3CDTF">2021-06-23T10:04:49Z</dcterms:modified>
  <dc:subject>石家庄市xxx部门</dc:subject>
  <dc:title>2017年度部门决算</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9B63C0C822A04211A10B4EFE58A427E6</vt:lpwstr>
  </property>
</Properties>
</file>