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even"/>
          <w:pgSz w:w="11906" w:h="16838"/>
          <w:pgMar w:top="0" w:right="0" w:bottom="0" w:left="0" w:header="851" w:footer="992" w:gutter="0"/>
          <w:cols w:space="425" w:num="1"/>
          <w:titlePg/>
          <w:docGrid w:type="lines" w:linePitch="312" w:charSpace="0"/>
        </w:sectPr>
      </w:pPr>
      <w:r>
        <w:pict>
          <v:shape id="文本框 10" o:spid="_x0000_s1033" o:spt="202" type="#_x0000_t202" style="position:absolute;left:0pt;margin-left:106.25pt;margin-top:693.55pt;height:79.95pt;width:404.15pt;z-index:251664384;mso-width-relative:page;mso-height-relative:page;" filled="f" stroked="f" coordsize="21600,21600">
            <v:path/>
            <v:fill on="f" focussize="0,0"/>
            <v:stroke on="f" joinstyle="miter"/>
            <v:imagedata o:title=""/>
            <o:lock v:ext="edit"/>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val="en-US" w:eastAsia="zh-CN"/>
                    </w:rPr>
                    <w:t>九</w:t>
                  </w:r>
                  <w:r>
                    <w:rPr>
                      <w:rFonts w:hint="eastAsia" w:ascii="楷体_GB2312" w:hAnsi="楷体_GB2312" w:eastAsia="楷体_GB2312" w:cs="楷体_GB2312"/>
                      <w:color w:val="000000"/>
                      <w:kern w:val="0"/>
                      <w:sz w:val="44"/>
                      <w:szCs w:val="44"/>
                    </w:rPr>
                    <w:t>月</w:t>
                  </w:r>
                </w:p>
              </w:txbxContent>
            </v:textbox>
          </v:shape>
        </w:pict>
      </w:r>
      <w:r>
        <w:pict>
          <v:shape id="椭圆 8" o:spid="_x0000_s1034" o:spt="3" type="#_x0000_t3" style="position:absolute;left:0pt;margin-left:53.5pt;margin-top:232.45pt;height:121.95pt;width:121.95pt;z-index:251661312;v-text-anchor:middle;mso-width-relative:page;mso-height-relative:page;" stroked="f" coordsize="21600,21600">
            <v:path/>
            <v:fill focussize="0,0"/>
            <v:stroke on="f" weight="1pt" joinstyle="miter"/>
            <v:imagedata o:title=""/>
            <o:lock v:ext="edit"/>
            <v:textbox>
              <w:txbxContent>
                <w:p/>
              </w:txbxContent>
            </v:textbox>
          </v:shape>
        </w:pict>
      </w:r>
      <w:r>
        <w:pict>
          <v:rect id="矩形 14" o:spid="_x0000_s1035" o:spt="1" style="position:absolute;left:0pt;margin-left:33.6pt;margin-top:256.75pt;height:69.6pt;width:160.65pt;z-index:251666432;mso-width-relative:page;mso-height-relative:page;" filled="f" stroked="f" coordsize="21600,21600">
            <v:path/>
            <v:fill on="f" focussize="0,0"/>
            <v:stroke on="f"/>
            <v:imagedata o:title=""/>
            <o:lock v:ext="edit"/>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w:r>
      <w:r>
        <w:pict>
          <v:shape id="椭圆 9" o:spid="_x0000_s1036" o:spt="3" type="#_x0000_t3" style="position:absolute;left:0pt;margin-left:62.2pt;margin-top:242.75pt;height:103.45pt;width:103.45pt;z-index:251665408;v-text-anchor:middle;mso-width-relative:page;mso-height-relative:page;" fillcolor="#1F2959" filled="t" stroked="f" coordsize="21600,21600">
            <v:path/>
            <v:fill on="t" focussize="0,0"/>
            <v:stroke on="f" weight="1pt" joinstyle="miter"/>
            <v:imagedata o:title=""/>
            <o:lock v:ext="edit"/>
            <v:textbox>
              <w:txbxContent>
                <w:p/>
              </w:txbxContent>
            </v:textbox>
          </v:shape>
        </w:pict>
      </w:r>
      <w:r>
        <w:pict>
          <v:group id="_x0000_s1037" o:spid="_x0000_s1037" o:spt="203" style="position:absolute;left:0pt;margin-left:1.25pt;margin-top:821.7pt;height:21.45pt;width:595.25pt;z-index:251662336;mso-width-relative:page;mso-height-relative:page;" coordorigin="1483,16692" coordsize="11905,429203">
            <o:lock v:ext="edit"/>
            <v:rect id="矩形 6" o:spid="_x0000_s1038" o:spt="1" style="position:absolute;left:1483;top:16692;height:428;width:1125;v-text-anchor:middle;" fillcolor="#FDBC11" filled="t" stroked="f" coordsize="21600,21600">
              <v:path/>
              <v:fill on="t" focussize="0,0"/>
              <v:stroke on="f" weight="1pt"/>
              <v:imagedata o:title=""/>
              <o:lock v:ext="edit"/>
            </v:rect>
            <v:rect id="矩形 7" o:spid="_x0000_s1039" o:spt="1" style="position:absolute;left:2608;top:16693;height:428;width:10780;v-text-anchor:middle;" fillcolor="#1F2959" filled="t" stroked="f" coordsize="21600,21600">
              <v:path/>
              <v:fill on="t" focussize="0,0"/>
              <v:stroke on="f" weight="1pt"/>
              <v:imagedata o:title=""/>
              <o:lock v:ext="edit"/>
            </v:rect>
          </v:group>
        </w:pict>
      </w:r>
      <w:r>
        <w:pict>
          <v:rect id="矩形 11" o:spid="_x0000_s1043" o:spt="1" style="position:absolute;left:0pt;margin-left:184.75pt;margin-top:286.6pt;height:31.25pt;width:339.65pt;mso-wrap-style:none;z-index:251663360;mso-width-relative:page;mso-height-relative:page;" filled="f" stroked="f" coordsize="21600,21600">
            <v:path/>
            <v:fill on="f" focussize="0,0"/>
            <v:stroke on="f"/>
            <v:imagedata o:title=""/>
            <o:lock v:ext="edit"/>
            <v:textbox style="mso-fit-shape-to-text:t;">
              <w:txbxContent>
                <w:p/>
              </w:txbxContent>
            </v:textbox>
          </v:rect>
        </w:pict>
      </w:r>
    </w:p>
    <w:p/>
    <w:p>
      <w:pPr>
        <w:jc w:val="center"/>
        <w:rPr>
          <w:rFonts w:ascii="黑体" w:hAnsi="黑体" w:eastAsia="黑体" w:cs="黑体"/>
          <w:sz w:val="56"/>
          <w:szCs w:val="72"/>
        </w:rPr>
      </w:pPr>
    </w:p>
    <w:p>
      <w:pPr>
        <w:jc w:val="center"/>
        <w:rPr>
          <w:rFonts w:ascii="黑体" w:hAnsi="黑体" w:eastAsia="黑体" w:cs="黑体"/>
          <w:sz w:val="56"/>
          <w:szCs w:val="72"/>
        </w:rPr>
      </w:pPr>
      <w:r>
        <w:pict>
          <v:group id="_x0000_s1040" o:spid="_x0000_s1040" o:spt="203" style="position:absolute;left:0pt;margin-left:-85.05pt;margin-top:5.2pt;height:69.6pt;width:600.25pt;z-index:-251657216;mso-width-relative:page;mso-height-relative:page;" coordorigin="13622,-66719" coordsize="12005,1392046">
            <o:lock v:ext="edit"/>
            <v:rect id="矩形 5" o:spid="_x0000_s1041" o:spt="1" style="position:absolute;left:13622;top:283;height:6170;width:12005;v-text-anchor:middle;" fillcolor="#FDBC11" filled="t" stroked="f" coordsize="21600,21600">
              <v:path/>
              <v:fill on="t" focussize="0,0"/>
              <v:stroke on="f" weight="1pt"/>
              <v:imagedata o:title=""/>
              <o:lock v:ext="edit"/>
            </v:rect>
            <v:shape id="_x0000_s1042" o:spid="_x0000_s1042" o:spt="202" type="#_x0000_t202" style="position:absolute;left:17229;top:-66719;height:1392046;width:8083;" filled="f" stroked="f" coordsize="21600,21600">
              <v:path/>
              <v:fill on="f" focussize="0,0"/>
              <v:stroke on="f" joinstyle="miter"/>
              <v:imagedata o:title=""/>
              <o:lock v:ext="edit"/>
              <v:textbox style="mso-fit-shape-to-text:t;">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w:r>
    </w:p>
    <w:p>
      <w:pPr>
        <w:rPr>
          <w:rFonts w:ascii="黑体" w:hAnsi="Times New Roman" w:eastAsia="黑体"/>
          <w:sz w:val="48"/>
          <w:szCs w:val="48"/>
        </w:rPr>
      </w:pPr>
      <w:r>
        <w:rPr>
          <w:rFonts w:ascii="黑体" w:hAnsi="Times New Roman" w:eastAsia="黑体"/>
          <w:sz w:val="48"/>
          <w:szCs w:val="48"/>
        </w:rPr>
        <w:br w:type="page"/>
      </w:r>
    </w:p>
    <w:p>
      <w:pPr>
        <w:tabs>
          <w:tab w:val="left" w:pos="2728"/>
        </w:tabs>
        <w:rPr>
          <w:rFonts w:ascii="黑体" w:hAnsi="Times New Roman" w:eastAsia="黑体"/>
          <w:sz w:val="48"/>
          <w:szCs w:val="48"/>
        </w:rPr>
      </w:pPr>
      <w:r>
        <w:rPr>
          <w:rFonts w:ascii="黑体" w:hAnsi="Times New Roman" w:eastAsia="黑体"/>
          <w:sz w:val="48"/>
          <w:szCs w:val="48"/>
        </w:rPr>
        <w:tab/>
      </w:r>
    </w:p>
    <w:p>
      <w:pPr>
        <w:rPr>
          <w:rFonts w:ascii="黑体" w:hAnsi="黑体" w:eastAsia="黑体" w:cs="黑体"/>
          <w:sz w:val="56"/>
          <w:szCs w:val="72"/>
        </w:rPr>
      </w:pPr>
    </w:p>
    <w:p>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snapToGrid w:val="0"/>
        <w:spacing w:line="480" w:lineRule="auto"/>
        <w:jc w:val="center"/>
        <w:rPr>
          <w:rFonts w:hint="eastAsia" w:ascii="黑体" w:hAnsi="黑体" w:eastAsia="黑体" w:cs="黑体"/>
          <w:sz w:val="56"/>
          <w:szCs w:val="72"/>
          <w:lang w:val="en-US" w:eastAsia="zh-CN"/>
        </w:rPr>
      </w:pPr>
    </w:p>
    <w:p>
      <w:pPr>
        <w:snapToGrid w:val="0"/>
        <w:spacing w:line="480" w:lineRule="auto"/>
        <w:jc w:val="center"/>
        <w:rPr>
          <w:rFonts w:hint="eastAsia" w:ascii="楷体_GB2312" w:hAnsi="楷体_GB2312" w:eastAsia="楷体_GB2312" w:cs="楷体_GB2312"/>
          <w:color w:val="000000"/>
          <w:kern w:val="0"/>
          <w:sz w:val="44"/>
          <w:szCs w:val="44"/>
          <w:lang w:val="en-US" w:eastAsia="zh-CN"/>
        </w:rPr>
      </w:pPr>
      <w:r>
        <w:rPr>
          <w:rFonts w:hint="eastAsia" w:ascii="楷体_GB2312" w:hAnsi="楷体_GB2312" w:eastAsia="楷体_GB2312" w:cs="楷体_GB2312"/>
          <w:color w:val="000000"/>
          <w:kern w:val="0"/>
          <w:sz w:val="44"/>
          <w:szCs w:val="44"/>
          <w:lang w:val="en-US" w:eastAsia="zh-CN"/>
        </w:rPr>
        <w:t>中共阜平县委组织部</w:t>
      </w:r>
    </w:p>
    <w:p>
      <w:pPr>
        <w:snapToGrid w:val="0"/>
        <w:spacing w:line="480" w:lineRule="auto"/>
        <w:jc w:val="center"/>
        <w:rPr>
          <w:rFonts w:ascii="楷体_GB2312" w:hAnsi="楷体_GB2312" w:eastAsia="楷体_GB2312" w:cs="楷体_GB2312"/>
          <w:color w:val="000000"/>
          <w:kern w:val="0"/>
          <w:sz w:val="44"/>
          <w:szCs w:val="44"/>
        </w:rPr>
        <w:sectPr>
          <w:headerReference r:id="rId5" w:type="first"/>
          <w:footerReference r:id="rId6" w:type="first"/>
          <w:headerReference r:id="rId4"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rPr>
        <w:t>二〇二〇年</w:t>
      </w:r>
      <w:r>
        <w:rPr>
          <w:rFonts w:hint="eastAsia" w:ascii="楷体_GB2312" w:hAnsi="楷体_GB2312" w:eastAsia="楷体_GB2312" w:cs="楷体_GB2312"/>
          <w:color w:val="000000"/>
          <w:kern w:val="0"/>
          <w:sz w:val="44"/>
          <w:szCs w:val="44"/>
          <w:lang w:val="en-US" w:eastAsia="zh-CN"/>
        </w:rPr>
        <w:t>九</w:t>
      </w:r>
      <w:r>
        <w:rPr>
          <w:rFonts w:hint="eastAsia" w:ascii="楷体_GB2312" w:hAnsi="楷体_GB2312" w:eastAsia="楷体_GB2312" w:cs="楷体_GB2312"/>
          <w:color w:val="000000"/>
          <w:kern w:val="0"/>
          <w:sz w:val="44"/>
          <w:szCs w:val="44"/>
        </w:rPr>
        <w:t>月</w:t>
      </w:r>
    </w:p>
    <w:p>
      <w:pPr>
        <w:tabs>
          <w:tab w:val="left" w:pos="2728"/>
        </w:tabs>
        <w:jc w:val="both"/>
        <w:rPr>
          <w:rFonts w:ascii="黑体" w:hAnsi="Times New Roman" w:eastAsia="黑体"/>
          <w:sz w:val="48"/>
          <w:szCs w:val="48"/>
        </w:rPr>
      </w:pPr>
    </w:p>
    <w:p>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w:t>
      </w:r>
      <w:r>
        <w:rPr>
          <w:rFonts w:ascii="Times New Roman" w:hAnsi="Times New Roman" w:eastAsia="黑体"/>
          <w:sz w:val="32"/>
          <w:szCs w:val="32"/>
        </w:rPr>
        <w:t xml:space="preserve">  </w:t>
      </w:r>
      <w:r>
        <w:rPr>
          <w:rFonts w:hint="eastAsia" w:ascii="Times New Roman" w:hAnsi="Times New Roman" w:eastAsia="黑体"/>
          <w:sz w:val="32"/>
          <w:szCs w:val="32"/>
          <w:lang w:val="en-US" w:eastAsia="zh-CN"/>
        </w:rPr>
        <w:t>相关</w:t>
      </w:r>
      <w:r>
        <w:rPr>
          <w:rFonts w:hint="eastAsia" w:ascii="Times New Roman" w:hAnsi="Times New Roman" w:eastAsia="黑体"/>
          <w:sz w:val="32"/>
          <w:szCs w:val="32"/>
        </w:rPr>
        <w:t>名词解释</w:t>
      </w:r>
    </w:p>
    <w:p>
      <w:pPr>
        <w:widowControl/>
        <w:spacing w:after="160" w:line="580" w:lineRule="exact"/>
        <w:ind w:firstLine="640" w:firstLineChars="200"/>
        <w:rPr>
          <w:rFonts w:ascii="Times New Roman" w:hAnsi="Times New Roman" w:eastAsia="仿宋_GB2312"/>
          <w:sz w:val="20"/>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headerReference r:id="rId8" w:type="first"/>
          <w:footerReference r:id="rId10" w:type="first"/>
          <w:headerReference r:id="rId7" w:type="default"/>
          <w:footerReference r:id="rId9" w:type="default"/>
          <w:type w:val="continuous"/>
          <w:pgSz w:w="11906" w:h="16838"/>
          <w:pgMar w:top="2041" w:right="1531" w:bottom="2041"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pict>
          <v:shape id="_x0000_s1053" o:spid="_x0000_s1053" o:spt="202" type="#_x0000_t202" style="position:absolute;left:0pt;margin-left:-85.7pt;margin-top:80.7pt;height:263.1pt;width:613.65pt;z-index:251667456;v-text-anchor:middle;mso-width-relative:page;mso-height-relative:page;" fillcolor="#FFD966" filled="t" stroked="t" coordsize="21600,21600">
            <v:path/>
            <v:fill type="pattern" on="t" focussize="0,0"/>
            <v:stroke weight="1pt" color="#FFD966" joinstyle="round"/>
            <v:imagedata o:title=""/>
            <o:lock v:ext="edit"/>
            <v:textbox>
              <w:txbxContent>
                <w:p>
                  <w:pPr>
                    <w:widowControl/>
                    <w:jc w:val="center"/>
                    <w:rPr>
                      <w:rFonts w:hint="eastAsia" w:ascii="黑体" w:hAnsi="黑体" w:eastAsia="黑体" w:cs="黑体"/>
                      <w:color w:val="000000"/>
                      <w:sz w:val="96"/>
                      <w:szCs w:val="96"/>
                    </w:rPr>
                  </w:pPr>
                </w:p>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根据中共阜平县委办公室《关于印发&lt;阜平县委组织部职能配置、内设机构和人员编制规定&gt;的通知》的要求，中共阜平县委组织部负责：</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w:t>
      </w:r>
      <w:r>
        <w:rPr>
          <w:rFonts w:hint="eastAsia" w:ascii="仿宋_GB2312" w:hAnsi="Calibri" w:eastAsia="仿宋_GB2312" w:cs="ArialUnicodeMS"/>
          <w:kern w:val="0"/>
          <w:sz w:val="32"/>
          <w:szCs w:val="32"/>
          <w:lang w:val="en-US" w:eastAsia="zh-CN"/>
        </w:rPr>
        <w:t>一</w:t>
      </w:r>
      <w:r>
        <w:rPr>
          <w:rFonts w:hint="eastAsia" w:ascii="仿宋_GB2312" w:hAnsi="Calibri" w:eastAsia="仿宋_GB2312" w:cs="ArialUnicodeMS"/>
          <w:kern w:val="0"/>
          <w:sz w:val="32"/>
          <w:szCs w:val="32"/>
          <w:lang w:eastAsia="zh-CN"/>
        </w:rPr>
        <w:t>）、做好和完成全县党组织、干部、人才、领导班子建设等方面的检查监督、政策落实、调整配备、交流安置等项工作。</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二）、加强党的基层组织建设、党员队伍建设；建好配强基层党组织，并充分发挥其战斗堡垒作用；完成上级下达的发展党员、党员队伍管理、党费收缴等工作，发挥其先锋模范作用；组织新时期党的建设理论研究。</w:t>
      </w:r>
    </w:p>
    <w:p>
      <w:pPr>
        <w:spacing w:line="580" w:lineRule="exact"/>
        <w:ind w:firstLine="640" w:firstLineChars="200"/>
        <w:rPr>
          <w:rFonts w:hint="eastAsia" w:ascii="仿宋_GB2312" w:hAnsi="Calibri" w:eastAsia="仿宋_GB2312" w:cs="ArialUnicodeMS"/>
          <w:kern w:val="0"/>
          <w:sz w:val="32"/>
          <w:szCs w:val="32"/>
          <w:lang w:eastAsia="zh-CN"/>
        </w:rPr>
      </w:pPr>
      <w:r>
        <w:rPr>
          <w:rFonts w:hint="eastAsia" w:ascii="仿宋_GB2312" w:hAnsi="Calibri" w:eastAsia="仿宋_GB2312" w:cs="ArialUnicodeMS"/>
          <w:kern w:val="0"/>
          <w:sz w:val="32"/>
          <w:szCs w:val="32"/>
          <w:lang w:eastAsia="zh-CN"/>
        </w:rPr>
        <w:t>（三）、加强领导班子建设，选好配强乡（镇）和县直部门以及其它列入县委管理的领导班子；做好干部的调配、交流和安置工作，为全县经济建设和社会发展提供坚强的组织保障。</w:t>
      </w:r>
    </w:p>
    <w:p>
      <w:pPr>
        <w:spacing w:line="580" w:lineRule="exact"/>
        <w:ind w:firstLine="640" w:firstLineChars="200"/>
        <w:rPr>
          <w:rFonts w:hint="eastAsia" w:ascii="黑体" w:hAnsi="Calibri" w:eastAsia="黑体" w:cs="黑体"/>
          <w:kern w:val="0"/>
          <w:sz w:val="32"/>
          <w:szCs w:val="32"/>
        </w:rPr>
      </w:pPr>
      <w:r>
        <w:rPr>
          <w:rFonts w:hint="eastAsia" w:ascii="仿宋_GB2312" w:hAnsi="Calibri" w:eastAsia="仿宋_GB2312" w:cs="ArialUnicodeMS"/>
          <w:kern w:val="0"/>
          <w:sz w:val="32"/>
          <w:szCs w:val="32"/>
          <w:lang w:eastAsia="zh-CN"/>
        </w:rPr>
        <w:t>（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按照阜办发【2004】40号和阜机编办字【2014】22号文件批复，我单位设有行政编制16人，事业编10人，单位领导职数为6人。实际在编行政人员14人，工勤人员6人，事业编制8人，退休人员6人。从决算编报单位构成看，纳入</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年度本部门决算汇编范围的独立核算单位（以下简称“单位”）共</w:t>
      </w:r>
      <w:r>
        <w:rPr>
          <w:rFonts w:hint="eastAsia" w:ascii="仿宋_GB2312" w:hAnsi="Calibri" w:eastAsia="仿宋_GB2312" w:cs="ArialUnicodeMS"/>
          <w:kern w:val="0"/>
          <w:sz w:val="32"/>
          <w:szCs w:val="32"/>
          <w:lang w:val="en-US" w:eastAsia="zh-CN"/>
        </w:rPr>
        <w:t>1</w:t>
      </w:r>
      <w:r>
        <w:rPr>
          <w:rFonts w:hint="eastAsia" w:ascii="仿宋_GB2312" w:hAnsi="Calibri" w:eastAsia="仿宋_GB2312" w:cs="ArialUnicodeMS"/>
          <w:kern w:val="0"/>
          <w:sz w:val="32"/>
          <w:szCs w:val="32"/>
        </w:rPr>
        <w:t>个，具体情况如下：</w:t>
      </w:r>
    </w:p>
    <w:tbl>
      <w:tblPr>
        <w:tblStyle w:val="6"/>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1</w:t>
            </w:r>
          </w:p>
        </w:tc>
        <w:tc>
          <w:tcPr>
            <w:tcW w:w="3485" w:type="dxa"/>
          </w:tcPr>
          <w:p>
            <w:pPr>
              <w:spacing w:line="560" w:lineRule="exact"/>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中共阜平县委组织部</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_GB2312" w:hAnsi="Cambria" w:eastAsia="仿宋_GB2312" w:cs="ArialUnicodeMS"/>
                <w:kern w:val="0"/>
                <w:sz w:val="28"/>
                <w:szCs w:val="28"/>
                <w:lang w:val="en-US"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mbria" w:eastAsia="仿宋_GB2312" w:cs="ArialUnicodeMS"/>
                <w:kern w:val="0"/>
                <w:sz w:val="28"/>
                <w:szCs w:val="28"/>
                <w:lang w:val="en-US" w:eastAsia="zh-CN"/>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line="560" w:lineRule="exact"/>
              <w:ind w:firstLine="560" w:firstLineChars="200"/>
              <w:jc w:val="left"/>
              <w:rPr>
                <w:rFonts w:ascii="仿宋_GB2312" w:hAnsi="Calibri" w:eastAsia="仿宋_GB2312" w:cs="ArialUnicodeMS"/>
                <w:kern w:val="0"/>
                <w:sz w:val="28"/>
                <w:szCs w:val="28"/>
              </w:rPr>
            </w:pPr>
          </w:p>
        </w:tc>
      </w:tr>
    </w:tbl>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pgSz w:w="11906" w:h="16838"/>
          <w:pgMar w:top="2041" w:right="1531" w:bottom="2041" w:left="1531" w:header="851" w:footer="992" w:gutter="0"/>
          <w:pgNumType w:fmt="numberInDash" w:start="1"/>
          <w:cols w:space="0" w:num="1"/>
          <w:titlePg/>
          <w:docGrid w:type="lines" w:linePitch="312" w:charSpace="0"/>
        </w:sectPr>
      </w:pPr>
    </w:p>
    <w:p>
      <w:pPr>
        <w:widowControl/>
        <w:spacing w:after="160" w:line="580" w:lineRule="exact"/>
        <w:ind w:firstLine="640" w:firstLineChars="200"/>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rPr>
          <w:rFonts w:ascii="Times New Roman" w:hAnsi="Times New Roman" w:eastAsia="黑体"/>
          <w:sz w:val="32"/>
          <w:szCs w:val="32"/>
        </w:rPr>
        <w:sectPr>
          <w:pgSz w:w="11906" w:h="16838"/>
          <w:pgMar w:top="2041" w:right="1531" w:bottom="2041" w:left="1531" w:header="851" w:footer="992" w:gutter="0"/>
          <w:pgNumType w:fmt="numberInDash"/>
          <w:cols w:space="0" w:num="1"/>
          <w:titlePg/>
          <w:docGrid w:type="lines" w:linePitch="312" w:charSpace="0"/>
        </w:sectPr>
      </w:pPr>
      <w:r>
        <w:pict>
          <v:shape id="_x0000_s1061" o:spid="_x0000_s1061" o:spt="202" type="#_x0000_t202" style="position:absolute;left:0pt;margin-left:-85.7pt;margin-top:238.15pt;height:173.25pt;width:613.65pt;z-index:251668480;mso-width-relative:page;mso-height-relative:page;" filled="f" stroked="f" coordsize="21600,21600">
            <v:path/>
            <v:fill on="f" focussize="0,0"/>
            <v:stroke on="f" weight="0.5pt" joinstyle="miter"/>
            <v:imagedata o:title=""/>
            <o:lock v:ext="edit"/>
            <v:textbo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pict>
          <v:shape id="_x0000_s1062" o:spid="_x0000_s1062" o:spt="202" type="#_x0000_t202" style="position:absolute;left:0pt;margin-left:-90.8pt;margin-top:4.35pt;height:263.1pt;width:613.65pt;z-index:251672576;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年度收入总计（含结转和结余）2088.64万元。与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年度决算相比，收入增加660.40万元，增长</w:t>
      </w:r>
      <w:r>
        <w:rPr>
          <w:rFonts w:hint="eastAsia" w:ascii="仿宋_GB2312" w:hAnsi="Times New Roman" w:eastAsia="仿宋_GB2312" w:cs="DengXian-Regular"/>
          <w:sz w:val="32"/>
          <w:szCs w:val="32"/>
          <w:lang w:val="en-US" w:eastAsia="zh-CN"/>
        </w:rPr>
        <w:t>46.24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，主要原因是2019年增加了村集体经济收入。支出总计（含结转和结余）2088.64万元。与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年度决算相比，支出增加660.40万元，增长</w:t>
      </w:r>
      <w:r>
        <w:rPr>
          <w:rFonts w:hint="eastAsia" w:ascii="仿宋_GB2312" w:hAnsi="Times New Roman" w:eastAsia="仿宋_GB2312" w:cs="DengXian-Regular"/>
          <w:sz w:val="32"/>
          <w:szCs w:val="32"/>
          <w:lang w:val="en-US" w:eastAsia="zh-CN"/>
        </w:rPr>
        <w:t>46.24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，主要原因是2019年增加了村集体经济收入。</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二、收入决算情况说明</w:t>
      </w:r>
    </w:p>
    <w:p>
      <w:pPr>
        <w:adjustRightInd w:val="0"/>
        <w:snapToGrid w:val="0"/>
        <w:spacing w:line="580" w:lineRule="exact"/>
        <w:ind w:firstLine="640" w:firstLineChars="200"/>
        <w:rPr>
          <w:rFonts w:ascii="黑体" w:hAnsi="Calibri" w:eastAsia="黑体"/>
          <w:b/>
          <w:bC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年度本年收入合计2088.64万元，其中：财政拨款收入2088.64万元，占</w:t>
      </w:r>
      <w:r>
        <w:rPr>
          <w:rFonts w:hint="eastAsia" w:ascii="仿宋_GB2312" w:hAnsi="Times New Roman" w:eastAsia="仿宋_GB2312" w:cs="DengXian-Regular"/>
          <w:sz w:val="32"/>
          <w:szCs w:val="32"/>
          <w:lang w:val="en-US" w:eastAsia="zh-CN"/>
        </w:rPr>
        <w:t>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；事业收入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；其他收入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r>
        <w:pict>
          <v:group id="_x0000_s1063" o:spid="_x0000_s1063" o:spt="203" style="position:absolute;left:0pt;margin-left:71.65pt;margin-top:19.55pt;height:217.5pt;width:308.75pt;z-index:251670528;mso-width-relative:page;mso-height-relative:page;" coordorigin="6817,180284" coordsize="5156,3464203">
            <o:lock v:ext="edit"/>
            <v:shape id="图片 1" o:spid="_x0000_s1064" o:spt="75" type="#_x0000_t75" style="position:absolute;left:6817;top:180284;height:2988;width:5156;" filled="f" o:preferrelative="t" stroked="f" coordsize="21600,21600">
              <v:path/>
              <v:fill on="f" focussize="0,0"/>
              <v:stroke on="f" joinstyle="miter"/>
              <v:imagedata r:id="rId14" cropleft="2131f" croptop="1490f" cropright="1218f" cropbottom="5217f" o:title=""/>
              <o:lock v:ext="edit" aspectratio="t"/>
            </v:shape>
            <v:shape id="文本框 32" o:spid="_x0000_s1065" o:spt="202" type="#_x0000_t202" style="position:absolute;left:7580;top:183134;height:615;width:3630;"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：收入构成情况</w:t>
                    </w:r>
                  </w:p>
                  <w:p>
                    <w:pPr>
                      <w:spacing w:after="160" w:line="480" w:lineRule="auto"/>
                      <w:rPr>
                        <w:rFonts w:ascii="Times New Roman" w:hAnsi="Times New Roman" w:eastAsia="宋体"/>
                        <w:sz w:val="20"/>
                      </w:rPr>
                    </w:pPr>
                  </w:p>
                </w:txbxContent>
              </v:textbox>
            </v:shape>
          </v:group>
        </w:pic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三、支出决算情况说明</w:t>
      </w:r>
    </w:p>
    <w:p>
      <w:pPr>
        <w:adjustRightInd w:val="0"/>
        <w:snapToGrid w:val="0"/>
        <w:spacing w:line="580" w:lineRule="exact"/>
        <w:ind w:firstLine="640" w:firstLineChars="200"/>
        <w:rPr>
          <w:rFonts w:ascii="黑体" w:hAnsi="Calibri" w:eastAsia="黑体"/>
          <w:b/>
          <w:bC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年度本年支出合计2088.64万元，其中：基本支出186.02万元，占</w:t>
      </w:r>
      <w:r>
        <w:rPr>
          <w:rFonts w:hint="eastAsia" w:ascii="仿宋_GB2312" w:hAnsi="Times New Roman" w:eastAsia="仿宋_GB2312" w:cs="DengXian-Regular"/>
          <w:sz w:val="32"/>
          <w:szCs w:val="32"/>
          <w:lang w:val="en-US" w:eastAsia="zh-CN"/>
        </w:rPr>
        <w:t>8.90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；项目支出1902.61万元，占91.09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；经营支出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万元，占</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r>
        <w:pict>
          <v:group id="_x0000_s1066" o:spid="_x0000_s1066" o:spt="203" style="position:absolute;left:0pt;margin-left:58.35pt;margin-top:-21.2pt;height:192.85pt;width:287.95pt;z-index:-251646976;mso-width-relative:page;mso-height-relative:page;" coordorigin="7032,190738" coordsize="4600,3345203">
            <o:lock v:ext="edit"/>
            <v:shape id="图片 3" o:spid="_x0000_s1067" o:spt="75" type="#_x0000_t75" style="position:absolute;left:7032;top:190738;height:2665;width:4600;" filled="f" o:preferrelative="t" stroked="f" coordsize="21600,21600">
              <v:path/>
              <v:fill on="f" focussize="0,0"/>
              <v:stroke on="f" joinstyle="miter"/>
              <v:imagedata r:id="rId14" cropleft="2131f" croptop="1490f" cropright="1218f" cropbottom="5217f" o:title=""/>
              <o:lock v:ext="edit" aspectratio="t"/>
            </v:shape>
            <v:shape id="_x0000_s1068" o:spid="_x0000_s1068" o:spt="202" type="#_x0000_t202" style="position:absolute;left:7289;top:193423;height:660;width:4169;"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：支出构成情况（按支出性质）</w:t>
                    </w:r>
                  </w:p>
                  <w:p>
                    <w:pPr>
                      <w:spacing w:after="160" w:line="480" w:lineRule="auto"/>
                      <w:rPr>
                        <w:rFonts w:ascii="Times New Roman" w:hAnsi="Times New Roman" w:eastAsia="宋体"/>
                        <w:sz w:val="20"/>
                      </w:rPr>
                    </w:pPr>
                  </w:p>
                </w:txbxContent>
              </v:textbox>
            </v:shape>
          </v:group>
        </w:pic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年度形成的财政拨款收支均为一般公共预算财政拨款，其中本年收入2088.64万元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年度增加660.40万元，增长46.24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，主要是2019年增加了村级集体经济支出、村级奖励基金、驻村工作对经费增加；本年支出2088.64万元，增加660.40万元，增长46.24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，主要是2019年增加了村级集体经济支出、村级奖励基金、驻村工作对经费增加。</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年度财政拨款本年收入2088.64万元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年度增加660.40万元，增长46.24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，主要是2019年增加了村级集体经济支出、村级奖励基金、驻村工作对经费增加；本年支出2088.64万元，增加660.40万元，增长46.24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，主要是2019年增加了村级集体经济支出、村级奖励基金、驻村工作对经费增加。具体情况如下：</w:t>
      </w:r>
    </w:p>
    <w:p>
      <w:pPr>
        <w:numPr>
          <w:ilvl w:val="0"/>
          <w:numId w:val="1"/>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一般公共预算财政拨款本年收入2088.64万元，比上年增加660.40万元</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增长46.24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，主要是2019年增加了村级集体经济支出、村级奖励基金、驻村工作对经费增加；本年支出2088.64万元，比上年增加660.40万元，增长46.24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，主要是2019年增加了村级集体经济支出、村级奖励基金、驻村工作对经费增加。</w:t>
      </w:r>
    </w:p>
    <w:p>
      <w:pPr>
        <w:numPr>
          <w:ilvl w:val="0"/>
          <w:numId w:val="1"/>
        </w:num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政府性基金预算财政拨款本年收入</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本单位本年度无政府性基金预算拨款收入</w:t>
      </w:r>
      <w:r>
        <w:rPr>
          <w:rFonts w:hint="eastAsia" w:ascii="仿宋_GB2312" w:hAnsi="Times New Roman" w:eastAsia="仿宋_GB2312" w:cs="DengXian-Regular"/>
          <w:sz w:val="32"/>
          <w:szCs w:val="32"/>
        </w:rPr>
        <w:t>；本年支出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万元，比上年增加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本单位本年度无政府性基金预算拨款支出</w:t>
      </w:r>
      <w:r>
        <w:rPr>
          <w:rFonts w:hint="eastAsia" w:ascii="仿宋_GB2312" w:hAnsi="Times New Roman" w:eastAsia="仿宋_GB2312" w:cs="DengXian-Regular"/>
          <w:sz w:val="32"/>
          <w:szCs w:val="32"/>
        </w:rPr>
        <w:t>。</w:t>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年度一般公共预算财政拨款收入2088.64万元，完成年初预算的</w:t>
      </w:r>
      <w:r>
        <w:rPr>
          <w:rFonts w:hint="eastAsia" w:ascii="仿宋_GB2312" w:hAnsi="Times New Roman" w:eastAsia="仿宋_GB2312" w:cs="DengXian-Regular"/>
          <w:sz w:val="32"/>
          <w:szCs w:val="32"/>
          <w:lang w:val="en-US" w:eastAsia="zh-CN"/>
        </w:rPr>
        <w:t>30.43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比年初预算减少4960.49万元，决算数小于预算数主要原因是2019年村干部工资、村级办公经费预算在组织部做由乡镇执行发放，部分项目未支出；本年支出2088.64万元，完成年初预算的</w:t>
      </w:r>
      <w:r>
        <w:rPr>
          <w:rFonts w:hint="eastAsia" w:ascii="仿宋_GB2312" w:hAnsi="Times New Roman" w:eastAsia="仿宋_GB2312" w:cs="DengXian-Regular"/>
          <w:sz w:val="32"/>
          <w:szCs w:val="32"/>
          <w:lang w:val="en-US" w:eastAsia="zh-CN"/>
        </w:rPr>
        <w:t>30.43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比年初预算减少4960.49万元，决算数小于预算数主要原因是主要是2019年村干部工资、村级办公经费预算在组织部做由乡镇执行发放，部分项目未支出。</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年度财政拨款本年收入2088.64万元，完成年初预算的</w:t>
      </w:r>
      <w:r>
        <w:rPr>
          <w:rFonts w:hint="eastAsia" w:ascii="仿宋_GB2312" w:hAnsi="Times New Roman" w:eastAsia="仿宋_GB2312" w:cs="DengXian-Regular"/>
          <w:sz w:val="32"/>
          <w:szCs w:val="32"/>
          <w:lang w:val="en-US" w:eastAsia="zh-CN"/>
        </w:rPr>
        <w:t>30.43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比年初预算减少4960.49万元，决算数小于预算数主要原因是2019年村干部工资、村级办公经费预算在组织部做由乡镇执行发放，部分项目未支出；本年支出2088.64万元，完成年初预算的</w:t>
      </w:r>
      <w:r>
        <w:rPr>
          <w:rFonts w:hint="eastAsia" w:ascii="仿宋_GB2312" w:hAnsi="Times New Roman" w:eastAsia="仿宋_GB2312" w:cs="DengXian-Regular"/>
          <w:sz w:val="32"/>
          <w:szCs w:val="32"/>
          <w:lang w:val="en-US" w:eastAsia="zh-CN"/>
        </w:rPr>
        <w:t>30.43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比年初预算减少4960.49万元，决算数小于预算数主要原因是主要是2019年村干部工资、村级办公经费预算在组织部做由乡镇执行发放，部分项目未支出。具体情况如下：</w:t>
      </w:r>
    </w:p>
    <w:p>
      <w:pPr>
        <w:numPr>
          <w:ilvl w:val="0"/>
          <w:numId w:val="2"/>
        </w:num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一般公共预算财政拨款本年收入完成年初预算</w:t>
      </w:r>
      <w:r>
        <w:rPr>
          <w:rFonts w:hint="eastAsia" w:ascii="仿宋_GB2312" w:hAnsi="Times New Roman" w:eastAsia="仿宋_GB2312" w:cs="DengXian-Regular"/>
          <w:sz w:val="32"/>
          <w:szCs w:val="32"/>
          <w:lang w:val="en-US" w:eastAsia="zh-CN"/>
        </w:rPr>
        <w:t>30.43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，比年初预算减少4960.49万元，主要是2019年村干部工资、村级办公经费预算在组织部做由乡镇执行发放，部分项目未支出；支出完成年初预算</w:t>
      </w:r>
      <w:r>
        <w:rPr>
          <w:rFonts w:hint="eastAsia" w:ascii="仿宋_GB2312" w:hAnsi="Times New Roman" w:eastAsia="仿宋_GB2312" w:cs="DengXian-Regular"/>
          <w:sz w:val="32"/>
          <w:szCs w:val="32"/>
          <w:lang w:val="en-US" w:eastAsia="zh-CN"/>
        </w:rPr>
        <w:t>30.43</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，比年初预算减少4960.49万元，主要是2019年村干部工资、村级办公经费预算在组织部做由乡镇执行发放，部分项目未支出。</w:t>
      </w:r>
    </w:p>
    <w:p>
      <w:pPr>
        <w:numPr>
          <w:ilvl w:val="0"/>
          <w:numId w:val="0"/>
        </w:numPr>
        <w:adjustRightInd w:val="0"/>
        <w:snapToGrid w:val="0"/>
        <w:spacing w:line="580" w:lineRule="exact"/>
        <w:ind w:firstLine="640" w:firstLineChars="200"/>
        <w:rPr>
          <w:rFonts w:ascii="仿宋_GB2312" w:hAnsi="Times New Roman" w:eastAsia="仿宋_GB2312" w:cs="DengXian-Regular"/>
          <w:sz w:val="32"/>
          <w:szCs w:val="32"/>
          <w:highlight w:val="yellow"/>
        </w:rPr>
      </w:pPr>
      <w:r>
        <w:rPr>
          <w:rFonts w:hint="eastAsia" w:ascii="仿宋_GB2312" w:hAnsi="Times New Roman" w:eastAsia="仿宋_GB2312" w:cs="DengXian-Regular"/>
          <w:sz w:val="32"/>
          <w:szCs w:val="32"/>
          <w:lang w:val="en-US" w:eastAsia="zh-CN"/>
        </w:rPr>
        <w:t>2.</w:t>
      </w:r>
      <w:r>
        <w:rPr>
          <w:rFonts w:hint="eastAsia" w:ascii="仿宋_GB2312" w:hAnsi="Times New Roman" w:eastAsia="仿宋_GB2312" w:cs="DengXian-Regular"/>
          <w:sz w:val="32"/>
          <w:szCs w:val="32"/>
        </w:rPr>
        <w:t>政府性基金预算财政拨款本年收入完成年初预算</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万元，主要是</w:t>
      </w:r>
      <w:r>
        <w:rPr>
          <w:rFonts w:hint="eastAsia" w:ascii="仿宋_GB2312" w:hAnsi="Times New Roman" w:eastAsia="仿宋_GB2312" w:cs="DengXian-Regular"/>
          <w:sz w:val="32"/>
          <w:szCs w:val="32"/>
          <w:lang w:val="en-US" w:eastAsia="zh-CN"/>
        </w:rPr>
        <w:t>本部门本年度无政府性基金预算财政拨款收入</w:t>
      </w:r>
      <w:r>
        <w:rPr>
          <w:rFonts w:hint="eastAsia" w:ascii="仿宋_GB2312" w:hAnsi="Times New Roman" w:eastAsia="仿宋_GB2312" w:cs="DengXian-Regular"/>
          <w:sz w:val="32"/>
          <w:szCs w:val="32"/>
        </w:rPr>
        <w:t>；支出完成年初预算</w:t>
      </w:r>
      <w:r>
        <w:rPr>
          <w:rFonts w:hint="eastAsia" w:ascii="仿宋_GB2312" w:hAnsi="Times New Roman" w:eastAsia="仿宋_GB2312" w:cs="DengXian-Regular"/>
          <w:sz w:val="32"/>
          <w:szCs w:val="32"/>
          <w:lang w:val="en-US" w:eastAsia="zh-CN"/>
        </w:rPr>
        <w:t>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，比年初预算增加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万元，主要是</w:t>
      </w:r>
      <w:r>
        <w:rPr>
          <w:rFonts w:hint="eastAsia" w:ascii="仿宋_GB2312" w:hAnsi="Times New Roman" w:eastAsia="仿宋_GB2312" w:cs="DengXian-Regular"/>
          <w:sz w:val="32"/>
          <w:szCs w:val="32"/>
          <w:lang w:val="en-US" w:eastAsia="zh-CN"/>
        </w:rPr>
        <w:t>本部门本年度无政府性基金预算财政拨款支出</w:t>
      </w:r>
      <w:r>
        <w:rPr>
          <w:rFonts w:hint="eastAsia" w:ascii="仿宋_GB2312" w:hAnsi="Times New Roman" w:eastAsia="仿宋_GB2312" w:cs="DengXian-Regular"/>
          <w:sz w:val="32"/>
          <w:szCs w:val="32"/>
        </w:rPr>
        <w:t>。</w:t>
      </w:r>
    </w:p>
    <w:p>
      <w:pPr>
        <w:numPr>
          <w:ilvl w:val="0"/>
          <w:numId w:val="3"/>
        </w:num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年度财政拨款支出2088.64万元，主要用于以下方面</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一般公共服务（类）支出283.37万元，占</w:t>
      </w:r>
      <w:r>
        <w:rPr>
          <w:rFonts w:hint="eastAsia" w:ascii="仿宋_GB2312" w:hAnsi="Times New Roman" w:eastAsia="仿宋_GB2312" w:cs="DengXian-Regular"/>
          <w:sz w:val="32"/>
          <w:szCs w:val="32"/>
          <w:lang w:val="en-US" w:eastAsia="zh-CN"/>
        </w:rPr>
        <w:t>13.57</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；社会保障和就业支出167.47万元，占</w:t>
      </w:r>
      <w:r>
        <w:rPr>
          <w:rFonts w:hint="eastAsia" w:ascii="仿宋_GB2312" w:hAnsi="Times New Roman" w:eastAsia="仿宋_GB2312" w:cs="DengXian-Regular"/>
          <w:sz w:val="32"/>
          <w:szCs w:val="32"/>
          <w:lang w:val="en-US" w:eastAsia="zh-CN"/>
        </w:rPr>
        <w:t>8.02</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；卫生健康支出5.31万元，占</w:t>
      </w:r>
      <w:r>
        <w:rPr>
          <w:rFonts w:hint="eastAsia" w:ascii="仿宋_GB2312" w:hAnsi="Times New Roman" w:eastAsia="仿宋_GB2312" w:cs="DengXian-Regular"/>
          <w:sz w:val="32"/>
          <w:szCs w:val="32"/>
          <w:lang w:val="en-US" w:eastAsia="zh-CN"/>
        </w:rPr>
        <w:t>2.54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；抚恤支出145.69万元，占</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lang w:val="en-US" w:eastAsia="zh-CN"/>
        </w:rPr>
        <w:t>6.98</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；农林水支出1621.94万元，占</w:t>
      </w:r>
      <w:r>
        <w:rPr>
          <w:rFonts w:hint="eastAsia" w:ascii="仿宋_GB2312" w:hAnsi="Times New Roman" w:eastAsia="仿宋_GB2312" w:cs="DengXian-Regular"/>
          <w:sz w:val="32"/>
          <w:szCs w:val="32"/>
          <w:lang w:val="en-US" w:eastAsia="zh-CN"/>
        </w:rPr>
        <w:t>77.65</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；住房保障支出10.55万元，占</w:t>
      </w:r>
      <w:r>
        <w:rPr>
          <w:rFonts w:hint="eastAsia" w:ascii="仿宋_GB2312" w:hAnsi="Times New Roman" w:eastAsia="仿宋_GB2312" w:cs="DengXian-Regular"/>
          <w:sz w:val="32"/>
          <w:szCs w:val="32"/>
          <w:lang w:val="en-US" w:eastAsia="zh-CN"/>
        </w:rPr>
        <w:t>5.00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r>
        <w:pict>
          <v:group id="_x0000_s1069" o:spid="_x0000_s1069" o:spt="203" style="position:absolute;left:0pt;margin-left:77.25pt;margin-top:16.6pt;height:173.95pt;width:281.6pt;z-index:-251644928;mso-width-relative:page;mso-height-relative:page;" coordorigin="6921,180284" coordsize="5065,3465203">
            <o:lock v:ext="edit"/>
            <v:shape id="图片 1" o:spid="_x0000_s1070" o:spt="75" type="#_x0000_t75" style="position:absolute;left:7157;top:180284;height:2988;width:4586;" filled="f" o:preferrelative="t" stroked="f" coordsize="21600,21600">
              <v:path/>
              <v:fill on="f" focussize="0,0"/>
              <v:stroke on="f" joinstyle="miter"/>
              <v:imagedata r:id="rId14" cropleft="2131f" croptop="1490f" cropright="1218f" cropbottom="5217f" o:title=""/>
              <o:lock v:ext="edit" aspectratio="t"/>
            </v:shape>
            <v:shape id="文本框 32" o:spid="_x0000_s1071" o:spt="202" type="#_x0000_t202" style="position:absolute;left:6921;top:183134;height:615;width:5065;"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v:textbox>
            </v:shape>
          </v:group>
        </w:pict>
      </w:r>
    </w:p>
    <w:p>
      <w:pPr>
        <w:adjustRightInd w:val="0"/>
        <w:snapToGrid w:val="0"/>
        <w:spacing w:line="580" w:lineRule="exact"/>
        <w:ind w:left="420" w:left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（四）一般公共预算基本支出决算情况说明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年度财政拨款基本支出186.03万元，其中：人员经费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140.17万元，主要包括基本工资支出73.36万元，与2018年决算67.93万元相比，增加5.42万元，增</w:t>
      </w:r>
      <w:r>
        <w:rPr>
          <w:rFonts w:hint="eastAsia" w:ascii="仿宋_GB2312" w:hAnsi="Times New Roman" w:eastAsia="仿宋_GB2312" w:cs="DengXian-Regular"/>
          <w:sz w:val="32"/>
          <w:szCs w:val="32"/>
          <w:lang w:val="en-US" w:eastAsia="zh-CN"/>
        </w:rPr>
        <w:t>长</w:t>
      </w:r>
      <w:r>
        <w:rPr>
          <w:rFonts w:hint="eastAsia" w:ascii="仿宋_GB2312" w:hAnsi="Times New Roman" w:eastAsia="仿宋_GB2312" w:cs="DengXian-Regular"/>
          <w:sz w:val="32"/>
          <w:szCs w:val="32"/>
        </w:rPr>
        <w:t>8.0</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%。2019津贴补贴支出16.51万元，与2018年决算34.93万元相比减少18.42万元，</w:t>
      </w:r>
      <w:r>
        <w:rPr>
          <w:rFonts w:hint="eastAsia" w:ascii="仿宋_GB2312" w:hAnsi="Times New Roman" w:eastAsia="仿宋_GB2312" w:cs="DengXian-Regular"/>
          <w:sz w:val="32"/>
          <w:szCs w:val="32"/>
          <w:lang w:val="en-US" w:eastAsia="zh-CN"/>
        </w:rPr>
        <w:t>降低</w:t>
      </w:r>
      <w:r>
        <w:rPr>
          <w:rFonts w:hint="eastAsia" w:ascii="仿宋_GB2312" w:hAnsi="Times New Roman" w:eastAsia="仿宋_GB2312" w:cs="DengXian-Regular"/>
          <w:sz w:val="32"/>
          <w:szCs w:val="32"/>
        </w:rPr>
        <w:t>52.74%。2019年奖金支出6.17万元，与2018年决算6.00万元相比减少0.17万元，</w:t>
      </w:r>
      <w:r>
        <w:rPr>
          <w:rFonts w:hint="eastAsia" w:ascii="仿宋_GB2312" w:hAnsi="Times New Roman" w:eastAsia="仿宋_GB2312" w:cs="DengXian-Regular"/>
          <w:sz w:val="32"/>
          <w:szCs w:val="32"/>
          <w:lang w:val="en-US" w:eastAsia="zh-CN"/>
        </w:rPr>
        <w:t>降低</w:t>
      </w:r>
      <w:r>
        <w:rPr>
          <w:rFonts w:hint="eastAsia" w:ascii="仿宋_GB2312" w:hAnsi="Times New Roman" w:eastAsia="仿宋_GB2312" w:cs="DengXian-Regular"/>
          <w:sz w:val="32"/>
          <w:szCs w:val="32"/>
        </w:rPr>
        <w:t>2.84%。2019年绩效工资支出9.59万元，与2018年决算9.58万元相比增加0.02万元，增</w:t>
      </w:r>
      <w:r>
        <w:rPr>
          <w:rFonts w:hint="eastAsia" w:ascii="仿宋_GB2312" w:hAnsi="Times New Roman" w:eastAsia="仿宋_GB2312" w:cs="DengXian-Regular"/>
          <w:sz w:val="32"/>
          <w:szCs w:val="32"/>
          <w:lang w:val="en-US" w:eastAsia="zh-CN"/>
        </w:rPr>
        <w:t>长</w:t>
      </w:r>
      <w:r>
        <w:rPr>
          <w:rFonts w:hint="eastAsia" w:ascii="仿宋_GB2312" w:hAnsi="Times New Roman" w:eastAsia="仿宋_GB2312" w:cs="DengXian-Regular"/>
          <w:sz w:val="32"/>
          <w:szCs w:val="32"/>
        </w:rPr>
        <w:t>0.17%。2019年机关事业基本养老保险缴费支出17.75万元，与2018年决算17.74万元相比增加0.1</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元，增</w:t>
      </w:r>
      <w:r>
        <w:rPr>
          <w:rFonts w:hint="eastAsia" w:ascii="仿宋_GB2312" w:hAnsi="Times New Roman" w:eastAsia="仿宋_GB2312" w:cs="DengXian-Regular"/>
          <w:sz w:val="32"/>
          <w:szCs w:val="32"/>
          <w:lang w:val="en-US" w:eastAsia="zh-CN"/>
        </w:rPr>
        <w:t>长</w:t>
      </w:r>
      <w:r>
        <w:rPr>
          <w:rFonts w:hint="eastAsia" w:ascii="仿宋_GB2312" w:hAnsi="Times New Roman" w:eastAsia="仿宋_GB2312" w:cs="DengXian-Regular"/>
          <w:sz w:val="32"/>
          <w:szCs w:val="32"/>
        </w:rPr>
        <w:t>了0.0</w:t>
      </w:r>
      <w:r>
        <w:rPr>
          <w:rFonts w:hint="eastAsia" w:ascii="仿宋_GB2312" w:hAnsi="Times New Roman" w:eastAsia="仿宋_GB2312" w:cs="DengXian-Regular"/>
          <w:sz w:val="32"/>
          <w:szCs w:val="32"/>
          <w:lang w:val="en-US" w:eastAsia="zh-CN"/>
        </w:rPr>
        <w:t>3</w:t>
      </w:r>
      <w:r>
        <w:rPr>
          <w:rFonts w:hint="eastAsia" w:ascii="仿宋_GB2312" w:hAnsi="Times New Roman" w:eastAsia="仿宋_GB2312" w:cs="DengXian-Regular"/>
          <w:sz w:val="32"/>
          <w:szCs w:val="32"/>
        </w:rPr>
        <w:t>%。2019年职工基本医疗保险缴费5.31万元，与2018年决算6.49万元相比减少1.19万元，</w:t>
      </w:r>
      <w:r>
        <w:rPr>
          <w:rFonts w:hint="eastAsia" w:ascii="仿宋_GB2312" w:hAnsi="Times New Roman" w:eastAsia="仿宋_GB2312" w:cs="DengXian-Regular"/>
          <w:sz w:val="32"/>
          <w:szCs w:val="32"/>
          <w:lang w:val="en-US" w:eastAsia="zh-CN"/>
        </w:rPr>
        <w:t>降低</w:t>
      </w:r>
      <w:r>
        <w:rPr>
          <w:rFonts w:hint="eastAsia" w:ascii="仿宋_GB2312" w:hAnsi="Times New Roman" w:eastAsia="仿宋_GB2312" w:cs="DengXian-Regular"/>
          <w:sz w:val="32"/>
          <w:szCs w:val="32"/>
        </w:rPr>
        <w:t>18.25%。2019年其它社会保险缴费0.94万元，与2018年决算0.43相比增加0.50万元，增</w:t>
      </w:r>
      <w:r>
        <w:rPr>
          <w:rFonts w:hint="eastAsia" w:ascii="仿宋_GB2312" w:hAnsi="Times New Roman" w:eastAsia="仿宋_GB2312" w:cs="DengXian-Regular"/>
          <w:sz w:val="32"/>
          <w:szCs w:val="32"/>
          <w:lang w:val="en-US" w:eastAsia="zh-CN"/>
        </w:rPr>
        <w:t>长</w:t>
      </w:r>
      <w:r>
        <w:rPr>
          <w:rFonts w:hint="eastAsia" w:ascii="仿宋_GB2312" w:hAnsi="Times New Roman" w:eastAsia="仿宋_GB2312" w:cs="DengXian-Regular"/>
          <w:sz w:val="32"/>
          <w:szCs w:val="32"/>
        </w:rPr>
        <w:t>116.17%。2019年住房公积金支出10.55万元，与2018年决算10.60万元相比减少0.06万元，</w:t>
      </w:r>
      <w:r>
        <w:rPr>
          <w:rFonts w:hint="eastAsia" w:ascii="仿宋_GB2312" w:hAnsi="Times New Roman" w:eastAsia="仿宋_GB2312" w:cs="DengXian-Regular"/>
          <w:sz w:val="32"/>
          <w:szCs w:val="32"/>
          <w:lang w:val="en-US" w:eastAsia="zh-CN"/>
        </w:rPr>
        <w:t>降低</w:t>
      </w:r>
      <w:r>
        <w:rPr>
          <w:rFonts w:hint="eastAsia" w:ascii="仿宋_GB2312" w:hAnsi="Times New Roman" w:eastAsia="仿宋_GB2312" w:cs="DengXian-Regular"/>
          <w:sz w:val="32"/>
          <w:szCs w:val="32"/>
        </w:rPr>
        <w:t>0.55%。2019年对个人和家庭的补助4.03万元，与2018年决算5.81万元相比减少1.78万元，</w:t>
      </w:r>
      <w:r>
        <w:rPr>
          <w:rFonts w:hint="eastAsia" w:ascii="仿宋_GB2312" w:hAnsi="Times New Roman" w:eastAsia="仿宋_GB2312" w:cs="DengXian-Regular"/>
          <w:sz w:val="32"/>
          <w:szCs w:val="32"/>
          <w:lang w:val="en-US" w:eastAsia="zh-CN"/>
        </w:rPr>
        <w:t>降低</w:t>
      </w:r>
      <w:r>
        <w:rPr>
          <w:rFonts w:hint="eastAsia" w:ascii="仿宋_GB2312" w:hAnsi="Times New Roman" w:eastAsia="仿宋_GB2312" w:cs="DengXian-Regular"/>
          <w:sz w:val="32"/>
          <w:szCs w:val="32"/>
        </w:rPr>
        <w:t>30.70%。2019年退休费支出4.03万元，与2018年决算5.26万元相比减少1.23万元，</w:t>
      </w:r>
      <w:r>
        <w:rPr>
          <w:rFonts w:hint="eastAsia" w:ascii="仿宋_GB2312" w:hAnsi="Times New Roman" w:eastAsia="仿宋_GB2312" w:cs="DengXian-Regular"/>
          <w:sz w:val="32"/>
          <w:szCs w:val="32"/>
          <w:lang w:val="en-US" w:eastAsia="zh-CN"/>
        </w:rPr>
        <w:t>降低</w:t>
      </w:r>
      <w:r>
        <w:rPr>
          <w:rFonts w:hint="eastAsia" w:ascii="仿宋_GB2312" w:hAnsi="Times New Roman" w:eastAsia="仿宋_GB2312" w:cs="DengXian-Regular"/>
          <w:sz w:val="32"/>
          <w:szCs w:val="32"/>
        </w:rPr>
        <w:t>23.45%。公用经费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41.84万元，主要包括主要包括2019年办公费支出14.50万元，与2018年决算5.48万元相比增加9.05万元，增</w:t>
      </w:r>
      <w:r>
        <w:rPr>
          <w:rFonts w:hint="eastAsia" w:ascii="仿宋_GB2312" w:hAnsi="Times New Roman" w:eastAsia="仿宋_GB2312" w:cs="DengXian-Regular"/>
          <w:sz w:val="32"/>
          <w:szCs w:val="32"/>
          <w:lang w:val="en-US" w:eastAsia="zh-CN"/>
        </w:rPr>
        <w:t>长</w:t>
      </w:r>
      <w:r>
        <w:rPr>
          <w:rFonts w:hint="eastAsia" w:ascii="仿宋_GB2312" w:hAnsi="Times New Roman" w:eastAsia="仿宋_GB2312" w:cs="DengXian-Regular"/>
          <w:sz w:val="32"/>
          <w:szCs w:val="32"/>
        </w:rPr>
        <w:t>164.59%。2019年印刷费支出1.38万元，与2018年决算3.65万元相比减少2.27万元，</w:t>
      </w:r>
      <w:r>
        <w:rPr>
          <w:rFonts w:hint="eastAsia" w:ascii="仿宋_GB2312" w:hAnsi="Times New Roman" w:eastAsia="仿宋_GB2312" w:cs="DengXian-Regular"/>
          <w:sz w:val="32"/>
          <w:szCs w:val="32"/>
          <w:lang w:val="en-US" w:eastAsia="zh-CN"/>
        </w:rPr>
        <w:t>降低</w:t>
      </w:r>
      <w:r>
        <w:rPr>
          <w:rFonts w:hint="eastAsia" w:ascii="仿宋_GB2312" w:hAnsi="Times New Roman" w:eastAsia="仿宋_GB2312" w:cs="DengXian-Regular"/>
          <w:sz w:val="32"/>
          <w:szCs w:val="32"/>
        </w:rPr>
        <w:t>62.14%。2019年邮电费支出6.15万元，与2018年决算6.48万元相比减少0.33万元，</w:t>
      </w:r>
      <w:r>
        <w:rPr>
          <w:rFonts w:hint="eastAsia" w:ascii="仿宋_GB2312" w:hAnsi="Times New Roman" w:eastAsia="仿宋_GB2312" w:cs="DengXian-Regular"/>
          <w:sz w:val="32"/>
          <w:szCs w:val="32"/>
          <w:lang w:val="en-US" w:eastAsia="zh-CN"/>
        </w:rPr>
        <w:t>降低</w:t>
      </w:r>
      <w:r>
        <w:rPr>
          <w:rFonts w:hint="eastAsia" w:ascii="仿宋_GB2312" w:hAnsi="Times New Roman" w:eastAsia="仿宋_GB2312" w:cs="DengXian-Regular"/>
          <w:sz w:val="32"/>
          <w:szCs w:val="32"/>
        </w:rPr>
        <w:t>5.07%。2019年差旅费3.02万元，与2018年决算1.31万元相比增加1.71万元，增</w:t>
      </w:r>
      <w:r>
        <w:rPr>
          <w:rFonts w:hint="eastAsia" w:ascii="仿宋_GB2312" w:hAnsi="Times New Roman" w:eastAsia="仿宋_GB2312" w:cs="DengXian-Regular"/>
          <w:sz w:val="32"/>
          <w:szCs w:val="32"/>
          <w:lang w:val="en-US" w:eastAsia="zh-CN"/>
        </w:rPr>
        <w:t>长</w:t>
      </w:r>
      <w:r>
        <w:rPr>
          <w:rFonts w:hint="eastAsia" w:ascii="仿宋_GB2312" w:hAnsi="Times New Roman" w:eastAsia="仿宋_GB2312" w:cs="DengXian-Regular"/>
          <w:sz w:val="32"/>
          <w:szCs w:val="32"/>
        </w:rPr>
        <w:t>131.08%。2019年维修费支出0.3</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万元，与2018年决算0.3</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万元相比无变化。2019年公务车运行及维护3.74万元，与2018年决算3.97万元减少0.23万元，</w:t>
      </w:r>
      <w:r>
        <w:rPr>
          <w:rFonts w:hint="eastAsia" w:ascii="仿宋_GB2312" w:hAnsi="Times New Roman" w:eastAsia="仿宋_GB2312" w:cs="DengXian-Regular"/>
          <w:sz w:val="32"/>
          <w:szCs w:val="32"/>
          <w:lang w:val="en-US" w:eastAsia="zh-CN"/>
        </w:rPr>
        <w:t>降低</w:t>
      </w:r>
      <w:r>
        <w:rPr>
          <w:rFonts w:hint="eastAsia" w:ascii="仿宋_GB2312" w:hAnsi="Times New Roman" w:eastAsia="仿宋_GB2312" w:cs="DengXian-Regular"/>
          <w:sz w:val="32"/>
          <w:szCs w:val="32"/>
        </w:rPr>
        <w:t>5.7%。2019年其他交通费支出7.32万元万元，与2018年决算6.98万元相比增加0.34万元，增</w:t>
      </w:r>
      <w:r>
        <w:rPr>
          <w:rFonts w:hint="eastAsia" w:ascii="仿宋_GB2312" w:hAnsi="Times New Roman" w:eastAsia="仿宋_GB2312" w:cs="DengXian-Regular"/>
          <w:sz w:val="32"/>
          <w:szCs w:val="32"/>
          <w:lang w:val="en-US" w:eastAsia="zh-CN"/>
        </w:rPr>
        <w:t>长</w:t>
      </w:r>
      <w:r>
        <w:rPr>
          <w:rFonts w:hint="eastAsia" w:ascii="仿宋_GB2312" w:hAnsi="Times New Roman" w:eastAsia="仿宋_GB2312" w:cs="DengXian-Regular"/>
          <w:sz w:val="32"/>
          <w:szCs w:val="32"/>
        </w:rPr>
        <w:t>4.80%。</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五、一般公共预算“三公”</w:t>
      </w:r>
      <w:r>
        <w:rPr>
          <w:rFonts w:ascii="黑体" w:hAnsi="Calibri" w:eastAsia="黑体"/>
          <w:sz w:val="32"/>
          <w:szCs w:val="32"/>
        </w:rPr>
        <w:t xml:space="preserve"> </w:t>
      </w:r>
      <w:r>
        <w:rPr>
          <w:rFonts w:hint="eastAsia" w:ascii="黑体" w:hAnsi="Calibri" w:eastAsia="黑体"/>
          <w:sz w:val="32"/>
          <w:szCs w:val="32"/>
        </w:rPr>
        <w:t>经费支出决算情况说明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w:t>
      </w:r>
      <w:r>
        <w:rPr>
          <w:rFonts w:hint="eastAsia" w:ascii="仿宋_GB2312" w:hAnsi="Times New Roman" w:eastAsia="仿宋_GB2312" w:cs="DengXian-Regular"/>
          <w:sz w:val="32"/>
          <w:szCs w:val="32"/>
          <w:highlight w:val="none"/>
        </w:rPr>
        <w:t>共计</w:t>
      </w:r>
      <w:r>
        <w:rPr>
          <w:rFonts w:hint="eastAsia" w:ascii="仿宋_GB2312" w:hAnsi="Times New Roman" w:eastAsia="仿宋_GB2312" w:cs="DengXian-Regular"/>
          <w:sz w:val="32"/>
          <w:szCs w:val="32"/>
          <w:highlight w:val="none"/>
          <w:lang w:val="en-US" w:eastAsia="zh-CN"/>
        </w:rPr>
        <w:t>3.74</w:t>
      </w:r>
      <w:r>
        <w:rPr>
          <w:rFonts w:hint="eastAsia" w:ascii="仿宋_GB2312" w:hAnsi="Times New Roman" w:eastAsia="仿宋_GB2312" w:cs="DengXian-Regular"/>
          <w:sz w:val="32"/>
          <w:szCs w:val="32"/>
          <w:highlight w:val="none"/>
        </w:rPr>
        <w:t>万元</w:t>
      </w:r>
      <w:r>
        <w:rPr>
          <w:rFonts w:hint="eastAsia" w:ascii="仿宋_GB2312" w:hAnsi="Times New Roman" w:eastAsia="仿宋_GB2312" w:cs="DengXian-Regular"/>
          <w:sz w:val="32"/>
          <w:szCs w:val="32"/>
        </w:rPr>
        <w:t>，完成预算的</w:t>
      </w:r>
      <w:r>
        <w:rPr>
          <w:rFonts w:hint="eastAsia" w:ascii="仿宋_GB2312" w:hAnsi="Times New Roman" w:eastAsia="仿宋_GB2312" w:cs="DengXian-Regular"/>
          <w:sz w:val="32"/>
          <w:szCs w:val="32"/>
          <w:lang w:val="en-US" w:eastAsia="zh-CN"/>
        </w:rPr>
        <w:t>93.50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较预算减少</w:t>
      </w:r>
      <w:r>
        <w:rPr>
          <w:rFonts w:hint="eastAsia" w:ascii="仿宋_GB2312" w:hAnsi="Times New Roman" w:eastAsia="仿宋_GB2312" w:cs="DengXian-Regular"/>
          <w:sz w:val="32"/>
          <w:szCs w:val="32"/>
          <w:lang w:val="en-US" w:eastAsia="zh-CN"/>
        </w:rPr>
        <w:t>0.26</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6.50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DengXian-Regular"/>
          <w:sz w:val="32"/>
          <w:szCs w:val="32"/>
        </w:rPr>
        <w:t>认真贯彻落实中央“八项规定”精神和厉行节约要求，从严控制“三公”经费开支，全年实际支出比预算有所节约</w:t>
      </w:r>
      <w:r>
        <w:rPr>
          <w:rFonts w:hint="eastAsia" w:ascii="仿宋_GB2312" w:hAnsi="Times New Roman" w:eastAsia="仿宋_GB2312" w:cs="DengXian-Regular"/>
          <w:sz w:val="32"/>
          <w:szCs w:val="32"/>
        </w:rPr>
        <w:t>；较</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年度减少</w:t>
      </w:r>
      <w:r>
        <w:rPr>
          <w:rFonts w:hint="eastAsia" w:ascii="仿宋_GB2312" w:hAnsi="Times New Roman" w:eastAsia="仿宋_GB2312" w:cs="DengXian-Regular"/>
          <w:sz w:val="32"/>
          <w:szCs w:val="32"/>
          <w:lang w:val="en-US" w:eastAsia="zh-CN"/>
        </w:rPr>
        <w:t>0.77</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15.40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DengXian-Regular"/>
          <w:sz w:val="32"/>
          <w:szCs w:val="32"/>
        </w:rPr>
        <w:t>认真贯彻落实中央“八项规定”精神和厉行节约要求，从严控制“三公”经费开支，全年实际支出比预算有所节约</w:t>
      </w:r>
      <w:r>
        <w:rPr>
          <w:rFonts w:hint="eastAsia" w:ascii="仿宋_GB2312" w:hAnsi="Times New Roman" w:eastAsia="仿宋_GB2312" w:cs="DengXian-Regular"/>
          <w:sz w:val="32"/>
          <w:szCs w:val="32"/>
        </w:rPr>
        <w:t>。具体情况如下：</w:t>
      </w:r>
    </w:p>
    <w:p>
      <w:pPr>
        <w:adjustRightInd w:val="0"/>
        <w:snapToGrid w:val="0"/>
        <w:spacing w:after="0" w:line="580" w:lineRule="exact"/>
        <w:ind w:firstLine="643" w:firstLineChars="200"/>
        <w:rPr>
          <w:rFonts w:hint="eastAsia" w:ascii="仿宋_GB2312" w:eastAsia="仿宋_GB2312" w:cs="DengXian-Regular"/>
          <w:sz w:val="32"/>
          <w:szCs w:val="32"/>
          <w:lang w:val="en-US" w:eastAsia="zh-CN"/>
        </w:rPr>
      </w:pPr>
      <w:r>
        <w:rPr>
          <w:rFonts w:hint="eastAsia" w:ascii="楷体_GB2312" w:hAnsi="Times New Roman" w:eastAsia="楷体_GB2312" w:cs="DengXian-Bold"/>
          <w:b/>
          <w:bCs/>
          <w:sz w:val="32"/>
          <w:szCs w:val="32"/>
        </w:rPr>
        <w:t>（一）因公出国（境）费支出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人参加其他单位组织的因公出国（境）团组</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个、共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w:t>
      </w:r>
      <w:r>
        <w:rPr>
          <w:rFonts w:hint="eastAsia" w:ascii="仿宋_GB2312" w:hAnsi="Times New Roman" w:eastAsia="仿宋_GB2312" w:cs="DengXian-Regular"/>
          <w:sz w:val="32"/>
          <w:szCs w:val="32"/>
          <w:lang w:eastAsia="zh-CN"/>
        </w:rPr>
        <w:t>，</w:t>
      </w:r>
      <w:r>
        <w:rPr>
          <w:rFonts w:hint="eastAsia" w:ascii="仿宋_GB2312" w:hAnsi="Times New Roman" w:eastAsia="仿宋_GB2312" w:cs="DengXian-Regular"/>
          <w:sz w:val="32"/>
          <w:szCs w:val="32"/>
        </w:rPr>
        <w:t>无本单位组织的出国（境）团组。</w:t>
      </w:r>
      <w:r>
        <w:rPr>
          <w:rFonts w:hint="eastAsia" w:ascii="仿宋_GB2312" w:eastAsia="仿宋_GB2312" w:cs="DengXian-Regular"/>
          <w:sz w:val="32"/>
          <w:szCs w:val="32"/>
        </w:rPr>
        <w:t>因公出国（境）费支出较年初预算增加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本单位无出国（境）费用</w:t>
      </w:r>
      <w:r>
        <w:rPr>
          <w:rFonts w:hint="eastAsia" w:ascii="仿宋_GB2312" w:eastAsia="仿宋_GB2312" w:cs="DengXian-Regular"/>
          <w:sz w:val="32"/>
          <w:szCs w:val="32"/>
        </w:rPr>
        <w:t>。较201</w:t>
      </w:r>
      <w:r>
        <w:rPr>
          <w:rFonts w:hint="eastAsia" w:ascii="仿宋_GB2312" w:eastAsia="仿宋_GB2312" w:cs="DengXian-Regular"/>
          <w:sz w:val="32"/>
          <w:szCs w:val="32"/>
          <w:lang w:val="en-US" w:eastAsia="zh-CN"/>
        </w:rPr>
        <w:t>8</w:t>
      </w:r>
      <w:r>
        <w:rPr>
          <w:rFonts w:hint="eastAsia" w:ascii="仿宋_GB2312" w:eastAsia="仿宋_GB2312" w:cs="DengXian-Regular"/>
          <w:sz w:val="32"/>
          <w:szCs w:val="32"/>
        </w:rPr>
        <w:t>年决算无变化，主要原因是</w:t>
      </w:r>
      <w:r>
        <w:rPr>
          <w:rFonts w:hint="eastAsia" w:ascii="仿宋_GB2312" w:eastAsia="仿宋_GB2312" w:cs="DengXian-Regular"/>
          <w:sz w:val="32"/>
          <w:szCs w:val="32"/>
          <w:lang w:val="en-US" w:eastAsia="zh-CN"/>
        </w:rPr>
        <w:t>本单位无出国（境）费用。</w:t>
      </w:r>
    </w:p>
    <w:p>
      <w:pPr>
        <w:adjustRightInd w:val="0"/>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（二）公务用车购置及运行维护费支</w:t>
      </w:r>
      <w:r>
        <w:rPr>
          <w:rFonts w:hint="eastAsia" w:ascii="楷体_GB2312" w:hAnsi="Times New Roman" w:eastAsia="楷体_GB2312" w:cs="DengXian-Bold"/>
          <w:b/>
          <w:bCs/>
          <w:sz w:val="32"/>
          <w:szCs w:val="32"/>
          <w:highlight w:val="none"/>
        </w:rPr>
        <w:t>出</w:t>
      </w:r>
      <w:r>
        <w:rPr>
          <w:rFonts w:hint="eastAsia" w:ascii="楷体_GB2312" w:hAnsi="Times New Roman" w:eastAsia="楷体_GB2312" w:cs="DengXian-Bold"/>
          <w:b/>
          <w:bCs/>
          <w:sz w:val="32"/>
          <w:szCs w:val="32"/>
          <w:highlight w:val="none"/>
          <w:lang w:val="en-US" w:eastAsia="zh-CN"/>
        </w:rPr>
        <w:t>3.74</w:t>
      </w:r>
      <w:r>
        <w:rPr>
          <w:rFonts w:hint="eastAsia" w:ascii="楷体_GB2312" w:hAnsi="Times New Roman" w:eastAsia="楷体_GB2312" w:cs="DengXian-Bold"/>
          <w:b/>
          <w:bCs/>
          <w:sz w:val="32"/>
          <w:szCs w:val="32"/>
          <w:highlight w:val="none"/>
        </w:rPr>
        <w:t>万元。</w:t>
      </w:r>
      <w:r>
        <w:rPr>
          <w:rFonts w:hint="eastAsia" w:ascii="仿宋_GB2312" w:hAnsi="Times New Roman" w:eastAsia="仿宋_GB2312" w:cs="DengXian-Regular"/>
          <w:sz w:val="32"/>
          <w:szCs w:val="32"/>
          <w:highlight w:val="none"/>
        </w:rPr>
        <w:t>本部门</w:t>
      </w:r>
      <w:r>
        <w:rPr>
          <w:rFonts w:ascii="仿宋_GB2312" w:hAnsi="Times New Roman" w:eastAsia="仿宋_GB2312" w:cs="DengXian-Regular"/>
          <w:sz w:val="32"/>
          <w:szCs w:val="32"/>
          <w:highlight w:val="none"/>
        </w:rPr>
        <w:t>2019</w:t>
      </w:r>
      <w:r>
        <w:rPr>
          <w:rFonts w:hint="eastAsia" w:ascii="仿宋_GB2312" w:hAnsi="Times New Roman" w:eastAsia="仿宋_GB2312" w:cs="DengXian-Regular"/>
          <w:sz w:val="32"/>
          <w:szCs w:val="32"/>
          <w:highlight w:val="none"/>
        </w:rPr>
        <w:t>年度公务用车购置及运行维护费较预算减少</w:t>
      </w:r>
      <w:r>
        <w:rPr>
          <w:rFonts w:hint="eastAsia" w:ascii="仿宋_GB2312" w:hAnsi="Times New Roman" w:eastAsia="仿宋_GB2312" w:cs="DengXian-Regular"/>
          <w:sz w:val="32"/>
          <w:szCs w:val="32"/>
          <w:highlight w:val="none"/>
          <w:lang w:val="en-US" w:eastAsia="zh-CN"/>
        </w:rPr>
        <w:t>0.76</w:t>
      </w:r>
      <w:r>
        <w:rPr>
          <w:rFonts w:hint="eastAsia" w:ascii="仿宋_GB2312" w:hAnsi="Times New Roman" w:eastAsia="仿宋_GB2312" w:cs="DengXian-Regular"/>
          <w:sz w:val="32"/>
          <w:szCs w:val="32"/>
          <w:highlight w:val="none"/>
        </w:rPr>
        <w:t>万元，降低</w:t>
      </w:r>
      <w:r>
        <w:rPr>
          <w:rFonts w:hint="eastAsia" w:ascii="仿宋_GB2312" w:hAnsi="Times New Roman" w:eastAsia="仿宋_GB2312" w:cs="DengXian-Regular"/>
          <w:sz w:val="32"/>
          <w:szCs w:val="32"/>
          <w:highlight w:val="none"/>
          <w:lang w:val="en-US" w:eastAsia="zh-CN"/>
        </w:rPr>
        <w:t>16.89</w:t>
      </w:r>
      <w:r>
        <w:rPr>
          <w:rFonts w:ascii="仿宋_GB2312" w:hAnsi="Times New Roman" w:eastAsia="仿宋_GB2312" w:cs="DengXian-Regular"/>
          <w:sz w:val="32"/>
          <w:szCs w:val="32"/>
          <w:highlight w:val="none"/>
        </w:rPr>
        <w:t>%,</w:t>
      </w:r>
      <w:r>
        <w:rPr>
          <w:rFonts w:hint="eastAsia" w:ascii="仿宋_GB2312" w:hAnsi="Times New Roman" w:eastAsia="仿宋_GB2312" w:cs="DengXian-Regular"/>
          <w:sz w:val="32"/>
          <w:szCs w:val="32"/>
          <w:highlight w:val="none"/>
        </w:rPr>
        <w:t>主要是</w:t>
      </w:r>
      <w:r>
        <w:rPr>
          <w:rFonts w:hint="eastAsia" w:ascii="仿宋_GB2312" w:eastAsia="仿宋_GB2312" w:cs="DengXian-Regular"/>
          <w:sz w:val="32"/>
          <w:szCs w:val="32"/>
          <w:highlight w:val="none"/>
        </w:rPr>
        <w:t>切实压缩公务用车费用支出</w:t>
      </w:r>
      <w:r>
        <w:rPr>
          <w:rFonts w:hint="eastAsia" w:ascii="仿宋_GB2312" w:hAnsi="Times New Roman" w:eastAsia="仿宋_GB2312" w:cs="DengXian-Regular"/>
          <w:sz w:val="32"/>
          <w:szCs w:val="32"/>
          <w:highlight w:val="none"/>
        </w:rPr>
        <w:t>；较上年减少</w:t>
      </w:r>
      <w:r>
        <w:rPr>
          <w:rFonts w:hint="eastAsia" w:ascii="仿宋_GB2312" w:hAnsi="Times New Roman" w:eastAsia="仿宋_GB2312" w:cs="DengXian-Regular"/>
          <w:sz w:val="32"/>
          <w:szCs w:val="32"/>
          <w:highlight w:val="none"/>
          <w:lang w:val="en-US" w:eastAsia="zh-CN"/>
        </w:rPr>
        <w:t>0.23</w:t>
      </w:r>
      <w:r>
        <w:rPr>
          <w:rFonts w:hint="eastAsia" w:ascii="仿宋_GB2312" w:hAnsi="Times New Roman" w:eastAsia="仿宋_GB2312" w:cs="DengXian-Regular"/>
          <w:sz w:val="32"/>
          <w:szCs w:val="32"/>
          <w:highlight w:val="none"/>
        </w:rPr>
        <w:t>万元，降低</w:t>
      </w:r>
      <w:r>
        <w:rPr>
          <w:rFonts w:hint="eastAsia" w:ascii="仿宋_GB2312" w:hAnsi="Times New Roman" w:eastAsia="仿宋_GB2312" w:cs="DengXian-Regular"/>
          <w:sz w:val="32"/>
          <w:szCs w:val="32"/>
          <w:highlight w:val="none"/>
          <w:lang w:val="en-US" w:eastAsia="zh-CN"/>
        </w:rPr>
        <w:t>5.79</w:t>
      </w:r>
      <w:r>
        <w:rPr>
          <w:rFonts w:ascii="仿宋_GB2312" w:hAnsi="Times New Roman" w:eastAsia="仿宋_GB2312" w:cs="DengXian-Regular"/>
          <w:sz w:val="32"/>
          <w:szCs w:val="32"/>
          <w:highlight w:val="none"/>
        </w:rPr>
        <w:t>%,</w:t>
      </w:r>
      <w:r>
        <w:rPr>
          <w:rFonts w:hint="eastAsia" w:ascii="仿宋_GB2312" w:hAnsi="Times New Roman" w:eastAsia="仿宋_GB2312" w:cs="DengXian-Regular"/>
          <w:sz w:val="32"/>
          <w:szCs w:val="32"/>
          <w:highlight w:val="none"/>
        </w:rPr>
        <w:t>主要是</w:t>
      </w:r>
      <w:r>
        <w:rPr>
          <w:rFonts w:hint="eastAsia" w:ascii="仿宋_GB2312" w:eastAsia="仿宋_GB2312" w:cs="DengXian-Regular"/>
          <w:sz w:val="32"/>
          <w:szCs w:val="32"/>
          <w:highlight w:val="none"/>
        </w:rPr>
        <w:t>切实压缩公务用车费用支出</w:t>
      </w:r>
      <w:r>
        <w:rPr>
          <w:rFonts w:hint="eastAsia" w:ascii="仿宋_GB2312" w:hAnsi="Times New Roman" w:eastAsia="仿宋_GB2312" w:cs="DengXian-Regular"/>
          <w:sz w:val="32"/>
          <w:szCs w:val="32"/>
          <w:highlight w:val="none"/>
        </w:rPr>
        <w:t>。</w:t>
      </w:r>
      <w:r>
        <w:rPr>
          <w:rFonts w:hint="eastAsia" w:ascii="仿宋_GB2312" w:hAnsi="Times New Roman" w:eastAsia="仿宋_GB2312" w:cs="DengXian-Bold"/>
          <w:b/>
          <w:bCs/>
          <w:sz w:val="32"/>
          <w:szCs w:val="32"/>
          <w:highlight w:val="none"/>
        </w:rPr>
        <w:t>其</w:t>
      </w:r>
      <w:r>
        <w:rPr>
          <w:rFonts w:hint="eastAsia" w:ascii="仿宋_GB2312" w:hAnsi="Times New Roman" w:eastAsia="仿宋_GB2312" w:cs="DengXian-Bold"/>
          <w:b/>
          <w:bCs/>
          <w:sz w:val="32"/>
          <w:szCs w:val="32"/>
        </w:rPr>
        <w:t>中：</w:t>
      </w:r>
    </w:p>
    <w:p>
      <w:pPr>
        <w:adjustRightInd w:val="0"/>
        <w:snapToGrid w:val="0"/>
        <w:spacing w:line="580" w:lineRule="exact"/>
        <w:ind w:firstLine="643" w:firstLineChars="200"/>
        <w:rPr>
          <w:rFonts w:hint="eastAsia" w:ascii="仿宋_GB2312" w:eastAsia="仿宋_GB2312" w:cs="DengXian-Regular"/>
          <w:sz w:val="32"/>
          <w:szCs w:val="32"/>
        </w:rPr>
      </w:pPr>
      <w:r>
        <w:rPr>
          <w:rFonts w:hint="eastAsia" w:ascii="仿宋_GB2312" w:hAnsi="Times New Roman" w:eastAsia="仿宋_GB2312" w:cs="DengXian-Regular"/>
          <w:b/>
          <w:sz w:val="32"/>
          <w:szCs w:val="32"/>
        </w:rPr>
        <w:t>公务用车购置</w:t>
      </w:r>
      <w:r>
        <w:rPr>
          <w:rFonts w:hint="eastAsia" w:ascii="仿宋_GB2312" w:hAnsi="Times New Roman" w:eastAsia="仿宋_GB2312" w:cs="DengXian-Regular"/>
          <w:b/>
          <w:bCs w:val="0"/>
          <w:sz w:val="32"/>
          <w:szCs w:val="32"/>
        </w:rPr>
        <w:t>费</w:t>
      </w:r>
      <w:r>
        <w:rPr>
          <w:rFonts w:hint="eastAsia" w:ascii="仿宋_GB2312" w:hAnsi="Times New Roman" w:eastAsia="仿宋_GB2312" w:cs="DengXian-Regular"/>
          <w:b/>
          <w:bCs w:val="0"/>
          <w:sz w:val="32"/>
          <w:szCs w:val="32"/>
          <w:lang w:val="en-US" w:eastAsia="zh-CN"/>
        </w:rPr>
        <w:t>0</w:t>
      </w:r>
      <w:r>
        <w:rPr>
          <w:rFonts w:hint="eastAsia" w:ascii="仿宋_GB2312" w:hAnsi="Times New Roman" w:eastAsia="仿宋_GB2312" w:cs="DengXian-Regular"/>
          <w:b/>
          <w:bCs w:val="0"/>
          <w:sz w:val="32"/>
          <w:szCs w:val="32"/>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年度公务用车购置量</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辆，发生“公务用车购置”经费支出</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w:t>
      </w:r>
      <w:r>
        <w:rPr>
          <w:rFonts w:hint="eastAsia" w:ascii="仿宋_GB2312" w:eastAsia="仿宋_GB2312" w:cs="DengXian-Regular"/>
          <w:sz w:val="32"/>
          <w:szCs w:val="32"/>
        </w:rPr>
        <w:t>公务用车购置费支出较年初预算增加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本单位本年度未发生‘公务用车购置’经费支出，较2017年决算增加0万元，</w:t>
      </w:r>
      <w:r>
        <w:rPr>
          <w:rFonts w:hint="eastAsia" w:ascii="仿宋_GB2312" w:eastAsia="仿宋_GB2312" w:cs="DengXian-Regular"/>
          <w:sz w:val="32"/>
          <w:szCs w:val="32"/>
        </w:rPr>
        <w:t>增长</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本单位本年度未发生‘公务用车购置’经费支出</w:t>
      </w:r>
      <w:r>
        <w:rPr>
          <w:rFonts w:hint="eastAsia" w:ascii="仿宋_GB2312" w:eastAsia="仿宋_GB2312" w:cs="DengXian-Regular"/>
          <w:sz w:val="32"/>
          <w:szCs w:val="32"/>
        </w:rPr>
        <w:t>。</w:t>
      </w:r>
    </w:p>
    <w:p>
      <w:pPr>
        <w:adjustRightInd w:val="0"/>
        <w:snapToGrid w:val="0"/>
        <w:spacing w:line="580" w:lineRule="exact"/>
        <w:ind w:firstLine="643" w:firstLineChars="200"/>
        <w:rPr>
          <w:rFonts w:ascii="仿宋_GB2312" w:hAnsi="Times New Roman" w:eastAsia="仿宋_GB2312" w:cs="DengXian-Regular"/>
          <w:sz w:val="32"/>
          <w:szCs w:val="32"/>
        </w:rPr>
      </w:pPr>
      <w:r>
        <w:rPr>
          <w:rFonts w:hint="eastAsia" w:ascii="仿宋_GB2312" w:hAnsi="Times New Roman" w:eastAsia="仿宋_GB2312" w:cs="DengXian-Regular"/>
          <w:b/>
          <w:sz w:val="32"/>
          <w:szCs w:val="32"/>
        </w:rPr>
        <w:t>公务用车运行维护费</w:t>
      </w:r>
      <w:r>
        <w:rPr>
          <w:rFonts w:hint="eastAsia" w:ascii="楷体_GB2312" w:hAnsi="Times New Roman" w:eastAsia="楷体_GB2312" w:cs="DengXian-Bold"/>
          <w:b/>
          <w:bCs/>
          <w:sz w:val="32"/>
          <w:szCs w:val="32"/>
          <w:highlight w:val="none"/>
          <w:lang w:val="en-US" w:eastAsia="zh-CN"/>
        </w:rPr>
        <w:t>3.74</w:t>
      </w:r>
      <w:r>
        <w:rPr>
          <w:rFonts w:hint="eastAsia" w:ascii="楷体_GB2312" w:hAnsi="Times New Roman" w:eastAsia="楷体_GB2312" w:cs="DengXian-Bold"/>
          <w:b/>
          <w:bCs/>
          <w:sz w:val="32"/>
          <w:szCs w:val="32"/>
          <w:highlight w:val="none"/>
        </w:rPr>
        <w:t>万元</w:t>
      </w:r>
      <w:r>
        <w:rPr>
          <w:rFonts w:hint="eastAsia" w:ascii="仿宋_GB2312" w:hAnsi="Times New Roman" w:eastAsia="仿宋_GB2312" w:cs="DengXian-Regular"/>
          <w:b/>
          <w:sz w:val="32"/>
          <w:szCs w:val="32"/>
        </w:rPr>
        <w:t>：</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年度单位公务用车保有量</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辆。公车运行维护费支出较预算减少</w:t>
      </w:r>
      <w:r>
        <w:rPr>
          <w:rFonts w:hint="eastAsia" w:ascii="仿宋_GB2312" w:hAnsi="Times New Roman" w:eastAsia="仿宋_GB2312" w:cs="DengXian-Regular"/>
          <w:sz w:val="32"/>
          <w:szCs w:val="32"/>
          <w:lang w:val="en-US" w:eastAsia="zh-CN"/>
        </w:rPr>
        <w:t>0.76</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16.89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DengXian-Regular"/>
          <w:sz w:val="32"/>
          <w:szCs w:val="32"/>
        </w:rPr>
        <w:t>切实压缩公务用车费用支出</w:t>
      </w:r>
      <w:r>
        <w:rPr>
          <w:rFonts w:hint="eastAsia" w:ascii="仿宋_GB2312" w:hAnsi="Times New Roman" w:eastAsia="仿宋_GB2312" w:cs="DengXian-Regular"/>
          <w:sz w:val="32"/>
          <w:szCs w:val="32"/>
        </w:rPr>
        <w:t>；较</w:t>
      </w:r>
      <w:r>
        <w:rPr>
          <w:rFonts w:hint="eastAsia" w:ascii="仿宋_GB2312" w:hAnsi="Times New Roman" w:eastAsia="仿宋_GB2312" w:cs="DengXian-Regular"/>
          <w:sz w:val="32"/>
          <w:szCs w:val="32"/>
          <w:lang w:val="en-US" w:eastAsia="zh-CN"/>
        </w:rPr>
        <w:t>2018</w:t>
      </w:r>
      <w:r>
        <w:rPr>
          <w:rFonts w:hint="eastAsia" w:ascii="仿宋_GB2312" w:hAnsi="Times New Roman" w:eastAsia="仿宋_GB2312" w:cs="DengXian-Regular"/>
          <w:sz w:val="32"/>
          <w:szCs w:val="32"/>
        </w:rPr>
        <w:t>年减少</w:t>
      </w:r>
      <w:r>
        <w:rPr>
          <w:rFonts w:hint="eastAsia" w:ascii="仿宋_GB2312" w:hAnsi="Times New Roman" w:eastAsia="仿宋_GB2312" w:cs="DengXian-Regular"/>
          <w:sz w:val="32"/>
          <w:szCs w:val="32"/>
          <w:lang w:val="en-US" w:eastAsia="zh-CN"/>
        </w:rPr>
        <w:t>0.76</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16.89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eastAsia="仿宋_GB2312" w:cs="DengXian-Regular"/>
          <w:sz w:val="32"/>
          <w:szCs w:val="32"/>
        </w:rPr>
        <w:t>切实压缩公务用车费用支出</w:t>
      </w:r>
      <w:r>
        <w:rPr>
          <w:rFonts w:hint="eastAsia" w:ascii="仿宋_GB2312" w:hAnsi="Times New Roman" w:eastAsia="仿宋_GB2312" w:cs="DengXian-Regular"/>
          <w:sz w:val="32"/>
          <w:szCs w:val="32"/>
        </w:rPr>
        <w:t>。</w:t>
      </w:r>
    </w:p>
    <w:p>
      <w:pPr>
        <w:numPr>
          <w:ilvl w:val="0"/>
          <w:numId w:val="0"/>
        </w:numPr>
        <w:adjustRightInd w:val="0"/>
        <w:snapToGrid w:val="0"/>
        <w:spacing w:line="580" w:lineRule="exact"/>
        <w:ind w:firstLine="643" w:firstLineChars="200"/>
        <w:rPr>
          <w:rFonts w:hint="eastAsia" w:ascii="仿宋_GB2312" w:hAnsi="Times New Roman" w:eastAsia="仿宋_GB2312" w:cs="DengXian-Regular"/>
          <w:sz w:val="32"/>
          <w:szCs w:val="32"/>
        </w:rPr>
      </w:pPr>
      <w:r>
        <w:rPr>
          <w:rFonts w:hint="eastAsia" w:ascii="楷体_GB2312" w:hAnsi="Times New Roman" w:eastAsia="楷体_GB2312" w:cs="DengXian-Bold"/>
          <w:b/>
          <w:bCs/>
          <w:sz w:val="32"/>
          <w:szCs w:val="32"/>
        </w:rPr>
        <w:t>（</w:t>
      </w:r>
      <w:r>
        <w:rPr>
          <w:rFonts w:hint="eastAsia" w:ascii="楷体_GB2312" w:hAnsi="Times New Roman" w:eastAsia="楷体_GB2312" w:cs="DengXian-Bold"/>
          <w:b/>
          <w:bCs/>
          <w:sz w:val="32"/>
          <w:szCs w:val="32"/>
          <w:lang w:eastAsia="zh-CN"/>
        </w:rPr>
        <w:t>三</w:t>
      </w:r>
      <w:r>
        <w:rPr>
          <w:rFonts w:hint="eastAsia" w:ascii="楷体_GB2312" w:hAnsi="Times New Roman" w:eastAsia="楷体_GB2312" w:cs="DengXian-Bold"/>
          <w:b/>
          <w:bCs/>
          <w:sz w:val="32"/>
          <w:szCs w:val="32"/>
        </w:rPr>
        <w:t>）公务接待费支出</w:t>
      </w:r>
      <w:r>
        <w:rPr>
          <w:rFonts w:hint="eastAsia" w:ascii="楷体_GB2312" w:hAnsi="Times New Roman" w:eastAsia="楷体_GB2312" w:cs="DengXian-Bold"/>
          <w:b/>
          <w:bCs/>
          <w:sz w:val="32"/>
          <w:szCs w:val="32"/>
          <w:lang w:val="en-US" w:eastAsia="zh-CN"/>
        </w:rPr>
        <w:t>0</w:t>
      </w:r>
      <w:r>
        <w:rPr>
          <w:rFonts w:hint="eastAsia" w:ascii="楷体_GB2312" w:hAnsi="Times New Roman" w:eastAsia="楷体_GB2312" w:cs="DengXian-Bold"/>
          <w:b/>
          <w:bCs/>
          <w:sz w:val="32"/>
          <w:szCs w:val="32"/>
        </w:rPr>
        <w:t>万元。</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年度公务接待共</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批次、</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人次。</w:t>
      </w:r>
      <w:r>
        <w:rPr>
          <w:rFonts w:hint="eastAsia" w:ascii="仿宋_GB2312" w:eastAsia="仿宋_GB2312" w:cs="DengXian-Regular"/>
          <w:sz w:val="32"/>
          <w:szCs w:val="32"/>
        </w:rPr>
        <w:t>公务接待费支出较年初预算增加</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0</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与年初预算持平</w:t>
      </w:r>
      <w:r>
        <w:rPr>
          <w:rFonts w:hint="eastAsia" w:ascii="仿宋_GB2312" w:hAnsi="Times New Roman" w:eastAsia="仿宋_GB2312" w:cs="DengXian-Regular"/>
          <w:sz w:val="32"/>
          <w:szCs w:val="32"/>
        </w:rPr>
        <w:t>；较</w:t>
      </w:r>
      <w:r>
        <w:rPr>
          <w:rFonts w:hint="eastAsia" w:ascii="仿宋_GB2312" w:hAnsi="Times New Roman" w:eastAsia="仿宋_GB2312" w:cs="DengXian-Regular"/>
          <w:sz w:val="32"/>
          <w:szCs w:val="32"/>
          <w:lang w:val="en-US" w:eastAsia="zh-CN"/>
        </w:rPr>
        <w:t>2018</w:t>
      </w:r>
      <w:r>
        <w:rPr>
          <w:rFonts w:hint="eastAsia" w:ascii="仿宋_GB2312" w:hAnsi="Times New Roman" w:eastAsia="仿宋_GB2312" w:cs="DengXian-Regular"/>
          <w:sz w:val="32"/>
          <w:szCs w:val="32"/>
        </w:rPr>
        <w:t>年度减少</w:t>
      </w:r>
      <w:r>
        <w:rPr>
          <w:rFonts w:hint="eastAsia" w:ascii="仿宋_GB2312" w:hAnsi="Times New Roman" w:eastAsia="仿宋_GB2312" w:cs="DengXian-Regular"/>
          <w:sz w:val="32"/>
          <w:szCs w:val="32"/>
          <w:lang w:val="en-US" w:eastAsia="zh-CN"/>
        </w:rPr>
        <w:t>0.25</w:t>
      </w:r>
      <w:r>
        <w:rPr>
          <w:rFonts w:hint="eastAsia" w:ascii="仿宋_GB2312" w:hAnsi="Times New Roman" w:eastAsia="仿宋_GB2312" w:cs="DengXian-Regular"/>
          <w:sz w:val="32"/>
          <w:szCs w:val="32"/>
        </w:rPr>
        <w:t>万元，降低</w:t>
      </w:r>
      <w:r>
        <w:rPr>
          <w:rFonts w:hint="eastAsia" w:ascii="仿宋_GB2312" w:hAnsi="Times New Roman" w:eastAsia="仿宋_GB2312" w:cs="DengXian-Regular"/>
          <w:sz w:val="32"/>
          <w:szCs w:val="32"/>
          <w:lang w:val="en-US" w:eastAsia="zh-CN"/>
        </w:rPr>
        <w:t>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w:t>
      </w:r>
      <w:r>
        <w:rPr>
          <w:rFonts w:hint="eastAsia" w:ascii="仿宋_GB2312" w:hAnsi="Times New Roman" w:eastAsia="仿宋_GB2312" w:cs="DengXian-Regular"/>
          <w:sz w:val="32"/>
          <w:szCs w:val="32"/>
          <w:lang w:val="en-US" w:eastAsia="zh-CN"/>
        </w:rPr>
        <w:t>本部门本单位无公务接待支出</w:t>
      </w:r>
      <w:r>
        <w:rPr>
          <w:rFonts w:hint="eastAsia" w:ascii="仿宋_GB2312" w:hAnsi="Times New Roman" w:eastAsia="仿宋_GB2312" w:cs="DengXian-Regular"/>
          <w:sz w:val="32"/>
          <w:szCs w:val="32"/>
        </w:rPr>
        <w:t>。</w:t>
      </w:r>
    </w:p>
    <w:p>
      <w:pPr>
        <w:adjustRightInd w:val="0"/>
        <w:snapToGrid w:val="0"/>
        <w:spacing w:line="580" w:lineRule="exact"/>
        <w:ind w:firstLine="640" w:firstLineChars="200"/>
        <w:rPr>
          <w:rFonts w:ascii="黑体" w:hAnsi="Times New Roman" w:eastAsia="黑体"/>
          <w:sz w:val="32"/>
          <w:szCs w:val="40"/>
        </w:rPr>
      </w:pPr>
      <w:r>
        <w:rPr>
          <w:rFonts w:hint="eastAsia" w:ascii="黑体" w:hAnsi="Times New Roman" w:eastAsia="黑体"/>
          <w:sz w:val="32"/>
          <w:szCs w:val="40"/>
        </w:rPr>
        <w:t>六、预算绩效情况说明</w:t>
      </w:r>
    </w:p>
    <w:p>
      <w:pPr>
        <w:adjustRightInd w:val="0"/>
        <w:snapToGrid w:val="0"/>
        <w:spacing w:line="580" w:lineRule="exact"/>
        <w:ind w:firstLine="643" w:firstLineChars="2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1. </w:t>
      </w:r>
      <w:r>
        <w:rPr>
          <w:rFonts w:hint="eastAsia" w:ascii="仿宋_GB2312" w:hAnsi="仿宋_GB2312" w:eastAsia="仿宋_GB2312" w:cs="仿宋_GB2312"/>
          <w:b/>
          <w:bCs/>
          <w:sz w:val="32"/>
          <w:szCs w:val="32"/>
        </w:rPr>
        <w:t>预算绩效管理工作开展情况。</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年度一般公共预算项目支出全面开展绩效自评，其中，一级项目</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个，共涉及资金</w:t>
      </w:r>
      <w:r>
        <w:rPr>
          <w:rFonts w:hint="eastAsia" w:ascii="仿宋_GB2312" w:hAnsi="仿宋_GB2312" w:eastAsia="仿宋_GB2312" w:cs="仿宋_GB2312"/>
          <w:sz w:val="32"/>
          <w:szCs w:val="32"/>
          <w:lang w:val="en-US" w:eastAsia="zh-CN"/>
        </w:rPr>
        <w:t>1902.61</w:t>
      </w:r>
      <w:r>
        <w:rPr>
          <w:rFonts w:hint="eastAsia" w:ascii="仿宋_GB2312" w:hAnsi="仿宋_GB2312" w:eastAsia="仿宋_GB2312" w:cs="仿宋_GB2312"/>
          <w:sz w:val="32"/>
          <w:szCs w:val="32"/>
        </w:rPr>
        <w:t>万元，占一般公共预算项目支出总额的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。组织对</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个政府性基金预算项目支出开展绩效自评，共涉及资金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万元，占政府性基金预算项目支出总额的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。组织对“</w:t>
      </w:r>
      <w:r>
        <w:rPr>
          <w:rFonts w:hint="eastAsia" w:ascii="仿宋_GB2312" w:hAnsi="仿宋_GB2312" w:eastAsia="仿宋_GB2312" w:cs="仿宋_GB2312"/>
          <w:sz w:val="32"/>
          <w:szCs w:val="32"/>
          <w:lang w:val="en-US" w:eastAsia="zh-CN"/>
        </w:rPr>
        <w:t>老党员补贴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党员电教片制作</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个项目开展了部门评价，涉及一般公共预算支出</w:t>
      </w:r>
      <w:r>
        <w:rPr>
          <w:rFonts w:hint="eastAsia" w:ascii="仿宋_GB2312" w:hAnsi="仿宋_GB2312" w:eastAsia="仿宋_GB2312" w:cs="仿宋_GB2312"/>
          <w:sz w:val="32"/>
          <w:szCs w:val="32"/>
          <w:lang w:val="en-US" w:eastAsia="zh-CN"/>
        </w:rPr>
        <w:t>1092.61</w:t>
      </w:r>
      <w:r>
        <w:rPr>
          <w:rFonts w:hint="eastAsia" w:ascii="仿宋_GB2312" w:hAnsi="仿宋_GB2312" w:eastAsia="仿宋_GB2312" w:cs="仿宋_GB2312"/>
          <w:sz w:val="32"/>
          <w:szCs w:val="32"/>
        </w:rPr>
        <w:t>万元，政府性基金预算支出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p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2. </w:t>
      </w:r>
      <w:r>
        <w:rPr>
          <w:rFonts w:hint="eastAsia" w:ascii="仿宋_GB2312" w:hAnsi="仿宋_GB2312" w:eastAsia="仿宋_GB2312" w:cs="仿宋_GB2312"/>
          <w:b/>
          <w:bCs/>
          <w:sz w:val="32"/>
          <w:szCs w:val="32"/>
        </w:rPr>
        <w:t>部门决算中项目绩效自评结果。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hint="eastAsia" w:ascii="仿宋_GB2312" w:hAnsi="仿宋_GB2312" w:eastAsia="仿宋_GB2312" w:cs="仿宋_GB2312"/>
          <w:sz w:val="32"/>
          <w:szCs w:val="32"/>
          <w:lang w:val="en-US" w:eastAsia="zh-CN"/>
        </w:rPr>
        <w:t>老党员补贴</w:t>
      </w:r>
      <w:r>
        <w:rPr>
          <w:rFonts w:hint="eastAsia" w:ascii="仿宋_GB2312" w:hAnsi="仿宋_GB2312" w:eastAsia="仿宋_GB2312" w:cs="仿宋_GB2312"/>
          <w:sz w:val="32"/>
          <w:szCs w:val="32"/>
        </w:rPr>
        <w:t>项目及</w:t>
      </w:r>
      <w:r>
        <w:rPr>
          <w:rFonts w:hint="eastAsia" w:ascii="仿宋_GB2312" w:hAnsi="仿宋_GB2312" w:eastAsia="仿宋_GB2312" w:cs="仿宋_GB2312"/>
          <w:sz w:val="32"/>
          <w:szCs w:val="32"/>
          <w:lang w:val="en-US" w:eastAsia="zh-CN"/>
        </w:rPr>
        <w:t>党员电教片制作</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个项目绩效自评结果。</w:t>
      </w:r>
    </w:p>
    <w:p>
      <w:pPr>
        <w:numPr>
          <w:ilvl w:val="0"/>
          <w:numId w:val="4"/>
        </w:num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老党员补贴</w:t>
      </w:r>
      <w:r>
        <w:rPr>
          <w:rFonts w:hint="eastAsia" w:ascii="仿宋_GB2312" w:hAnsi="仿宋_GB2312" w:eastAsia="仿宋_GB2312" w:cs="仿宋_GB2312"/>
          <w:sz w:val="32"/>
          <w:szCs w:val="32"/>
        </w:rPr>
        <w:t>项目自评综述：根据年初设定的绩效目标，</w:t>
      </w:r>
      <w:r>
        <w:rPr>
          <w:rFonts w:hint="eastAsia" w:ascii="仿宋_GB2312" w:hAnsi="仿宋_GB2312" w:eastAsia="仿宋_GB2312" w:cs="仿宋_GB2312"/>
          <w:sz w:val="32"/>
          <w:szCs w:val="32"/>
          <w:lang w:val="en-US" w:eastAsia="zh-CN"/>
        </w:rPr>
        <w:t>老党员补贴</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分。全年预算数为</w:t>
      </w:r>
      <w:r>
        <w:rPr>
          <w:rFonts w:hint="eastAsia" w:ascii="仿宋_GB2312" w:hAnsi="仿宋_GB2312" w:eastAsia="仿宋_GB2312" w:cs="仿宋_GB2312"/>
          <w:sz w:val="32"/>
          <w:szCs w:val="32"/>
          <w:lang w:val="en-US" w:eastAsia="zh-CN"/>
        </w:rPr>
        <w:t>177.87</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125.69</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70.66%</w:t>
      </w:r>
      <w:r>
        <w:rPr>
          <w:rFonts w:hint="eastAsia" w:ascii="仿宋_GB2312" w:hAnsi="仿宋_GB2312" w:eastAsia="仿宋_GB2312" w:cs="仿宋_GB2312"/>
          <w:sz w:val="32"/>
          <w:szCs w:val="32"/>
        </w:rPr>
        <w:t>。项目绩效目标完成情况：一是</w:t>
      </w:r>
      <w:r>
        <w:rPr>
          <w:rFonts w:hint="eastAsia" w:ascii="仿宋_GB2312" w:hAnsi="仿宋_GB2312" w:eastAsia="仿宋_GB2312" w:cs="仿宋_GB2312"/>
          <w:sz w:val="32"/>
          <w:szCs w:val="32"/>
          <w:lang w:val="en-US" w:eastAsia="zh-CN"/>
        </w:rPr>
        <w:t>老党员补贴足额发放</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val="en-US" w:eastAsia="zh-CN"/>
        </w:rPr>
        <w:t>老党员补贴按时发放</w:t>
      </w:r>
      <w:r>
        <w:rPr>
          <w:rFonts w:hint="eastAsia" w:ascii="仿宋_GB2312" w:hAnsi="仿宋_GB2312" w:eastAsia="仿宋_GB2312" w:cs="仿宋_GB2312"/>
          <w:sz w:val="32"/>
          <w:szCs w:val="32"/>
        </w:rPr>
        <w:t>。发现的主要问题及原因：</w:t>
      </w:r>
      <w:r>
        <w:rPr>
          <w:rFonts w:hint="eastAsia" w:ascii="仿宋_GB2312" w:hAnsi="仿宋_GB2312" w:eastAsia="仿宋_GB2312" w:cs="仿宋_GB2312"/>
          <w:sz w:val="32"/>
          <w:szCs w:val="32"/>
          <w:lang w:val="en-US" w:eastAsia="zh-CN"/>
        </w:rPr>
        <w:t>老党员年龄比较大，每年有去世人员，金额不好把控</w:t>
      </w:r>
      <w:r>
        <w:rPr>
          <w:rFonts w:hint="eastAsia" w:ascii="仿宋_GB2312" w:hAnsi="仿宋_GB2312" w:eastAsia="仿宋_GB2312" w:cs="仿宋_GB2312"/>
          <w:sz w:val="32"/>
          <w:szCs w:val="32"/>
        </w:rPr>
        <w:t>。下一步改进措施：</w:t>
      </w:r>
      <w:r>
        <w:rPr>
          <w:rFonts w:hint="eastAsia" w:ascii="仿宋_GB2312" w:hAnsi="仿宋_GB2312" w:eastAsia="仿宋_GB2312" w:cs="仿宋_GB2312"/>
          <w:sz w:val="32"/>
          <w:szCs w:val="32"/>
          <w:lang w:val="en-US" w:eastAsia="zh-CN"/>
        </w:rPr>
        <w:t>多了解老党员的生活动态</w:t>
      </w:r>
      <w:r>
        <w:rPr>
          <w:rFonts w:hint="eastAsia" w:ascii="仿宋_GB2312" w:hAnsi="仿宋_GB2312" w:eastAsia="仿宋_GB2312" w:cs="仿宋_GB2312"/>
          <w:sz w:val="32"/>
          <w:szCs w:val="32"/>
        </w:rPr>
        <w:t>。</w:t>
      </w:r>
    </w:p>
    <w:p>
      <w:pPr>
        <w:numPr>
          <w:ilvl w:val="0"/>
          <w:numId w:val="4"/>
        </w:num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党员电教片制作</w:t>
      </w:r>
      <w:r>
        <w:rPr>
          <w:rFonts w:hint="eastAsia" w:ascii="仿宋_GB2312" w:hAnsi="仿宋_GB2312" w:eastAsia="仿宋_GB2312" w:cs="仿宋_GB2312"/>
          <w:sz w:val="32"/>
          <w:szCs w:val="32"/>
        </w:rPr>
        <w:t>项目绩效自评综述：根据年初设定的绩效目标，</w:t>
      </w:r>
      <w:r>
        <w:rPr>
          <w:rFonts w:hint="eastAsia" w:ascii="仿宋_GB2312" w:hAnsi="仿宋_GB2312" w:eastAsia="仿宋_GB2312" w:cs="仿宋_GB2312"/>
          <w:sz w:val="32"/>
          <w:szCs w:val="32"/>
          <w:lang w:val="en-US" w:eastAsia="zh-CN"/>
        </w:rPr>
        <w:t>党员电教片制作</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分（绩效自评表附后）。全年预算数为</w:t>
      </w:r>
      <w:r>
        <w:rPr>
          <w:rFonts w:hint="eastAsia" w:ascii="仿宋_GB2312" w:hAnsi="仿宋_GB2312" w:eastAsia="仿宋_GB2312" w:cs="仿宋_GB2312"/>
          <w:sz w:val="32"/>
          <w:szCs w:val="32"/>
          <w:lang w:val="en-US" w:eastAsia="zh-CN"/>
        </w:rPr>
        <w:t>9.12</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9.12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。项目绩效目标完成情况：一是</w:t>
      </w:r>
      <w:r>
        <w:rPr>
          <w:rFonts w:hint="eastAsia" w:ascii="仿宋_GB2312" w:hAnsi="仿宋_GB2312" w:eastAsia="仿宋_GB2312" w:cs="仿宋_GB2312"/>
          <w:sz w:val="32"/>
          <w:szCs w:val="32"/>
          <w:lang w:val="en-US" w:eastAsia="zh-CN"/>
        </w:rPr>
        <w:t>电教片全部完成</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val="en-US" w:eastAsia="zh-CN"/>
        </w:rPr>
        <w:t>通过拍摄纪录片和党建专题片，发挥激励导向作用</w:t>
      </w:r>
      <w:r>
        <w:rPr>
          <w:rFonts w:hint="eastAsia" w:ascii="仿宋_GB2312" w:hAnsi="仿宋_GB2312" w:eastAsia="仿宋_GB2312" w:cs="仿宋_GB2312"/>
          <w:sz w:val="32"/>
          <w:szCs w:val="32"/>
        </w:rPr>
        <w:t>。发现的主要问题及原因：</w:t>
      </w:r>
      <w:r>
        <w:rPr>
          <w:rFonts w:hint="eastAsia" w:ascii="仿宋_GB2312" w:hAnsi="仿宋_GB2312" w:eastAsia="仿宋_GB2312" w:cs="仿宋_GB2312"/>
          <w:sz w:val="32"/>
          <w:szCs w:val="32"/>
          <w:lang w:val="en-US" w:eastAsia="zh-CN"/>
        </w:rPr>
        <w:t>电教片拍摄面不广</w:t>
      </w:r>
      <w:r>
        <w:rPr>
          <w:rFonts w:hint="eastAsia" w:ascii="仿宋_GB2312" w:hAnsi="仿宋_GB2312" w:eastAsia="仿宋_GB2312" w:cs="仿宋_GB2312"/>
          <w:sz w:val="32"/>
          <w:szCs w:val="32"/>
        </w:rPr>
        <w:t>。下一步改进措施：</w:t>
      </w:r>
      <w:r>
        <w:rPr>
          <w:rFonts w:hint="eastAsia" w:ascii="仿宋_GB2312" w:hAnsi="仿宋_GB2312" w:eastAsia="仿宋_GB2312" w:cs="仿宋_GB2312"/>
          <w:sz w:val="32"/>
          <w:szCs w:val="32"/>
          <w:lang w:val="en-US" w:eastAsia="zh-CN"/>
        </w:rPr>
        <w:t>根据阜平县党建发展，及时拍摄</w:t>
      </w:r>
      <w:r>
        <w:rPr>
          <w:rFonts w:hint="eastAsia" w:ascii="仿宋_GB2312" w:hAnsi="仿宋_GB2312" w:eastAsia="仿宋_GB2312" w:cs="仿宋_GB2312"/>
          <w:sz w:val="32"/>
          <w:szCs w:val="32"/>
        </w:rPr>
        <w:t>。</w:t>
      </w:r>
    </w:p>
    <w:p>
      <w:pPr>
        <w:keepNext/>
        <w:keepLines/>
        <w:numPr>
          <w:ilvl w:val="0"/>
          <w:numId w:val="0"/>
        </w:numPr>
        <w:snapToGrid w:val="0"/>
        <w:spacing w:line="580" w:lineRule="exact"/>
        <w:ind w:firstLine="643" w:firstLineChars="200"/>
        <w:outlineLvl w:val="1"/>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财政评价项目绩效评价结果。</w:t>
      </w:r>
    </w:p>
    <w:p>
      <w:pPr>
        <w:numPr>
          <w:ilvl w:val="0"/>
          <w:numId w:val="0"/>
        </w:numPr>
        <w:adjustRightInd w:val="0"/>
        <w:snapToGrid w:val="0"/>
        <w:spacing w:after="0" w:line="580" w:lineRule="exact"/>
        <w:ind w:leftChars="200" w:firstLine="320" w:firstLineChars="100"/>
        <w:rPr>
          <w:rFonts w:ascii="仿宋_GB2312" w:hAnsi="仿宋_GB2312" w:eastAsia="仿宋_GB2312" w:cs="仿宋_GB2312"/>
          <w:b/>
          <w:bCs/>
          <w:sz w:val="32"/>
          <w:szCs w:val="32"/>
        </w:rPr>
      </w:pPr>
      <w:r>
        <w:rPr>
          <w:rFonts w:hint="eastAsia" w:ascii="仿宋_GB2312" w:eastAsia="仿宋_GB2312" w:cs="DengXian-Regular"/>
          <w:sz w:val="32"/>
          <w:szCs w:val="32"/>
          <w:lang w:val="en-US" w:eastAsia="zh-CN"/>
        </w:rPr>
        <w:t>本单位本年度无财政评价项目绩效评价结果。</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七、其他重要事项的说明</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（一）机关运行经费情况</w:t>
      </w:r>
    </w:p>
    <w:p>
      <w:pPr>
        <w:adjustRightInd w:val="0"/>
        <w:snapToGrid w:val="0"/>
        <w:spacing w:line="580" w:lineRule="exact"/>
        <w:ind w:firstLine="640" w:firstLineChars="200"/>
        <w:rPr>
          <w:rFonts w:hint="eastAsia" w:ascii="仿宋_GB2312"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年度机关运行经费支出41.84万元，比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年度增加</w:t>
      </w:r>
      <w:r>
        <w:rPr>
          <w:rFonts w:hint="eastAsia" w:ascii="仿宋_GB2312" w:hAnsi="Times New Roman" w:eastAsia="仿宋_GB2312" w:cs="DengXian-Regular"/>
          <w:sz w:val="32"/>
          <w:szCs w:val="32"/>
          <w:lang w:val="en-US" w:eastAsia="zh-CN"/>
        </w:rPr>
        <w:t>13.10</w:t>
      </w:r>
      <w:r>
        <w:rPr>
          <w:rFonts w:hint="eastAsia" w:ascii="仿宋_GB2312" w:hAnsi="Times New Roman" w:eastAsia="仿宋_GB2312" w:cs="DengXian-Regular"/>
          <w:sz w:val="32"/>
          <w:szCs w:val="32"/>
        </w:rPr>
        <w:t>万元，增长</w:t>
      </w:r>
      <w:r>
        <w:rPr>
          <w:rFonts w:hint="eastAsia" w:ascii="仿宋_GB2312" w:hAnsi="Times New Roman" w:eastAsia="仿宋_GB2312" w:cs="DengXian-Regular"/>
          <w:sz w:val="32"/>
          <w:szCs w:val="32"/>
          <w:lang w:val="en-US" w:eastAsia="zh-CN"/>
        </w:rPr>
        <w:t>47.05</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w:t>
      </w:r>
      <w:r>
        <w:rPr>
          <w:rFonts w:hint="eastAsia" w:ascii="仿宋_GB2312" w:hAnsi="Times New Roman" w:eastAsia="仿宋_GB2312" w:cs="DengXian-Regular"/>
          <w:sz w:val="32"/>
          <w:szCs w:val="32"/>
          <w:lang w:val="en-US" w:eastAsia="zh-CN"/>
        </w:rPr>
        <w:t>人员发生变动</w:t>
      </w:r>
      <w:r>
        <w:rPr>
          <w:rFonts w:hint="eastAsia" w:ascii="仿宋_GB2312" w:hAnsi="Times New Roman" w:eastAsia="仿宋_GB2312" w:cs="DengXian-Regular"/>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2019</w:t>
      </w:r>
      <w:r>
        <w:rPr>
          <w:rFonts w:hint="eastAsia" w:ascii="仿宋_GB2312" w:eastAsia="仿宋_GB2312" w:cs="DengXian-Regular"/>
          <w:sz w:val="32"/>
          <w:szCs w:val="32"/>
        </w:rPr>
        <w:t>年度机关运行经费支出</w:t>
      </w:r>
      <w:r>
        <w:rPr>
          <w:rFonts w:hint="eastAsia" w:ascii="仿宋_GB2312" w:hAnsi="Times New Roman" w:eastAsia="仿宋_GB2312" w:cs="DengXian-Regular"/>
          <w:sz w:val="32"/>
          <w:szCs w:val="32"/>
        </w:rPr>
        <w:t>41.84</w:t>
      </w:r>
      <w:r>
        <w:rPr>
          <w:rFonts w:hint="eastAsia" w:ascii="仿宋_GB2312" w:eastAsia="仿宋_GB2312" w:cs="DengXian-Regular"/>
          <w:sz w:val="32"/>
          <w:szCs w:val="32"/>
        </w:rPr>
        <w:t>万元，比年初预算数</w:t>
      </w:r>
      <w:r>
        <w:rPr>
          <w:rFonts w:hint="eastAsia" w:ascii="仿宋_GB2312" w:eastAsia="仿宋_GB2312" w:cs="DengXian-Regular"/>
          <w:sz w:val="32"/>
          <w:szCs w:val="32"/>
          <w:lang w:val="en-US" w:eastAsia="zh-CN"/>
        </w:rPr>
        <w:t>9.32</w:t>
      </w:r>
      <w:r>
        <w:rPr>
          <w:rFonts w:hint="eastAsia" w:ascii="仿宋_GB2312" w:eastAsia="仿宋_GB2312" w:cs="DengXian-Regular"/>
          <w:sz w:val="32"/>
          <w:szCs w:val="32"/>
        </w:rPr>
        <w:t>万元，增长</w:t>
      </w:r>
      <w:r>
        <w:rPr>
          <w:rFonts w:hint="eastAsia" w:ascii="仿宋_GB2312" w:eastAsia="仿宋_GB2312" w:cs="DengXian-Regular"/>
          <w:sz w:val="32"/>
          <w:szCs w:val="32"/>
          <w:lang w:val="en-US" w:eastAsia="zh-CN"/>
        </w:rPr>
        <w:t>28.66</w:t>
      </w:r>
      <w:r>
        <w:rPr>
          <w:rFonts w:ascii="仿宋_GB2312" w:eastAsia="仿宋_GB2312" w:cs="DengXian-Regular"/>
          <w:sz w:val="32"/>
          <w:szCs w:val="32"/>
        </w:rPr>
        <w:t>%</w:t>
      </w:r>
      <w:r>
        <w:rPr>
          <w:rFonts w:hint="eastAsia" w:ascii="仿宋_GB2312" w:eastAsia="仿宋_GB2312" w:cs="DengXian-Regular"/>
          <w:sz w:val="32"/>
          <w:szCs w:val="32"/>
        </w:rPr>
        <w:t>。主要原因是</w:t>
      </w:r>
      <w:r>
        <w:rPr>
          <w:rFonts w:hint="eastAsia" w:ascii="仿宋_GB2312" w:hAnsi="Times New Roman" w:eastAsia="仿宋_GB2312" w:cs="DengXian-Regular"/>
          <w:sz w:val="32"/>
          <w:szCs w:val="32"/>
          <w:lang w:val="en-US" w:eastAsia="zh-CN"/>
        </w:rPr>
        <w:t>人员发生变动</w:t>
      </w:r>
      <w:r>
        <w:rPr>
          <w:rFonts w:hint="eastAsia" w:ascii="仿宋_GB2312" w:eastAsia="仿宋_GB2312" w:cs="DengXian-Regular"/>
          <w:sz w:val="32"/>
          <w:szCs w:val="32"/>
        </w:rPr>
        <w:t>。</w:t>
      </w:r>
    </w:p>
    <w:p>
      <w:pPr>
        <w:adjustRightInd w:val="0"/>
        <w:snapToGrid w:val="0"/>
        <w:spacing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与2018年决算相比：主要包括2019年办公费支出14.50万元，与2018年决算5.48万元相比增加9.05万元，增</w:t>
      </w:r>
      <w:r>
        <w:rPr>
          <w:rFonts w:hint="eastAsia" w:ascii="仿宋_GB2312" w:eastAsia="仿宋_GB2312" w:cs="DengXian-Regular"/>
          <w:sz w:val="32"/>
          <w:szCs w:val="32"/>
          <w:lang w:val="en-US" w:eastAsia="zh-CN"/>
        </w:rPr>
        <w:t>长</w:t>
      </w:r>
      <w:r>
        <w:rPr>
          <w:rFonts w:hint="eastAsia" w:ascii="仿宋_GB2312" w:eastAsia="仿宋_GB2312" w:cs="DengXian-Regular"/>
          <w:sz w:val="32"/>
          <w:szCs w:val="32"/>
        </w:rPr>
        <w:t>164.59%。2019年印刷费支出1.38万元，与2018年决算3.65万元相比减少2.27万元，</w:t>
      </w:r>
      <w:r>
        <w:rPr>
          <w:rFonts w:hint="eastAsia" w:ascii="仿宋_GB2312" w:eastAsia="仿宋_GB2312" w:cs="DengXian-Regular"/>
          <w:sz w:val="32"/>
          <w:szCs w:val="32"/>
          <w:lang w:val="en-US" w:eastAsia="zh-CN"/>
        </w:rPr>
        <w:t>降低</w:t>
      </w:r>
      <w:r>
        <w:rPr>
          <w:rFonts w:hint="eastAsia" w:ascii="仿宋_GB2312" w:eastAsia="仿宋_GB2312" w:cs="DengXian-Regular"/>
          <w:sz w:val="32"/>
          <w:szCs w:val="32"/>
        </w:rPr>
        <w:t>62.14%。2019年邮电费支出6.15万元，与2018年决算6.48万元相比减少0.33万元，</w:t>
      </w:r>
      <w:r>
        <w:rPr>
          <w:rFonts w:hint="eastAsia" w:ascii="仿宋_GB2312" w:eastAsia="仿宋_GB2312" w:cs="DengXian-Regular"/>
          <w:sz w:val="32"/>
          <w:szCs w:val="32"/>
          <w:lang w:val="en-US" w:eastAsia="zh-CN"/>
        </w:rPr>
        <w:t>降低</w:t>
      </w:r>
      <w:r>
        <w:rPr>
          <w:rFonts w:hint="eastAsia" w:ascii="仿宋_GB2312" w:eastAsia="仿宋_GB2312" w:cs="DengXian-Regular"/>
          <w:sz w:val="32"/>
          <w:szCs w:val="32"/>
        </w:rPr>
        <w:t>5.07%。2019年差旅费3.02万元，与2018年决算1.31万元相比增加</w:t>
      </w:r>
      <w:r>
        <w:rPr>
          <w:rFonts w:hint="eastAsia" w:ascii="仿宋_GB2312" w:eastAsia="仿宋_GB2312" w:cs="DengXian-Regular"/>
          <w:sz w:val="32"/>
          <w:szCs w:val="32"/>
          <w:highlight w:val="none"/>
        </w:rPr>
        <w:t>1.71</w:t>
      </w:r>
      <w:r>
        <w:rPr>
          <w:rFonts w:hint="eastAsia" w:ascii="仿宋_GB2312" w:eastAsia="仿宋_GB2312" w:cs="DengXian-Regular"/>
          <w:sz w:val="32"/>
          <w:szCs w:val="32"/>
        </w:rPr>
        <w:t>万元，增</w:t>
      </w:r>
      <w:r>
        <w:rPr>
          <w:rFonts w:hint="eastAsia" w:ascii="仿宋_GB2312" w:eastAsia="仿宋_GB2312" w:cs="DengXian-Regular"/>
          <w:sz w:val="32"/>
          <w:szCs w:val="32"/>
          <w:lang w:val="en-US" w:eastAsia="zh-CN"/>
        </w:rPr>
        <w:t>长</w:t>
      </w:r>
      <w:r>
        <w:rPr>
          <w:rFonts w:hint="eastAsia" w:ascii="仿宋_GB2312" w:eastAsia="仿宋_GB2312" w:cs="DengXian-Regular"/>
          <w:sz w:val="32"/>
          <w:szCs w:val="32"/>
        </w:rPr>
        <w:t>131.08%。2019年维修费支出0.3</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万元，与2018年决算0.3</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万元相比无变化。2019年公务车运行及维护3.74万元，与2018年决算3.97万元减少0.23万元，</w:t>
      </w:r>
      <w:r>
        <w:rPr>
          <w:rFonts w:hint="eastAsia" w:ascii="仿宋_GB2312" w:eastAsia="仿宋_GB2312" w:cs="DengXian-Regular"/>
          <w:sz w:val="32"/>
          <w:szCs w:val="32"/>
          <w:lang w:val="en-US" w:eastAsia="zh-CN"/>
        </w:rPr>
        <w:t>降低</w:t>
      </w:r>
      <w:r>
        <w:rPr>
          <w:rFonts w:hint="eastAsia" w:ascii="仿宋_GB2312" w:eastAsia="仿宋_GB2312" w:cs="DengXian-Regular"/>
          <w:sz w:val="32"/>
          <w:szCs w:val="32"/>
        </w:rPr>
        <w:t>5.7</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%。2019年其他交通费支出7.32万元万元，与2018年决算6.98万元相比增加0.34万元，增</w:t>
      </w:r>
      <w:r>
        <w:rPr>
          <w:rFonts w:hint="eastAsia" w:ascii="仿宋_GB2312" w:eastAsia="仿宋_GB2312" w:cs="DengXian-Regular"/>
          <w:sz w:val="32"/>
          <w:szCs w:val="32"/>
          <w:lang w:val="en-US" w:eastAsia="zh-CN"/>
        </w:rPr>
        <w:t>长</w:t>
      </w:r>
      <w:r>
        <w:rPr>
          <w:rFonts w:hint="eastAsia" w:ascii="仿宋_GB2312" w:eastAsia="仿宋_GB2312" w:cs="DengXian-Regular"/>
          <w:sz w:val="32"/>
          <w:szCs w:val="32"/>
        </w:rPr>
        <w:t>4.80%。</w:t>
      </w:r>
    </w:p>
    <w:p>
      <w:pPr>
        <w:adjustRightInd w:val="0"/>
        <w:snapToGrid w:val="0"/>
        <w:spacing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rPr>
        <w:t>与年初预算相比： 主要包括2019年办公费支出14.50万元，与年初预算4.5</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万元相比增加10</w:t>
      </w:r>
      <w:r>
        <w:rPr>
          <w:rFonts w:hint="eastAsia" w:ascii="仿宋_GB2312" w:eastAsia="仿宋_GB2312" w:cs="DengXian-Regular"/>
          <w:sz w:val="32"/>
          <w:szCs w:val="32"/>
          <w:lang w:val="en-US" w:eastAsia="zh-CN"/>
        </w:rPr>
        <w:t>.00</w:t>
      </w:r>
      <w:r>
        <w:rPr>
          <w:rFonts w:hint="eastAsia" w:ascii="仿宋_GB2312" w:eastAsia="仿宋_GB2312" w:cs="DengXian-Regular"/>
          <w:sz w:val="32"/>
          <w:szCs w:val="32"/>
        </w:rPr>
        <w:t>万元，增</w:t>
      </w:r>
      <w:r>
        <w:rPr>
          <w:rFonts w:hint="eastAsia" w:ascii="仿宋_GB2312" w:eastAsia="仿宋_GB2312" w:cs="DengXian-Regular"/>
          <w:sz w:val="32"/>
          <w:szCs w:val="32"/>
          <w:lang w:val="en-US" w:eastAsia="zh-CN"/>
        </w:rPr>
        <w:t>长</w:t>
      </w:r>
      <w:r>
        <w:rPr>
          <w:rFonts w:hint="eastAsia" w:ascii="仿宋_GB2312" w:eastAsia="仿宋_GB2312" w:cs="DengXian-Regular"/>
          <w:sz w:val="32"/>
          <w:szCs w:val="32"/>
        </w:rPr>
        <w:t>222.22%。2019年印刷费1.38万元，与2018年决算2.9</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万元相比减少1.52万元，</w:t>
      </w:r>
      <w:r>
        <w:rPr>
          <w:rFonts w:hint="eastAsia" w:ascii="仿宋_GB2312" w:eastAsia="仿宋_GB2312" w:cs="DengXian-Regular"/>
          <w:sz w:val="32"/>
          <w:szCs w:val="32"/>
          <w:lang w:val="en-US" w:eastAsia="zh-CN"/>
        </w:rPr>
        <w:t>降低</w:t>
      </w:r>
      <w:r>
        <w:rPr>
          <w:rFonts w:hint="eastAsia" w:ascii="仿宋_GB2312" w:eastAsia="仿宋_GB2312" w:cs="DengXian-Regular"/>
          <w:sz w:val="32"/>
          <w:szCs w:val="32"/>
        </w:rPr>
        <w:t>52.34%；2019年邮电费支出6.15万元，与年初预算6.16万元相比减少0.1</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w:t>
      </w:r>
      <w:r>
        <w:rPr>
          <w:rFonts w:hint="eastAsia" w:ascii="仿宋_GB2312" w:eastAsia="仿宋_GB2312" w:cs="DengXian-Regular"/>
          <w:sz w:val="32"/>
          <w:szCs w:val="32"/>
          <w:lang w:val="en-US" w:eastAsia="zh-CN"/>
        </w:rPr>
        <w:t>降低</w:t>
      </w:r>
      <w:r>
        <w:rPr>
          <w:rFonts w:hint="eastAsia" w:ascii="仿宋_GB2312" w:eastAsia="仿宋_GB2312" w:cs="DengXian-Regular"/>
          <w:sz w:val="32"/>
          <w:szCs w:val="32"/>
        </w:rPr>
        <w:t>1.62%。2019年差旅费3.02万元，与年初预算1.5</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万元相比减少1.52万元，</w:t>
      </w:r>
      <w:r>
        <w:rPr>
          <w:rFonts w:hint="eastAsia" w:ascii="仿宋_GB2312" w:eastAsia="仿宋_GB2312" w:cs="DengXian-Regular"/>
          <w:sz w:val="32"/>
          <w:szCs w:val="32"/>
          <w:lang w:val="en-US" w:eastAsia="zh-CN"/>
        </w:rPr>
        <w:t>降低</w:t>
      </w:r>
      <w:r>
        <w:rPr>
          <w:rFonts w:hint="eastAsia" w:ascii="仿宋_GB2312" w:eastAsia="仿宋_GB2312" w:cs="DengXian-Regular"/>
          <w:sz w:val="32"/>
          <w:szCs w:val="32"/>
        </w:rPr>
        <w:t>101.21%。2019年维修费支出0.3</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万元，与年初预算0.3</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万元相比无变化。2019年培训费0.49万元，与年初预算0.5</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万元相比减少0.01万元，</w:t>
      </w:r>
      <w:r>
        <w:rPr>
          <w:rFonts w:hint="eastAsia" w:ascii="仿宋_GB2312" w:eastAsia="仿宋_GB2312" w:cs="DengXian-Regular"/>
          <w:sz w:val="32"/>
          <w:szCs w:val="32"/>
          <w:lang w:val="en-US" w:eastAsia="zh-CN"/>
        </w:rPr>
        <w:t>降低</w:t>
      </w:r>
      <w:r>
        <w:rPr>
          <w:rFonts w:hint="eastAsia" w:ascii="仿宋_GB2312" w:eastAsia="仿宋_GB2312" w:cs="DengXian-Regular"/>
          <w:sz w:val="32"/>
          <w:szCs w:val="32"/>
        </w:rPr>
        <w:t>2.9</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%。2019年公务车运行及维护3.74万元，与年初预算4</w:t>
      </w:r>
      <w:r>
        <w:rPr>
          <w:rFonts w:hint="eastAsia" w:ascii="仿宋_GB2312" w:eastAsia="仿宋_GB2312" w:cs="DengXian-Regular"/>
          <w:sz w:val="32"/>
          <w:szCs w:val="32"/>
          <w:lang w:val="en-US" w:eastAsia="zh-CN"/>
        </w:rPr>
        <w:t>.00</w:t>
      </w:r>
      <w:r>
        <w:rPr>
          <w:rFonts w:hint="eastAsia" w:ascii="仿宋_GB2312" w:eastAsia="仿宋_GB2312" w:cs="DengXian-Regular"/>
          <w:sz w:val="32"/>
          <w:szCs w:val="32"/>
        </w:rPr>
        <w:t>万元相比减少0.26万元，</w:t>
      </w:r>
      <w:r>
        <w:rPr>
          <w:rFonts w:hint="eastAsia" w:ascii="仿宋_GB2312" w:eastAsia="仿宋_GB2312" w:cs="DengXian-Regular"/>
          <w:sz w:val="32"/>
          <w:szCs w:val="32"/>
          <w:lang w:val="en-US" w:eastAsia="zh-CN"/>
        </w:rPr>
        <w:t>降低</w:t>
      </w:r>
      <w:r>
        <w:rPr>
          <w:rFonts w:hint="eastAsia" w:ascii="仿宋_GB2312" w:eastAsia="仿宋_GB2312" w:cs="DengXian-Regular"/>
          <w:sz w:val="32"/>
          <w:szCs w:val="32"/>
        </w:rPr>
        <w:t>6.50%。2019年其他交通费支出6.98万元，与年初预算6.84万元相比增加0.14万元，增</w:t>
      </w:r>
      <w:r>
        <w:rPr>
          <w:rFonts w:hint="eastAsia" w:ascii="仿宋_GB2312" w:eastAsia="仿宋_GB2312" w:cs="DengXian-Regular"/>
          <w:sz w:val="32"/>
          <w:szCs w:val="32"/>
          <w:lang w:val="en-US" w:eastAsia="zh-CN"/>
        </w:rPr>
        <w:t>长</w:t>
      </w:r>
      <w:r>
        <w:rPr>
          <w:rFonts w:hint="eastAsia" w:ascii="仿宋_GB2312" w:eastAsia="仿宋_GB2312" w:cs="DengXian-Regular"/>
          <w:sz w:val="32"/>
          <w:szCs w:val="32"/>
        </w:rPr>
        <w:t>2.05%。</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（二）政府采购情况</w:t>
      </w:r>
    </w:p>
    <w:p>
      <w:pPr>
        <w:snapToGrid w:val="0"/>
        <w:spacing w:line="580" w:lineRule="exact"/>
        <w:ind w:firstLine="640" w:firstLineChars="200"/>
        <w:jc w:val="left"/>
        <w:rPr>
          <w:rFonts w:hint="eastAsia" w:ascii="仿宋_GB2312" w:hAnsi="Times New Roman" w:eastAsia="仿宋_GB2312" w:cs="DengXian-Regular"/>
          <w:sz w:val="32"/>
          <w:szCs w:val="32"/>
          <w:lang w:eastAsia="zh-CN"/>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年度政府采购支出总额</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万元。授予中小企业合同金额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万元，占政府采购支出总额的</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lang w:val="en-US" w:eastAsia="zh-CN"/>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（三）国有资产占用情况</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w:t>
      </w:r>
      <w:r>
        <w:rPr>
          <w:rFonts w:hint="eastAsia" w:ascii="仿宋_GB2312" w:hAnsi="Times New Roman" w:eastAsia="仿宋_GB2312" w:cs="DengXian-Regular"/>
          <w:sz w:val="32"/>
          <w:szCs w:val="32"/>
          <w:lang w:val="en-US" w:eastAsia="zh-CN"/>
        </w:rPr>
        <w:t>1</w:t>
      </w:r>
      <w:r>
        <w:rPr>
          <w:rFonts w:hint="eastAsia" w:ascii="仿宋_GB2312" w:hAnsi="Times New Roman" w:eastAsia="仿宋_GB2312" w:cs="DengXian-Regular"/>
          <w:sz w:val="32"/>
          <w:szCs w:val="32"/>
        </w:rPr>
        <w:t>辆，比上年增加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辆，主要是</w:t>
      </w:r>
      <w:r>
        <w:rPr>
          <w:rFonts w:hint="eastAsia" w:ascii="仿宋_GB2312" w:eastAsia="仿宋_GB2312" w:cs="DengXian-Regular"/>
          <w:sz w:val="32"/>
          <w:szCs w:val="32"/>
          <w:lang w:val="en-US" w:eastAsia="zh-CN"/>
        </w:rPr>
        <w:t>本单位本年度无公务用车购置</w:t>
      </w:r>
      <w:r>
        <w:rPr>
          <w:rFonts w:hint="eastAsia" w:ascii="仿宋_GB2312" w:hAnsi="Times New Roman" w:eastAsia="仿宋_GB2312" w:cs="DengXian-Regular"/>
          <w:sz w:val="32"/>
          <w:szCs w:val="32"/>
        </w:rPr>
        <w:t>。其中，</w:t>
      </w:r>
      <w:r>
        <w:rPr>
          <w:rFonts w:hint="eastAsia" w:ascii="仿宋_GB2312" w:eastAsia="仿宋_GB2312" w:cs="DengXian-Regular"/>
          <w:sz w:val="32"/>
          <w:szCs w:val="32"/>
        </w:rPr>
        <w:t>副部（省）级及以上领导用车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辆，主要领导干部用车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辆，机要通信用车</w:t>
      </w:r>
      <w:r>
        <w:rPr>
          <w:rFonts w:hint="eastAsia" w:ascii="仿宋_GB2312" w:eastAsia="仿宋_GB2312" w:cs="DengXian-Regular"/>
          <w:sz w:val="32"/>
          <w:szCs w:val="32"/>
          <w:lang w:val="en-US" w:eastAsia="zh-CN"/>
        </w:rPr>
        <w:t>1</w:t>
      </w:r>
      <w:r>
        <w:rPr>
          <w:rFonts w:hint="eastAsia" w:ascii="仿宋_GB2312" w:eastAsia="仿宋_GB2312" w:cs="DengXian-Regular"/>
          <w:sz w:val="32"/>
          <w:szCs w:val="32"/>
        </w:rPr>
        <w:t>辆，应急保障用车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辆，执法执勤用车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辆，特种专业技术用车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辆，离退休干部用车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辆，其他用车</w:t>
      </w:r>
      <w:r>
        <w:rPr>
          <w:rFonts w:hint="eastAsia" w:ascii="仿宋_GB2312" w:eastAsia="仿宋_GB2312" w:cs="DengXian-Regular"/>
          <w:sz w:val="32"/>
          <w:szCs w:val="32"/>
          <w:lang w:val="en-US" w:eastAsia="zh-CN"/>
        </w:rPr>
        <w:t>0</w:t>
      </w:r>
      <w:r>
        <w:rPr>
          <w:rFonts w:hint="eastAsia" w:ascii="仿宋_GB2312" w:eastAsia="仿宋_GB2312" w:cs="DengXian-Regular"/>
          <w:sz w:val="32"/>
          <w:szCs w:val="32"/>
        </w:rPr>
        <w:t>辆，</w:t>
      </w:r>
      <w:r>
        <w:rPr>
          <w:rFonts w:hint="eastAsia" w:ascii="仿宋_GB2312" w:eastAsia="仿宋_GB2312" w:cs="DengXian-Regular"/>
          <w:sz w:val="32"/>
          <w:szCs w:val="32"/>
          <w:lang w:val="en-US" w:eastAsia="zh-CN"/>
        </w:rPr>
        <w:t>本单位无</w:t>
      </w:r>
      <w:r>
        <w:rPr>
          <w:rFonts w:hint="eastAsia" w:ascii="仿宋_GB2312" w:eastAsia="仿宋_GB2312" w:cs="DengXian-Regular"/>
          <w:sz w:val="32"/>
          <w:szCs w:val="32"/>
        </w:rPr>
        <w:t>其他用车</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台（套），比上年增加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套，主要是</w:t>
      </w:r>
      <w:r>
        <w:rPr>
          <w:rFonts w:hint="eastAsia" w:ascii="仿宋_GB2312" w:eastAsia="仿宋_GB2312" w:cs="DengXian-Regular"/>
          <w:sz w:val="32"/>
          <w:szCs w:val="32"/>
          <w:lang w:val="en-US" w:eastAsia="zh-CN"/>
        </w:rPr>
        <w:t>本单位无价值在50万元以上的通用设备</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台（套）比上年增加</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套，主要是</w:t>
      </w:r>
      <w:r>
        <w:rPr>
          <w:rFonts w:hint="eastAsia" w:ascii="仿宋_GB2312" w:eastAsia="仿宋_GB2312" w:cs="DengXian-Regular"/>
          <w:sz w:val="32"/>
          <w:szCs w:val="32"/>
        </w:rPr>
        <w:t>主要是</w:t>
      </w:r>
      <w:r>
        <w:rPr>
          <w:rFonts w:hint="eastAsia" w:ascii="仿宋_GB2312" w:eastAsia="仿宋_GB2312" w:cs="DengXian-Regular"/>
          <w:sz w:val="32"/>
          <w:szCs w:val="32"/>
          <w:lang w:val="en-US" w:eastAsia="zh-CN"/>
        </w:rPr>
        <w:t>本单位无价值在100万元以上的专用设备</w:t>
      </w:r>
      <w:r>
        <w:rPr>
          <w:rFonts w:hint="eastAsia" w:ascii="仿宋_GB2312" w:hAnsi="Times New Roman" w:eastAsia="仿宋_GB2312" w:cs="DengXian-Regular"/>
          <w:sz w:val="32"/>
          <w:szCs w:val="32"/>
        </w:rPr>
        <w:t>。</w:t>
      </w:r>
      <w:bookmarkStart w:id="0" w:name="_GoBack"/>
      <w:bookmarkEnd w:id="0"/>
    </w:p>
    <w:p>
      <w:pPr>
        <w:keepNext/>
        <w:keepLines/>
        <w:snapToGrid w:val="0"/>
        <w:spacing w:line="580" w:lineRule="exact"/>
        <w:ind w:firstLine="643" w:firstLineChars="200"/>
        <w:outlineLvl w:val="2"/>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（四）其他需要说明的情况</w:t>
      </w:r>
    </w:p>
    <w:p>
      <w:pPr>
        <w:adjustRightInd w:val="0"/>
        <w:snapToGrid w:val="0"/>
        <w:spacing w:after="0" w:line="580" w:lineRule="exact"/>
        <w:ind w:firstLine="640" w:firstLineChars="200"/>
        <w:rPr>
          <w:rFonts w:hint="eastAsia" w:ascii="仿宋_GB2312" w:eastAsia="仿宋_GB2312" w:cs="DengXian-Regular"/>
          <w:sz w:val="32"/>
          <w:szCs w:val="32"/>
        </w:rPr>
      </w:pPr>
      <w:r>
        <w:rPr>
          <w:rFonts w:ascii="仿宋_GB2312" w:eastAsia="仿宋_GB2312" w:cs="DengXian-Regular"/>
          <w:sz w:val="32"/>
          <w:szCs w:val="32"/>
        </w:rPr>
        <w:t>1</w:t>
      </w:r>
      <w:r>
        <w:rPr>
          <w:rFonts w:hint="eastAsia" w:ascii="仿宋_GB2312" w:eastAsia="仿宋_GB2312" w:cs="DengXian-Regular"/>
          <w:sz w:val="32"/>
          <w:szCs w:val="32"/>
        </w:rPr>
        <w:t>、本部门</w:t>
      </w:r>
      <w:r>
        <w:rPr>
          <w:rFonts w:ascii="仿宋_GB2312" w:eastAsia="仿宋_GB2312" w:cs="DengXian-Regular"/>
          <w:sz w:val="32"/>
          <w:szCs w:val="32"/>
        </w:rPr>
        <w:t>201</w:t>
      </w:r>
      <w:r>
        <w:rPr>
          <w:rFonts w:hint="eastAsia" w:ascii="仿宋_GB2312" w:eastAsia="仿宋_GB2312" w:cs="DengXian-Regular"/>
          <w:sz w:val="32"/>
          <w:szCs w:val="32"/>
          <w:lang w:val="en-US" w:eastAsia="zh-CN"/>
        </w:rPr>
        <w:t>9</w:t>
      </w:r>
      <w:r>
        <w:rPr>
          <w:rFonts w:hint="eastAsia" w:ascii="仿宋_GB2312" w:eastAsia="仿宋_GB2312" w:cs="DengXian-Regular"/>
          <w:sz w:val="32"/>
          <w:szCs w:val="32"/>
        </w:rPr>
        <w:t>年度</w:t>
      </w:r>
      <w:r>
        <w:rPr>
          <w:rFonts w:hint="eastAsia" w:ascii="仿宋_GB2312" w:hAnsi="Cambria" w:eastAsia="仿宋_GB2312" w:cs="ArialUnicodeMS"/>
          <w:kern w:val="0"/>
          <w:sz w:val="32"/>
          <w:szCs w:val="32"/>
          <w:lang w:eastAsia="zh-CN"/>
        </w:rPr>
        <w:t>无政府性基金财政拨款收入</w:t>
      </w:r>
      <w:r>
        <w:rPr>
          <w:rFonts w:hint="eastAsia" w:ascii="仿宋_GB2312" w:eastAsia="仿宋_GB2312" w:cs="DengXian-Regular"/>
          <w:sz w:val="32"/>
          <w:szCs w:val="32"/>
        </w:rPr>
        <w:t>，</w:t>
      </w:r>
      <w:r>
        <w:rPr>
          <w:rFonts w:hint="eastAsia" w:ascii="仿宋_GB2312" w:eastAsia="仿宋_GB2312" w:cs="DengXian-Regular"/>
          <w:sz w:val="32"/>
          <w:szCs w:val="32"/>
          <w:lang w:val="en-US" w:eastAsia="zh-CN"/>
        </w:rPr>
        <w:t>按照要求</w:t>
      </w:r>
      <w:r>
        <w:rPr>
          <w:rFonts w:hint="eastAsia" w:ascii="仿宋_GB2312" w:eastAsia="仿宋_GB2312" w:cs="DengXian-Regular"/>
          <w:sz w:val="32"/>
          <w:szCs w:val="32"/>
        </w:rPr>
        <w:t>以空表列示。</w:t>
      </w:r>
    </w:p>
    <w:p>
      <w:pPr>
        <w:adjustRightInd w:val="0"/>
        <w:snapToGrid w:val="0"/>
        <w:spacing w:after="0" w:line="580" w:lineRule="exact"/>
        <w:ind w:firstLine="640" w:firstLineChars="200"/>
        <w:rPr>
          <w:rFonts w:hint="eastAsia" w:ascii="仿宋_GB2312" w:eastAsia="仿宋_GB2312" w:cs="DengXian-Regular"/>
          <w:sz w:val="32"/>
          <w:szCs w:val="32"/>
        </w:rPr>
      </w:pPr>
      <w:r>
        <w:rPr>
          <w:rFonts w:hint="eastAsia" w:ascii="仿宋_GB2312" w:eastAsia="仿宋_GB2312" w:cs="DengXian-Regular"/>
          <w:sz w:val="32"/>
          <w:szCs w:val="32"/>
          <w:lang w:val="en-US" w:eastAsia="zh-CN"/>
        </w:rPr>
        <w:t>2、本部门2019年度无</w:t>
      </w:r>
      <w:r>
        <w:rPr>
          <w:rFonts w:hint="eastAsia" w:ascii="仿宋_GB2312" w:hAnsi="Cambria" w:eastAsia="仿宋_GB2312" w:cs="ArialUnicodeMS"/>
          <w:kern w:val="0"/>
          <w:sz w:val="32"/>
          <w:szCs w:val="32"/>
          <w:lang w:eastAsia="zh-CN"/>
        </w:rPr>
        <w:t>国有资本经营预算财政拨款</w:t>
      </w:r>
      <w:r>
        <w:rPr>
          <w:rFonts w:hint="eastAsia" w:ascii="仿宋_GB2312" w:hAnsi="Cambria" w:eastAsia="仿宋_GB2312" w:cs="ArialUnicodeMS"/>
          <w:kern w:val="0"/>
          <w:sz w:val="32"/>
          <w:szCs w:val="32"/>
          <w:lang w:val="en-US" w:eastAsia="zh-CN"/>
        </w:rPr>
        <w:t>收入，按照要求</w:t>
      </w:r>
      <w:r>
        <w:rPr>
          <w:rFonts w:hint="eastAsia" w:ascii="仿宋_GB2312" w:eastAsia="仿宋_GB2312" w:cs="DengXian-Regular"/>
          <w:sz w:val="32"/>
          <w:szCs w:val="32"/>
        </w:rPr>
        <w:t>以空表列示</w:t>
      </w:r>
      <w:r>
        <w:rPr>
          <w:rFonts w:hint="eastAsia" w:ascii="仿宋_GB2312" w:eastAsia="仿宋_GB2312" w:cs="DengXian-Regular"/>
          <w:sz w:val="32"/>
          <w:szCs w:val="32"/>
          <w:lang w:eastAsia="zh-CN"/>
        </w:rPr>
        <w:t>。</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lang w:val="en-US" w:eastAsia="zh-CN"/>
        </w:rPr>
        <w:t>3</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pPr>
        <w:rPr>
          <w:rFonts w:ascii="黑体" w:hAnsi="黑体" w:eastAsia="黑体" w:cs="黑体"/>
          <w:sz w:val="56"/>
          <w:szCs w:val="72"/>
        </w:rPr>
        <w:sectPr>
          <w:type w:val="continuous"/>
          <w:pgSz w:w="11906" w:h="16838"/>
          <w:pgMar w:top="2041" w:right="1531" w:bottom="2041" w:left="1531" w:header="851" w:footer="992" w:gutter="0"/>
          <w:pgNumType w:fmt="numberInDash"/>
          <w:cols w:space="0" w:num="1"/>
          <w:titlePg/>
          <w:docGrid w:type="lines" w:linePitch="312" w:charSpace="0"/>
        </w:sectPr>
      </w:pPr>
    </w:p>
    <w:p>
      <w:pPr>
        <w:jc w:val="both"/>
        <w:rPr>
          <w:rFonts w:ascii="黑体" w:hAnsi="黑体" w:eastAsia="黑体" w:cs="黑体"/>
          <w:sz w:val="56"/>
          <w:szCs w:val="72"/>
        </w:rPr>
      </w:pPr>
    </w:p>
    <w:p>
      <w:pPr>
        <w:jc w:val="center"/>
        <w:rPr>
          <w:rFonts w:ascii="黑体" w:hAnsi="黑体" w:eastAsia="黑体" w:cs="黑体"/>
          <w:sz w:val="56"/>
          <w:szCs w:val="72"/>
        </w:rPr>
      </w:pPr>
    </w:p>
    <w:p>
      <w:pPr>
        <w:jc w:val="center"/>
        <w:rPr>
          <w:sz w:val="72"/>
        </w:rPr>
      </w:pPr>
      <w:r>
        <w:pict>
          <v:shape id="_x0000_s1088" o:spid="_x0000_s1088" o:spt="202" type="#_x0000_t202" style="position:absolute;left:0pt;margin-left:-80.45pt;margin-top:34.8pt;height:263.1pt;width:613.65pt;z-index:251673600;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hint="eastAsia" w:ascii="黑体" w:hAnsi="黑体" w:eastAsia="黑体" w:cs="黑体"/>
                      <w:color w:val="000000"/>
                      <w:sz w:val="90"/>
                      <w:szCs w:val="90"/>
                    </w:rPr>
                  </w:pPr>
                </w:p>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w:r>
    </w:p>
    <w:p/>
    <w:p/>
    <w:p/>
    <w:p/>
    <w:p/>
    <w:p/>
    <w:p/>
    <w:p/>
    <w:p/>
    <w:p/>
    <w:p/>
    <w:p/>
    <w:p/>
    <w:p>
      <w:pPr>
        <w:tabs>
          <w:tab w:val="left" w:pos="886"/>
        </w:tabs>
        <w:jc w:val="left"/>
        <w:sectPr>
          <w:headerReference r:id="rId11" w:type="first"/>
          <w:pgSz w:w="11906" w:h="16838"/>
          <w:pgMar w:top="2041" w:right="1531" w:bottom="2041" w:left="1531" w:header="851" w:footer="992" w:gutter="0"/>
          <w:pgNumType w:fmt="numberInDash"/>
          <w:cols w:space="0" w:num="1"/>
          <w:titlePg/>
          <w:docGrid w:type="lines" w:linePitch="312" w:charSpace="0"/>
        </w:sectPr>
      </w:pPr>
    </w:p>
    <w:p>
      <w:pPr>
        <w:widowControl/>
        <w:spacing w:line="560" w:lineRule="exact"/>
        <w:ind w:firstLine="643" w:firstLineChars="200"/>
        <w:rPr>
          <w:rFonts w:hint="eastAsia" w:ascii="仿宋_GB2312" w:hAnsi="宋体" w:eastAsia="仿宋_GB2312"/>
          <w:b/>
          <w:bCs/>
          <w:color w:val="000000"/>
          <w:kern w:val="0"/>
          <w:sz w:val="32"/>
          <w:szCs w:val="32"/>
        </w:rPr>
      </w:pPr>
    </w:p>
    <w:p>
      <w:pPr>
        <w:widowControl/>
        <w:spacing w:line="560" w:lineRule="exact"/>
        <w:rPr>
          <w:rFonts w:hint="eastAsia" w:ascii="仿宋_GB2312" w:hAnsi="宋体" w:eastAsia="仿宋_GB2312"/>
          <w:b/>
          <w:bCs/>
          <w:color w:val="000000"/>
          <w:kern w:val="0"/>
          <w:sz w:val="32"/>
          <w:szCs w:val="32"/>
        </w:rPr>
      </w:pP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
    <w:p>
      <w:pPr>
        <w:jc w:val="left"/>
        <w:sectPr>
          <w:headerReference r:id="rId12" w:type="default"/>
          <w:type w:val="continuous"/>
          <w:pgSz w:w="11906" w:h="16838"/>
          <w:pgMar w:top="2098" w:right="1474" w:bottom="1985" w:left="1588" w:header="851" w:footer="992" w:gutter="0"/>
          <w:pgNumType w:fmt="numberInDash"/>
          <w:cols w:space="425" w:num="1"/>
          <w:docGrid w:type="lines" w:linePitch="312" w:charSpace="0"/>
        </w:sectPr>
      </w:pPr>
    </w:p>
    <w:p>
      <w:pPr>
        <w:tabs>
          <w:tab w:val="left" w:pos="235"/>
        </w:tabs>
        <w:jc w:val="left"/>
        <w:sectPr>
          <w:pgSz w:w="11906" w:h="16838"/>
          <w:pgMar w:top="2098" w:right="1474" w:bottom="1985" w:left="1588" w:header="851" w:footer="992" w:gutter="0"/>
          <w:pgNumType w:fmt="numberInDash"/>
          <w:cols w:space="425" w:num="1"/>
          <w:docGrid w:type="lines" w:linePitch="312" w:charSpace="0"/>
        </w:sectPr>
      </w:pPr>
      <w:r>
        <w:pict>
          <v:shape id="_x0000_s1089" o:spid="_x0000_s1089" o:spt="202" type="#_x0000_t202" style="position:absolute;left:0pt;margin-left:-82.05pt;margin-top:135.85pt;height:263.1pt;width:613.65pt;z-index:-251656192;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w:r>
    </w:p>
    <w:tbl>
      <w:tblPr>
        <w:tblStyle w:val="6"/>
        <w:tblpPr w:leftFromText="180" w:rightFromText="180" w:vertAnchor="text" w:horzAnchor="page" w:tblpX="1244" w:tblpY="158"/>
        <w:tblOverlap w:val="never"/>
        <w:tblW w:w="9679" w:type="dxa"/>
        <w:jc w:val="center"/>
        <w:tblLayout w:type="fixed"/>
        <w:tblCellMar>
          <w:top w:w="0" w:type="dxa"/>
          <w:left w:w="0" w:type="dxa"/>
          <w:bottom w:w="0" w:type="dxa"/>
          <w:right w:w="0" w:type="dxa"/>
        </w:tblCellMar>
      </w:tblPr>
      <w:tblGrid>
        <w:gridCol w:w="3236"/>
        <w:gridCol w:w="731"/>
        <w:gridCol w:w="822"/>
        <w:gridCol w:w="3343"/>
        <w:gridCol w:w="541"/>
        <w:gridCol w:w="1006"/>
      </w:tblGrid>
      <w:tr>
        <w:tblPrEx>
          <w:tblCellMar>
            <w:top w:w="0" w:type="dxa"/>
            <w:left w:w="0" w:type="dxa"/>
            <w:bottom w:w="0" w:type="dxa"/>
            <w:right w:w="0" w:type="dxa"/>
          </w:tblCellMar>
        </w:tblPrEx>
        <w:trPr>
          <w:trHeight w:val="489" w:hRule="atLeast"/>
          <w:jc w:val="center"/>
        </w:trPr>
        <w:tc>
          <w:tcPr>
            <w:tcW w:w="9679" w:type="dxa"/>
            <w:gridSpan w:val="6"/>
            <w:tcBorders>
              <w:top w:val="nil"/>
              <w:left w:val="nil"/>
              <w:bottom w:val="nil"/>
              <w:right w:val="nil"/>
            </w:tcBorders>
            <w:noWrap/>
            <w:tcMar>
              <w:top w:w="15" w:type="dxa"/>
              <w:left w:w="15" w:type="dxa"/>
              <w:right w:w="15" w:type="dxa"/>
            </w:tcMar>
            <w:vAlign w:val="bottom"/>
          </w:tcPr>
          <w:p>
            <w:pPr>
              <w:spacing w:line="400" w:lineRule="exact"/>
              <w:jc w:val="center"/>
              <w:rPr>
                <w:rFonts w:ascii="黑体" w:hAnsi="宋体" w:eastAsia="黑体" w:cs="黑体"/>
                <w:color w:val="000000"/>
                <w:sz w:val="32"/>
                <w:szCs w:val="32"/>
              </w:rPr>
            </w:pPr>
            <w:r>
              <w:rPr>
                <w:rFonts w:hint="eastAsia" w:ascii="黑体" w:hAnsi="宋体" w:eastAsia="黑体" w:cs="黑体"/>
                <w:color w:val="000000"/>
                <w:kern w:val="0"/>
                <w:sz w:val="32"/>
                <w:szCs w:val="32"/>
              </w:rPr>
              <w:t>收入支出决算总表</w:t>
            </w:r>
          </w:p>
        </w:tc>
      </w:tr>
      <w:tr>
        <w:tblPrEx>
          <w:tblCellMar>
            <w:top w:w="0" w:type="dxa"/>
            <w:left w:w="0" w:type="dxa"/>
            <w:bottom w:w="0" w:type="dxa"/>
            <w:right w:w="0" w:type="dxa"/>
          </w:tblCellMar>
        </w:tblPrEx>
        <w:trPr>
          <w:trHeight w:val="205" w:hRule="atLeast"/>
          <w:jc w:val="center"/>
        </w:trPr>
        <w:tc>
          <w:tcPr>
            <w:tcW w:w="3236"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73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82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890"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01</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421" w:hRule="atLeast"/>
          <w:jc w:val="center"/>
        </w:trPr>
        <w:tc>
          <w:tcPr>
            <w:tcW w:w="3236" w:type="dxa"/>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73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82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890"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284" w:hRule="atLeast"/>
          <w:jc w:val="center"/>
        </w:trPr>
        <w:tc>
          <w:tcPr>
            <w:tcW w:w="4789"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收入</w:t>
            </w:r>
          </w:p>
        </w:tc>
        <w:tc>
          <w:tcPr>
            <w:tcW w:w="4890" w:type="dxa"/>
            <w:gridSpan w:val="3"/>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支出</w:t>
            </w:r>
          </w:p>
        </w:tc>
      </w:tr>
      <w:tr>
        <w:tblPrEx>
          <w:tblCellMar>
            <w:top w:w="0" w:type="dxa"/>
            <w:left w:w="0" w:type="dxa"/>
            <w:bottom w:w="0" w:type="dxa"/>
            <w:right w:w="0" w:type="dxa"/>
          </w:tblCellMar>
        </w:tblPrEx>
        <w:trPr>
          <w:trHeight w:val="770"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2088.64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29</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tabs>
                <w:tab w:val="left" w:pos="436"/>
                <w:tab w:val="right" w:pos="1154"/>
              </w:tabs>
              <w:jc w:val="center"/>
              <w:textAlignment w:val="center"/>
              <w:rPr>
                <w:rFonts w:ascii="宋体" w:hAnsi="宋体" w:eastAsia="宋体" w:cs="宋体"/>
                <w:color w:val="000000"/>
                <w:sz w:val="22"/>
              </w:rPr>
            </w:pPr>
            <w:r>
              <w:rPr>
                <w:rFonts w:hint="eastAsia" w:ascii="宋体" w:hAnsi="宋体" w:eastAsia="宋体" w:cs="宋体"/>
                <w:color w:val="000000"/>
                <w:kern w:val="0"/>
                <w:sz w:val="22"/>
                <w:lang w:eastAsia="zh-CN"/>
              </w:rPr>
              <w:t>283.37</w:t>
            </w: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30</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182"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三、上级补助收入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31</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四、事业收入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32</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五、经营收入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33</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六、附属单位上缴收入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6</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34</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七、其他收入</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7</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七、文化旅游体育与传媒支出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35</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8</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八、社会保障和就业支出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36</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tabs>
                <w:tab w:val="left" w:pos="502"/>
                <w:tab w:val="right" w:pos="1316"/>
              </w:tabs>
              <w:jc w:val="center"/>
              <w:textAlignment w:val="center"/>
              <w:rPr>
                <w:rFonts w:ascii="宋体" w:hAnsi="宋体" w:eastAsia="宋体" w:cs="宋体"/>
                <w:color w:val="000000"/>
                <w:sz w:val="22"/>
              </w:rPr>
            </w:pPr>
            <w:r>
              <w:rPr>
                <w:rFonts w:hint="eastAsia" w:ascii="宋体" w:hAnsi="宋体" w:eastAsia="宋体" w:cs="宋体"/>
                <w:color w:val="000000"/>
                <w:kern w:val="0"/>
                <w:sz w:val="22"/>
                <w:lang w:eastAsia="zh-CN"/>
              </w:rPr>
              <w:t>167.47</w:t>
            </w: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9</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九、卫生健康支出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37</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5.31</w:t>
            </w: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10</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十、节能环保支出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38</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11</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十一、城乡社区支出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39</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12</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十二、农林水支出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40</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1621.94</w:t>
            </w: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13</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十三、交通运输支出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41</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14</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十四、资源勘探信息等支出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42</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15</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十五、商业服务业等支出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43</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16</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十六、金融支出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44</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17</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十七、援助其他地区支出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45</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18</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十八、自然资源海洋气象等支出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46</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19</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十九、住房保障支出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47</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10.55</w:t>
            </w: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20</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二十、粮油物资储备支出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48</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21</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二十一、灾害防治及应急管理支出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49</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22</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二十二、其他支出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50</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23</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二十四、债务付息支出</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51</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24</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2088.64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52</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2088.64</w:t>
            </w: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用事业基金弥补收支差额</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25</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结余分配</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53</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年初结转和结余</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26</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年末结转和结余</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54</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27</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55</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p>
        </w:tc>
      </w:tr>
      <w:tr>
        <w:tblPrEx>
          <w:tblCellMar>
            <w:top w:w="0" w:type="dxa"/>
            <w:left w:w="0" w:type="dxa"/>
            <w:bottom w:w="0" w:type="dxa"/>
            <w:right w:w="0" w:type="dxa"/>
          </w:tblCellMar>
        </w:tblPrEx>
        <w:trPr>
          <w:trHeight w:val="213" w:hRule="atLeast"/>
          <w:jc w:val="center"/>
        </w:trPr>
        <w:tc>
          <w:tcPr>
            <w:tcW w:w="323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73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28</w:t>
            </w:r>
          </w:p>
        </w:tc>
        <w:tc>
          <w:tcPr>
            <w:tcW w:w="82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ascii="宋体" w:hAnsi="宋体" w:eastAsia="宋体" w:cs="宋体"/>
                <w:color w:val="000000"/>
                <w:sz w:val="22"/>
              </w:rPr>
            </w:pPr>
            <w:r>
              <w:rPr>
                <w:rFonts w:hint="eastAsia" w:ascii="宋体" w:hAnsi="宋体" w:eastAsia="宋体" w:cs="宋体"/>
                <w:color w:val="000000"/>
                <w:kern w:val="0"/>
                <w:sz w:val="22"/>
              </w:rPr>
              <w:t>2088.64　</w:t>
            </w:r>
          </w:p>
        </w:tc>
        <w:tc>
          <w:tcPr>
            <w:tcW w:w="33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541"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56</w:t>
            </w:r>
          </w:p>
        </w:tc>
        <w:tc>
          <w:tcPr>
            <w:tcW w:w="1006"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2088.64</w:t>
            </w:r>
          </w:p>
        </w:tc>
      </w:tr>
      <w:tr>
        <w:tblPrEx>
          <w:tblCellMar>
            <w:top w:w="0" w:type="dxa"/>
            <w:left w:w="0" w:type="dxa"/>
            <w:bottom w:w="0" w:type="dxa"/>
            <w:right w:w="0" w:type="dxa"/>
          </w:tblCellMar>
        </w:tblPrEx>
        <w:trPr>
          <w:trHeight w:val="213" w:hRule="atLeast"/>
          <w:jc w:val="center"/>
        </w:trPr>
        <w:tc>
          <w:tcPr>
            <w:tcW w:w="9679" w:type="dxa"/>
            <w:gridSpan w:val="6"/>
            <w:tcBorders>
              <w:top w:val="nil"/>
              <w:left w:val="nil"/>
              <w:bottom w:val="nil"/>
              <w:right w:val="nil"/>
            </w:tcBorders>
            <w:noWrap/>
            <w:tcMar>
              <w:top w:w="15" w:type="dxa"/>
              <w:left w:w="15"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注：本表反映部门本年度的总收支和年末结转结余情况。</w:t>
            </w:r>
          </w:p>
        </w:tc>
      </w:tr>
    </w:tbl>
    <w:tbl>
      <w:tblPr>
        <w:tblStyle w:val="6"/>
        <w:tblpPr w:leftFromText="180" w:rightFromText="180" w:vertAnchor="text" w:horzAnchor="page" w:tblpX="1259" w:tblpY="199"/>
        <w:tblOverlap w:val="never"/>
        <w:tblW w:w="9679" w:type="dxa"/>
        <w:tblInd w:w="0" w:type="dxa"/>
        <w:tblLayout w:type="autofit"/>
        <w:tblCellMar>
          <w:top w:w="0" w:type="dxa"/>
          <w:left w:w="0" w:type="dxa"/>
          <w:bottom w:w="0" w:type="dxa"/>
          <w:right w:w="0" w:type="dxa"/>
        </w:tblCellMar>
      </w:tblPr>
      <w:tblGrid>
        <w:gridCol w:w="731"/>
        <w:gridCol w:w="42"/>
        <w:gridCol w:w="42"/>
        <w:gridCol w:w="4118"/>
        <w:gridCol w:w="1088"/>
        <w:gridCol w:w="1088"/>
        <w:gridCol w:w="514"/>
        <w:gridCol w:w="514"/>
        <w:gridCol w:w="514"/>
        <w:gridCol w:w="514"/>
        <w:gridCol w:w="514"/>
      </w:tblGrid>
      <w:tr>
        <w:tblPrEx>
          <w:tblCellMar>
            <w:top w:w="0" w:type="dxa"/>
            <w:left w:w="0" w:type="dxa"/>
            <w:bottom w:w="0" w:type="dxa"/>
            <w:right w:w="0" w:type="dxa"/>
          </w:tblCellMar>
        </w:tblPrEx>
        <w:trPr>
          <w:trHeight w:val="90" w:hRule="atLeast"/>
        </w:trPr>
        <w:tc>
          <w:tcPr>
            <w:tcW w:w="9679" w:type="dxa"/>
            <w:gridSpan w:val="11"/>
            <w:tcBorders>
              <w:top w:val="nil"/>
              <w:left w:val="nil"/>
              <w:bottom w:val="nil"/>
              <w:right w:val="nil"/>
            </w:tcBorders>
            <w:noWrap/>
            <w:tcMar>
              <w:top w:w="15" w:type="dxa"/>
              <w:left w:w="15" w:type="dxa"/>
              <w:right w:w="15" w:type="dxa"/>
            </w:tcMar>
            <w:vAlign w:val="bottom"/>
          </w:tcPr>
          <w:p>
            <w:pPr>
              <w:widowControl/>
              <w:jc w:val="center"/>
              <w:textAlignment w:val="bottom"/>
              <w:rPr>
                <w:rFonts w:ascii="黑体" w:hAnsi="宋体" w:eastAsia="黑体" w:cs="黑体"/>
                <w:color w:val="000000"/>
                <w:sz w:val="32"/>
                <w:szCs w:val="32"/>
              </w:rPr>
            </w:pPr>
            <w:r>
              <w:rPr>
                <w:rFonts w:hint="eastAsia" w:ascii="黑体" w:hAnsi="宋体" w:eastAsia="黑体" w:cs="黑体"/>
                <w:color w:val="000000"/>
                <w:kern w:val="0"/>
                <w:sz w:val="32"/>
                <w:szCs w:val="32"/>
              </w:rPr>
              <w:t>收入决算表</w:t>
            </w:r>
          </w:p>
        </w:tc>
      </w:tr>
      <w:tr>
        <w:tblPrEx>
          <w:tblCellMar>
            <w:top w:w="0" w:type="dxa"/>
            <w:left w:w="0" w:type="dxa"/>
            <w:bottom w:w="0" w:type="dxa"/>
            <w:right w:w="0" w:type="dxa"/>
          </w:tblCellMar>
        </w:tblPrEx>
        <w:trPr>
          <w:trHeight w:val="90" w:hRule="atLeast"/>
        </w:trPr>
        <w:tc>
          <w:tcPr>
            <w:tcW w:w="73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118"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088"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088"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51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51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51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028" w:type="dxa"/>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02</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357" w:hRule="atLeast"/>
        </w:trPr>
        <w:tc>
          <w:tcPr>
            <w:tcW w:w="731" w:type="dxa"/>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4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118"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088"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088"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51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51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542"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385" w:hRule="atLeast"/>
        </w:trPr>
        <w:tc>
          <w:tcPr>
            <w:tcW w:w="4933"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088"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本年收入合计</w:t>
            </w:r>
          </w:p>
        </w:tc>
        <w:tc>
          <w:tcPr>
            <w:tcW w:w="1088"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财政拨款收入</w:t>
            </w:r>
          </w:p>
        </w:tc>
        <w:tc>
          <w:tcPr>
            <w:tcW w:w="514"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上级补助收入</w:t>
            </w:r>
          </w:p>
        </w:tc>
        <w:tc>
          <w:tcPr>
            <w:tcW w:w="514"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事业收入</w:t>
            </w:r>
          </w:p>
        </w:tc>
        <w:tc>
          <w:tcPr>
            <w:tcW w:w="514"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经营收入</w:t>
            </w:r>
          </w:p>
        </w:tc>
        <w:tc>
          <w:tcPr>
            <w:tcW w:w="514"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附属单位上缴收入</w:t>
            </w:r>
          </w:p>
        </w:tc>
        <w:tc>
          <w:tcPr>
            <w:tcW w:w="514"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其他收入</w:t>
            </w:r>
          </w:p>
        </w:tc>
      </w:tr>
      <w:tr>
        <w:tblPrEx>
          <w:tblCellMar>
            <w:top w:w="0" w:type="dxa"/>
            <w:left w:w="0" w:type="dxa"/>
            <w:bottom w:w="0" w:type="dxa"/>
            <w:right w:w="0" w:type="dxa"/>
          </w:tblCellMar>
        </w:tblPrEx>
        <w:trPr>
          <w:trHeight w:val="380" w:hRule="atLeast"/>
        </w:trPr>
        <w:tc>
          <w:tcPr>
            <w:tcW w:w="815"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4118"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08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08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80" w:hRule="atLeast"/>
        </w:trPr>
        <w:tc>
          <w:tcPr>
            <w:tcW w:w="815"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4118"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108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08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2" w:hRule="atLeast"/>
        </w:trPr>
        <w:tc>
          <w:tcPr>
            <w:tcW w:w="815"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4118"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108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088"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14"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85" w:hRule="atLeast"/>
        </w:trPr>
        <w:tc>
          <w:tcPr>
            <w:tcW w:w="4933"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088"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1088"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514"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514"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c>
          <w:tcPr>
            <w:tcW w:w="514"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w:t>
            </w:r>
          </w:p>
        </w:tc>
        <w:tc>
          <w:tcPr>
            <w:tcW w:w="514"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6</w:t>
            </w:r>
          </w:p>
        </w:tc>
        <w:tc>
          <w:tcPr>
            <w:tcW w:w="514"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7</w:t>
            </w:r>
          </w:p>
        </w:tc>
      </w:tr>
      <w:tr>
        <w:tblPrEx>
          <w:tblCellMar>
            <w:top w:w="0" w:type="dxa"/>
            <w:left w:w="0" w:type="dxa"/>
            <w:bottom w:w="0" w:type="dxa"/>
            <w:right w:w="0" w:type="dxa"/>
          </w:tblCellMar>
        </w:tblPrEx>
        <w:trPr>
          <w:trHeight w:val="385" w:hRule="atLeast"/>
        </w:trPr>
        <w:tc>
          <w:tcPr>
            <w:tcW w:w="4933"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088"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b/>
                <w:color w:val="000000"/>
                <w:sz w:val="22"/>
                <w:lang w:val="en-US" w:eastAsia="zh-CN"/>
              </w:rPr>
            </w:pPr>
            <w:r>
              <w:rPr>
                <w:rFonts w:hint="eastAsia" w:ascii="宋体" w:hAnsi="宋体" w:eastAsia="宋体" w:cs="宋体"/>
                <w:b/>
                <w:color w:val="000000"/>
                <w:sz w:val="22"/>
                <w:lang w:val="en-US" w:eastAsia="zh-CN"/>
              </w:rPr>
              <w:t>2088.64</w:t>
            </w:r>
          </w:p>
        </w:tc>
        <w:tc>
          <w:tcPr>
            <w:tcW w:w="1088"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b/>
                <w:color w:val="000000"/>
                <w:sz w:val="22"/>
                <w:lang w:val="en-US" w:eastAsia="zh-CN"/>
              </w:rPr>
            </w:pPr>
            <w:r>
              <w:rPr>
                <w:rFonts w:hint="eastAsia" w:ascii="宋体" w:hAnsi="宋体" w:eastAsia="宋体" w:cs="宋体"/>
                <w:b/>
                <w:color w:val="000000"/>
                <w:sz w:val="22"/>
                <w:lang w:val="en-US" w:eastAsia="zh-CN"/>
              </w:rPr>
              <w:t>2088.64</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一般公共服务支出</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283.37</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283.37</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组织事务</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283.37</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283.37</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2013201</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行政运行</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105.71</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105.71</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2013202</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一般行政管理事务</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134.98</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134.98</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2013250</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事业运行</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42.69</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42.69</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社会保障和就业支出</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167.47</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167.47</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20805</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行政事业单位离退休</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21.78</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21.78</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2080504</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未归口管理的行政单位离退休</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4.03</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4.03</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2080505</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机关事业单位基本养老保险缴费支出</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17.75</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17.75</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20808</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抚恤</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2080899</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其他优抚支出</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210</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卫生健康支出</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21011</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行政事业单位医疗</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2101101</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行政单位医疗</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农林水支出</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1,621.94</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1,621.94</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21305</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扶贫</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2130599</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其他扶贫支出</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21307</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农村综合改革</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445.94</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445.94</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2130705</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对村民委员会和村党支部的补助</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195.94</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195.94</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2130706</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对村集体经济组织的补助</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250.00</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250.00</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221</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住房保障支出</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22102</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住房改革支出</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81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2210201</w:t>
            </w:r>
          </w:p>
        </w:tc>
        <w:tc>
          <w:tcPr>
            <w:tcW w:w="411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rPr>
              <w:t>住房公积金</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1088"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514"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85" w:hRule="atLeast"/>
        </w:trPr>
        <w:tc>
          <w:tcPr>
            <w:tcW w:w="9679" w:type="dxa"/>
            <w:gridSpan w:val="11"/>
            <w:tcBorders>
              <w:top w:val="nil"/>
              <w:left w:val="nil"/>
              <w:bottom w:val="nil"/>
              <w:right w:val="nil"/>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注：本表反映部门本年度取得的各项收入情况。</w:t>
            </w:r>
          </w:p>
        </w:tc>
      </w:tr>
    </w:tbl>
    <w:p>
      <w:pPr>
        <w:tabs>
          <w:tab w:val="left" w:pos="886"/>
        </w:tabs>
        <w:jc w:val="left"/>
      </w:pPr>
    </w:p>
    <w:p>
      <w:pPr>
        <w:tabs>
          <w:tab w:val="left" w:pos="886"/>
        </w:tabs>
        <w:jc w:val="left"/>
      </w:pPr>
    </w:p>
    <w:p>
      <w:pPr>
        <w:tabs>
          <w:tab w:val="left" w:pos="886"/>
        </w:tabs>
        <w:jc w:val="left"/>
        <w:rPr>
          <w:rFonts w:hint="default" w:eastAsia="等线"/>
          <w:lang w:val="en-US" w:eastAsia="zh-CN"/>
        </w:rPr>
      </w:pPr>
    </w:p>
    <w:tbl>
      <w:tblPr>
        <w:tblStyle w:val="6"/>
        <w:tblpPr w:leftFromText="180" w:rightFromText="180" w:vertAnchor="text" w:horzAnchor="page" w:tblpX="1214" w:tblpY="197"/>
        <w:tblOverlap w:val="never"/>
        <w:tblW w:w="9900" w:type="dxa"/>
        <w:tblInd w:w="0" w:type="dxa"/>
        <w:tblLayout w:type="fixed"/>
        <w:tblCellMar>
          <w:top w:w="0" w:type="dxa"/>
          <w:left w:w="0" w:type="dxa"/>
          <w:bottom w:w="0" w:type="dxa"/>
          <w:right w:w="0" w:type="dxa"/>
        </w:tblCellMar>
      </w:tblPr>
      <w:tblGrid>
        <w:gridCol w:w="941"/>
        <w:gridCol w:w="53"/>
        <w:gridCol w:w="111"/>
        <w:gridCol w:w="2045"/>
        <w:gridCol w:w="1080"/>
        <w:gridCol w:w="776"/>
        <w:gridCol w:w="1161"/>
        <w:gridCol w:w="1161"/>
        <w:gridCol w:w="1161"/>
        <w:gridCol w:w="1411"/>
      </w:tblGrid>
      <w:tr>
        <w:tblPrEx>
          <w:tblCellMar>
            <w:top w:w="0" w:type="dxa"/>
            <w:left w:w="0" w:type="dxa"/>
            <w:bottom w:w="0" w:type="dxa"/>
            <w:right w:w="0" w:type="dxa"/>
          </w:tblCellMar>
        </w:tblPrEx>
        <w:trPr>
          <w:trHeight w:val="612" w:hRule="atLeast"/>
        </w:trPr>
        <w:tc>
          <w:tcPr>
            <w:tcW w:w="9900" w:type="dxa"/>
            <w:gridSpan w:val="10"/>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支出决算表</w:t>
            </w:r>
          </w:p>
        </w:tc>
      </w:tr>
      <w:tr>
        <w:tblPrEx>
          <w:tblCellMar>
            <w:top w:w="0" w:type="dxa"/>
            <w:left w:w="0" w:type="dxa"/>
            <w:bottom w:w="0" w:type="dxa"/>
            <w:right w:w="0" w:type="dxa"/>
          </w:tblCellMar>
        </w:tblPrEx>
        <w:trPr>
          <w:trHeight w:val="313" w:hRule="atLeast"/>
        </w:trPr>
        <w:tc>
          <w:tcPr>
            <w:tcW w:w="94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53"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1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04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080"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776"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16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16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16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411" w:type="dxa"/>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03</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313" w:hRule="atLeast"/>
        </w:trPr>
        <w:tc>
          <w:tcPr>
            <w:tcW w:w="941" w:type="dxa"/>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53"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1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04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080"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776"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16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161"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572" w:type="dxa"/>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323" w:hRule="atLeast"/>
        </w:trPr>
        <w:tc>
          <w:tcPr>
            <w:tcW w:w="3150" w:type="dxa"/>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08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本年支出合计</w:t>
            </w:r>
          </w:p>
        </w:tc>
        <w:tc>
          <w:tcPr>
            <w:tcW w:w="776"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161"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1161"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上缴上级支出</w:t>
            </w:r>
          </w:p>
        </w:tc>
        <w:tc>
          <w:tcPr>
            <w:tcW w:w="1161"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经营支出</w:t>
            </w:r>
          </w:p>
        </w:tc>
        <w:tc>
          <w:tcPr>
            <w:tcW w:w="1411"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对附属单位补助支出</w:t>
            </w:r>
          </w:p>
        </w:tc>
      </w:tr>
      <w:tr>
        <w:tblPrEx>
          <w:tblCellMar>
            <w:top w:w="0" w:type="dxa"/>
            <w:left w:w="0" w:type="dxa"/>
            <w:bottom w:w="0" w:type="dxa"/>
            <w:right w:w="0" w:type="dxa"/>
          </w:tblCellMar>
        </w:tblPrEx>
        <w:trPr>
          <w:trHeight w:val="319" w:hRule="atLeast"/>
        </w:trPr>
        <w:tc>
          <w:tcPr>
            <w:tcW w:w="1105"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2045"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08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7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9" w:hRule="atLeast"/>
        </w:trPr>
        <w:tc>
          <w:tcPr>
            <w:tcW w:w="1105"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2045"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108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7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9" w:hRule="atLeast"/>
        </w:trPr>
        <w:tc>
          <w:tcPr>
            <w:tcW w:w="1105"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2045"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108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76"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6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411"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3150"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080"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776"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1161"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1161"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c>
          <w:tcPr>
            <w:tcW w:w="1161"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w:t>
            </w:r>
          </w:p>
        </w:tc>
        <w:tc>
          <w:tcPr>
            <w:tcW w:w="1411"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6</w:t>
            </w:r>
          </w:p>
        </w:tc>
      </w:tr>
      <w:tr>
        <w:tblPrEx>
          <w:tblCellMar>
            <w:top w:w="0" w:type="dxa"/>
            <w:left w:w="0" w:type="dxa"/>
            <w:bottom w:w="0" w:type="dxa"/>
            <w:right w:w="0" w:type="dxa"/>
          </w:tblCellMar>
        </w:tblPrEx>
        <w:trPr>
          <w:trHeight w:val="323" w:hRule="atLeast"/>
        </w:trPr>
        <w:tc>
          <w:tcPr>
            <w:tcW w:w="3150" w:type="dxa"/>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080"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b/>
                <w:color w:val="000000"/>
                <w:sz w:val="22"/>
                <w:lang w:val="en-US" w:eastAsia="zh-CN"/>
              </w:rPr>
            </w:pPr>
            <w:r>
              <w:rPr>
                <w:rFonts w:hint="eastAsia" w:ascii="宋体" w:hAnsi="宋体" w:eastAsia="宋体" w:cs="宋体"/>
                <w:b/>
                <w:color w:val="000000"/>
                <w:sz w:val="22"/>
                <w:lang w:val="en-US" w:eastAsia="zh-CN"/>
              </w:rPr>
              <w:t>2088.64</w:t>
            </w:r>
          </w:p>
        </w:tc>
        <w:tc>
          <w:tcPr>
            <w:tcW w:w="776"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b/>
                <w:color w:val="000000"/>
                <w:sz w:val="22"/>
                <w:lang w:val="en-US" w:eastAsia="zh-CN"/>
              </w:rPr>
            </w:pPr>
            <w:r>
              <w:rPr>
                <w:rFonts w:hint="eastAsia" w:ascii="宋体" w:hAnsi="宋体" w:eastAsia="宋体" w:cs="宋体"/>
                <w:b/>
                <w:color w:val="000000"/>
                <w:sz w:val="22"/>
                <w:lang w:val="en-US" w:eastAsia="zh-CN"/>
              </w:rPr>
              <w:t>186.03</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b/>
                <w:color w:val="000000"/>
                <w:sz w:val="22"/>
                <w:lang w:val="en-US" w:eastAsia="zh-CN"/>
              </w:rPr>
            </w:pPr>
            <w:r>
              <w:rPr>
                <w:rFonts w:hint="eastAsia" w:ascii="宋体" w:hAnsi="宋体" w:eastAsia="宋体" w:cs="宋体"/>
                <w:b/>
                <w:color w:val="000000"/>
                <w:sz w:val="22"/>
                <w:lang w:val="en-US" w:eastAsia="zh-CN"/>
              </w:rPr>
              <w:t>1902.61</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r>
      <w:tr>
        <w:tblPrEx>
          <w:tblCellMar>
            <w:top w:w="0" w:type="dxa"/>
            <w:left w:w="0" w:type="dxa"/>
            <w:bottom w:w="0" w:type="dxa"/>
            <w:right w:w="0" w:type="dxa"/>
          </w:tblCellMar>
        </w:tblPrEx>
        <w:trPr>
          <w:trHeight w:val="264"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一般公共服务支出</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283.37</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148.40</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134.98</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组织事务</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283.37</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148.40</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134.98</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2013201</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行政运行</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105.71</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105.71</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2013202</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一般行政管理事务</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134.98</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134.98</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2013250</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事业运行</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42.69</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42.69</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社会保障和就业支出</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167.47</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21.78</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20805</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行政事业单位离退休</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21.78</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21.78</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2080504</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未归口管理的行政单位离退休</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4.03</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4.03</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2080505</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机关事业单位基本养老保险缴费支出</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17.75</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17.75</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20808</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抚恤</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2080899</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其他优抚支出</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210</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卫生健康支出</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21011</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行政事业单位医疗</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2101101</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行政单位医疗</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农林水支出</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1,621.94</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1,621.94</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21305</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扶贫</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2130599</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其他扶贫支出</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21307</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农村综合改革</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445.94</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445.94</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2130705</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对村民委员会和村党支部的补助</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195.94</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195.94</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2130706</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对村集体经济组织的补助</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250.00</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250.00</w:t>
            </w: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221</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住房保障支出</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22102</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住房改革支出</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1105" w:type="dxa"/>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2210201</w:t>
            </w:r>
          </w:p>
        </w:tc>
        <w:tc>
          <w:tcPr>
            <w:tcW w:w="2045"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住房公积金</w:t>
            </w:r>
          </w:p>
        </w:tc>
        <w:tc>
          <w:tcPr>
            <w:tcW w:w="1080"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776"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1161" w:type="dxa"/>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16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1411"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23" w:hRule="atLeast"/>
        </w:trPr>
        <w:tc>
          <w:tcPr>
            <w:tcW w:w="9900" w:type="dxa"/>
            <w:gridSpan w:val="10"/>
            <w:tcBorders>
              <w:top w:val="nil"/>
              <w:left w:val="nil"/>
              <w:bottom w:val="nil"/>
              <w:right w:val="nil"/>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注：本表反映部门本年度各项支出情况。</w:t>
            </w:r>
          </w:p>
        </w:tc>
      </w:tr>
    </w:tbl>
    <w:tbl>
      <w:tblPr>
        <w:tblStyle w:val="6"/>
        <w:tblpPr w:leftFromText="180" w:rightFromText="180" w:vertAnchor="text" w:horzAnchor="page" w:tblpX="1334" w:tblpY="291"/>
        <w:tblOverlap w:val="never"/>
        <w:tblW w:w="9520" w:type="dxa"/>
        <w:tblInd w:w="0" w:type="dxa"/>
        <w:tblLayout w:type="fixed"/>
        <w:tblCellMar>
          <w:top w:w="0" w:type="dxa"/>
          <w:left w:w="0" w:type="dxa"/>
          <w:bottom w:w="0" w:type="dxa"/>
          <w:right w:w="0" w:type="dxa"/>
        </w:tblCellMar>
      </w:tblPr>
      <w:tblGrid>
        <w:gridCol w:w="2922"/>
        <w:gridCol w:w="425"/>
        <w:gridCol w:w="843"/>
        <w:gridCol w:w="2640"/>
        <w:gridCol w:w="632"/>
        <w:gridCol w:w="688"/>
        <w:gridCol w:w="675"/>
        <w:gridCol w:w="695"/>
      </w:tblGrid>
      <w:tr>
        <w:tblPrEx>
          <w:tblCellMar>
            <w:top w:w="0" w:type="dxa"/>
            <w:left w:w="0" w:type="dxa"/>
            <w:bottom w:w="0" w:type="dxa"/>
            <w:right w:w="0" w:type="dxa"/>
          </w:tblCellMar>
        </w:tblPrEx>
        <w:trPr>
          <w:trHeight w:val="579" w:hRule="atLeast"/>
        </w:trPr>
        <w:tc>
          <w:tcPr>
            <w:tcW w:w="9520" w:type="dxa"/>
            <w:gridSpan w:val="8"/>
            <w:tcBorders>
              <w:top w:val="nil"/>
              <w:left w:val="nil"/>
              <w:bottom w:val="nil"/>
              <w:right w:val="nil"/>
            </w:tcBorders>
            <w:noWrap/>
            <w:tcMar>
              <w:top w:w="15" w:type="dxa"/>
              <w:left w:w="15" w:type="dxa"/>
              <w:right w:w="15" w:type="dxa"/>
            </w:tcMar>
            <w:vAlign w:val="bottom"/>
          </w:tcPr>
          <w:p>
            <w:pPr>
              <w:jc w:val="center"/>
              <w:rPr>
                <w:rFonts w:ascii="黑体" w:hAnsi="宋体" w:eastAsia="黑体" w:cs="黑体"/>
                <w:color w:val="000000"/>
                <w:sz w:val="32"/>
                <w:szCs w:val="32"/>
              </w:rPr>
            </w:pPr>
            <w:r>
              <w:rPr>
                <w:rFonts w:hint="eastAsia" w:ascii="黑体" w:hAnsi="宋体" w:eastAsia="黑体" w:cs="黑体"/>
                <w:color w:val="000000"/>
                <w:kern w:val="0"/>
                <w:sz w:val="32"/>
                <w:szCs w:val="32"/>
              </w:rPr>
              <w:t>财政拨款收入支出决算总表</w:t>
            </w:r>
          </w:p>
        </w:tc>
      </w:tr>
      <w:tr>
        <w:tblPrEx>
          <w:tblCellMar>
            <w:top w:w="0" w:type="dxa"/>
            <w:left w:w="0" w:type="dxa"/>
            <w:bottom w:w="0" w:type="dxa"/>
            <w:right w:w="0" w:type="dxa"/>
          </w:tblCellMar>
        </w:tblPrEx>
        <w:trPr>
          <w:trHeight w:val="90" w:hRule="atLeast"/>
        </w:trPr>
        <w:tc>
          <w:tcPr>
            <w:tcW w:w="292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42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843"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640"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63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058"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04</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222" w:hRule="atLeast"/>
        </w:trPr>
        <w:tc>
          <w:tcPr>
            <w:tcW w:w="2922" w:type="dxa"/>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42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843"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640"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632"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058" w:type="dxa"/>
            <w:gridSpan w:val="3"/>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90" w:hRule="atLeast"/>
        </w:trPr>
        <w:tc>
          <w:tcPr>
            <w:tcW w:w="4190"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收</w:t>
            </w:r>
            <w:r>
              <w:rPr>
                <w:rFonts w:ascii="宋体" w:hAnsi="宋体" w:eastAsia="宋体" w:cs="宋体"/>
                <w:color w:val="000000"/>
                <w:kern w:val="0"/>
                <w:sz w:val="22"/>
              </w:rPr>
              <w:t xml:space="preserve">     </w:t>
            </w:r>
            <w:r>
              <w:rPr>
                <w:rFonts w:hint="eastAsia" w:ascii="宋体" w:hAnsi="宋体" w:eastAsia="宋体" w:cs="宋体"/>
                <w:color w:val="000000"/>
                <w:kern w:val="0"/>
                <w:sz w:val="22"/>
              </w:rPr>
              <w:t>入</w:t>
            </w:r>
          </w:p>
        </w:tc>
        <w:tc>
          <w:tcPr>
            <w:tcW w:w="5330" w:type="dxa"/>
            <w:gridSpan w:val="5"/>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支</w:t>
            </w:r>
            <w:r>
              <w:rPr>
                <w:rFonts w:ascii="宋体" w:hAnsi="宋体" w:eastAsia="宋体" w:cs="宋体"/>
                <w:color w:val="000000"/>
                <w:kern w:val="0"/>
                <w:sz w:val="22"/>
              </w:rPr>
              <w:t xml:space="preserve">     </w:t>
            </w:r>
            <w:r>
              <w:rPr>
                <w:rFonts w:hint="eastAsia" w:ascii="宋体" w:hAnsi="宋体" w:eastAsia="宋体" w:cs="宋体"/>
                <w:color w:val="000000"/>
                <w:kern w:val="0"/>
                <w:sz w:val="22"/>
              </w:rPr>
              <w:t>出</w:t>
            </w:r>
          </w:p>
        </w:tc>
      </w:tr>
      <w:tr>
        <w:tblPrEx>
          <w:tblCellMar>
            <w:top w:w="0" w:type="dxa"/>
            <w:left w:w="0" w:type="dxa"/>
            <w:bottom w:w="0" w:type="dxa"/>
            <w:right w:w="0" w:type="dxa"/>
          </w:tblCellMar>
        </w:tblPrEx>
        <w:trPr>
          <w:trHeight w:val="312" w:hRule="atLeast"/>
        </w:trPr>
        <w:tc>
          <w:tcPr>
            <w:tcW w:w="2922"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425"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843"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金额</w:t>
            </w:r>
          </w:p>
        </w:tc>
        <w:tc>
          <w:tcPr>
            <w:tcW w:w="264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632"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行次</w:t>
            </w:r>
          </w:p>
        </w:tc>
        <w:tc>
          <w:tcPr>
            <w:tcW w:w="688" w:type="dxa"/>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675"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一般公共预算财政拨款</w:t>
            </w:r>
          </w:p>
        </w:tc>
        <w:tc>
          <w:tcPr>
            <w:tcW w:w="695"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rPr>
              <w:t>政府性基金预算财政拨款</w:t>
            </w:r>
          </w:p>
        </w:tc>
      </w:tr>
      <w:tr>
        <w:tblPrEx>
          <w:tblCellMar>
            <w:top w:w="0" w:type="dxa"/>
            <w:left w:w="0" w:type="dxa"/>
            <w:bottom w:w="0" w:type="dxa"/>
            <w:right w:w="0" w:type="dxa"/>
          </w:tblCellMar>
        </w:tblPrEx>
        <w:trPr>
          <w:trHeight w:val="746" w:hRule="atLeast"/>
        </w:trPr>
        <w:tc>
          <w:tcPr>
            <w:tcW w:w="2922"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425"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843"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264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632"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688" w:type="dxa"/>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675"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695"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90" w:hRule="atLeas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栏次</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0"/>
                <w:szCs w:val="20"/>
              </w:rPr>
              <w:t>2088.64</w:t>
            </w: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30</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r>
              <w:rPr>
                <w:rFonts w:hint="eastAsia" w:ascii="宋体" w:hAnsi="宋体" w:eastAsia="宋体" w:cs="宋体"/>
                <w:color w:val="000000"/>
                <w:sz w:val="20"/>
                <w:szCs w:val="20"/>
              </w:rPr>
              <w:t>283.37</w:t>
            </w: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r>
              <w:rPr>
                <w:rFonts w:hint="eastAsia" w:ascii="宋体" w:hAnsi="宋体" w:eastAsia="宋体" w:cs="宋体"/>
                <w:color w:val="000000"/>
                <w:sz w:val="20"/>
                <w:szCs w:val="20"/>
              </w:rPr>
              <w:t>283.37</w:t>
            </w: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31</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32</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33</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34</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6</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35</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7</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18"/>
                <w:szCs w:val="18"/>
              </w:rPr>
              <w:t>七、文化旅游体育与传媒支出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36</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8</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八、社会保障和就业支出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37</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r>
              <w:rPr>
                <w:rFonts w:hint="eastAsia" w:ascii="宋体" w:hAnsi="宋体" w:eastAsia="宋体" w:cs="宋体"/>
                <w:color w:val="000000"/>
                <w:sz w:val="20"/>
                <w:szCs w:val="20"/>
              </w:rPr>
              <w:t>167.47</w:t>
            </w: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r>
              <w:rPr>
                <w:rFonts w:hint="eastAsia" w:ascii="宋体" w:hAnsi="宋体" w:eastAsia="宋体" w:cs="宋体"/>
                <w:color w:val="000000"/>
                <w:sz w:val="20"/>
                <w:szCs w:val="20"/>
              </w:rPr>
              <w:t>167.47</w:t>
            </w: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9</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九、卫生健康支出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38</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r>
              <w:rPr>
                <w:rFonts w:hint="eastAsia" w:ascii="宋体" w:hAnsi="宋体" w:eastAsia="宋体" w:cs="宋体"/>
                <w:color w:val="000000"/>
                <w:sz w:val="20"/>
                <w:szCs w:val="20"/>
              </w:rPr>
              <w:t>5.31</w:t>
            </w: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r>
              <w:rPr>
                <w:rFonts w:hint="eastAsia" w:ascii="宋体" w:hAnsi="宋体" w:eastAsia="宋体" w:cs="宋体"/>
                <w:color w:val="000000"/>
                <w:sz w:val="20"/>
                <w:szCs w:val="20"/>
              </w:rPr>
              <w:t>5.31</w:t>
            </w: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10</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十、节能环保支出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39</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11</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十一、城乡社区支出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40</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12</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十二、农林水支出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41</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18"/>
                <w:szCs w:val="18"/>
              </w:rPr>
            </w:pPr>
            <w:r>
              <w:rPr>
                <w:rFonts w:hint="eastAsia" w:ascii="宋体" w:hAnsi="宋体" w:eastAsia="宋体" w:cs="宋体"/>
                <w:color w:val="000000"/>
                <w:sz w:val="18"/>
                <w:szCs w:val="18"/>
              </w:rPr>
              <w:t>1621.94</w:t>
            </w: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18"/>
                <w:szCs w:val="18"/>
              </w:rPr>
            </w:pPr>
            <w:r>
              <w:rPr>
                <w:rFonts w:hint="eastAsia" w:ascii="宋体" w:hAnsi="宋体" w:eastAsia="宋体" w:cs="宋体"/>
                <w:color w:val="000000"/>
                <w:sz w:val="18"/>
                <w:szCs w:val="18"/>
              </w:rPr>
              <w:t>1621.94</w:t>
            </w: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13</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十三、交通运输支出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42</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14</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十四、资源勘探信息等支出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43</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15</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十五、商业服务业等支出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44</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16</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十六、金融支出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45</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17</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十七、援助其他地区支出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46</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18</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18"/>
                <w:szCs w:val="18"/>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十八、自然资源海洋气象等支出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47</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19</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十九、住房保障支出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48</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r>
              <w:rPr>
                <w:rFonts w:hint="eastAsia" w:ascii="宋体" w:hAnsi="宋体" w:eastAsia="宋体" w:cs="宋体"/>
                <w:color w:val="000000"/>
                <w:sz w:val="20"/>
                <w:szCs w:val="20"/>
              </w:rPr>
              <w:t>10.55</w:t>
            </w: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r>
              <w:rPr>
                <w:rFonts w:hint="eastAsia" w:ascii="宋体" w:hAnsi="宋体" w:eastAsia="宋体" w:cs="宋体"/>
                <w:color w:val="000000"/>
                <w:sz w:val="20"/>
                <w:szCs w:val="20"/>
              </w:rPr>
              <w:t>10.55</w:t>
            </w: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20"/>
                <w:szCs w:val="20"/>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20</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二十、粮油物资储备支出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49</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21</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Cs w:val="21"/>
              </w:rPr>
            </w:pPr>
            <w:r>
              <w:rPr>
                <w:rFonts w:hint="eastAsia" w:ascii="宋体" w:hAnsi="宋体" w:eastAsia="宋体" w:cs="宋体"/>
                <w:color w:val="000000"/>
                <w:kern w:val="0"/>
                <w:sz w:val="18"/>
                <w:szCs w:val="18"/>
              </w:rPr>
              <w:t>二十一、灾害防治及应急管理支出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50</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22</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二十二、其他支出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51</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23</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二十四、债务付息支出</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52</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24</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0"/>
                <w:szCs w:val="20"/>
              </w:rPr>
              <w:t>2088.6</w:t>
            </w:r>
            <w:r>
              <w:rPr>
                <w:rFonts w:hint="eastAsia" w:ascii="宋体" w:hAnsi="宋体" w:eastAsia="宋体" w:cs="宋体"/>
                <w:color w:val="000000"/>
                <w:sz w:val="22"/>
              </w:rPr>
              <w:t>4</w:t>
            </w: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53</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18"/>
                <w:szCs w:val="18"/>
              </w:rPr>
            </w:pPr>
            <w:r>
              <w:rPr>
                <w:rFonts w:hint="eastAsia" w:ascii="宋体" w:hAnsi="宋体" w:eastAsia="宋体" w:cs="宋体"/>
                <w:color w:val="000000"/>
                <w:sz w:val="18"/>
                <w:szCs w:val="18"/>
              </w:rPr>
              <w:t>2088.64</w:t>
            </w: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18"/>
                <w:szCs w:val="18"/>
              </w:rPr>
            </w:pPr>
            <w:r>
              <w:rPr>
                <w:rFonts w:hint="eastAsia" w:ascii="宋体" w:hAnsi="宋体" w:eastAsia="宋体" w:cs="宋体"/>
                <w:color w:val="000000"/>
                <w:sz w:val="18"/>
                <w:szCs w:val="18"/>
              </w:rPr>
              <w:t>2088.64</w:t>
            </w: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年初财政拨款结转和结余</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25</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年末财政拨款结转和结余</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54</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26</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55</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27</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56</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cantSplit/>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28</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57</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283" w:hRule="exact"/>
        </w:trPr>
        <w:tc>
          <w:tcPr>
            <w:tcW w:w="2922"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425"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29</w:t>
            </w:r>
          </w:p>
        </w:tc>
        <w:tc>
          <w:tcPr>
            <w:tcW w:w="843"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r>
              <w:rPr>
                <w:rFonts w:hint="eastAsia" w:ascii="宋体" w:hAnsi="宋体" w:eastAsia="宋体" w:cs="宋体"/>
                <w:color w:val="000000"/>
                <w:sz w:val="20"/>
                <w:szCs w:val="20"/>
              </w:rPr>
              <w:t>2088.6</w:t>
            </w:r>
            <w:r>
              <w:rPr>
                <w:rFonts w:hint="eastAsia" w:ascii="宋体" w:hAnsi="宋体" w:eastAsia="宋体" w:cs="宋体"/>
                <w:color w:val="000000"/>
                <w:sz w:val="22"/>
              </w:rPr>
              <w:t>4</w:t>
            </w:r>
          </w:p>
        </w:tc>
        <w:tc>
          <w:tcPr>
            <w:tcW w:w="2640"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632" w:type="dxa"/>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58</w:t>
            </w:r>
          </w:p>
        </w:tc>
        <w:tc>
          <w:tcPr>
            <w:tcW w:w="688"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18"/>
                <w:szCs w:val="18"/>
              </w:rPr>
            </w:pPr>
            <w:r>
              <w:rPr>
                <w:rFonts w:hint="eastAsia" w:ascii="宋体" w:hAnsi="宋体" w:eastAsia="宋体" w:cs="宋体"/>
                <w:color w:val="000000"/>
                <w:sz w:val="18"/>
                <w:szCs w:val="18"/>
              </w:rPr>
              <w:t>2088.64</w:t>
            </w:r>
          </w:p>
        </w:tc>
        <w:tc>
          <w:tcPr>
            <w:tcW w:w="67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eastAsia="宋体" w:cs="宋体"/>
                <w:color w:val="000000"/>
                <w:sz w:val="18"/>
                <w:szCs w:val="18"/>
              </w:rPr>
            </w:pPr>
            <w:r>
              <w:rPr>
                <w:rFonts w:hint="eastAsia" w:ascii="宋体" w:hAnsi="宋体" w:eastAsia="宋体" w:cs="宋体"/>
                <w:color w:val="000000"/>
                <w:sz w:val="18"/>
                <w:szCs w:val="18"/>
              </w:rPr>
              <w:t>2088.64</w:t>
            </w:r>
          </w:p>
        </w:tc>
        <w:tc>
          <w:tcPr>
            <w:tcW w:w="695" w:type="dxa"/>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90" w:hRule="atLeast"/>
        </w:trPr>
        <w:tc>
          <w:tcPr>
            <w:tcW w:w="9520" w:type="dxa"/>
            <w:gridSpan w:val="8"/>
            <w:tcBorders>
              <w:top w:val="nil"/>
              <w:left w:val="nil"/>
              <w:bottom w:val="nil"/>
              <w:right w:val="nil"/>
            </w:tcBorders>
            <w:noWrap/>
            <w:tcMar>
              <w:top w:w="15" w:type="dxa"/>
              <w:left w:w="15" w:type="dxa"/>
              <w:right w:w="15" w:type="dxa"/>
            </w:tcMar>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注：本表反映部门本年度一般公共预算财政拨款和政府性基金预算财政拨款的总收支和年末结转结余情况。</w:t>
            </w:r>
          </w:p>
        </w:tc>
      </w:tr>
    </w:tbl>
    <w:p/>
    <w:p/>
    <w:tbl>
      <w:tblPr>
        <w:tblStyle w:val="6"/>
        <w:tblW w:w="10088" w:type="dxa"/>
        <w:jc w:val="center"/>
        <w:tblLayout w:type="autofit"/>
        <w:tblCellMar>
          <w:top w:w="0" w:type="dxa"/>
          <w:left w:w="0" w:type="dxa"/>
          <w:bottom w:w="0" w:type="dxa"/>
          <w:right w:w="0" w:type="dxa"/>
        </w:tblCellMar>
      </w:tblPr>
      <w:tblGrid>
        <w:gridCol w:w="857"/>
        <w:gridCol w:w="49"/>
        <w:gridCol w:w="49"/>
        <w:gridCol w:w="3306"/>
        <w:gridCol w:w="2023"/>
        <w:gridCol w:w="1781"/>
        <w:gridCol w:w="2023"/>
      </w:tblGrid>
      <w:tr>
        <w:tblPrEx>
          <w:tblCellMar>
            <w:top w:w="0" w:type="dxa"/>
            <w:left w:w="0" w:type="dxa"/>
            <w:bottom w:w="0" w:type="dxa"/>
            <w:right w:w="0" w:type="dxa"/>
          </w:tblCellMar>
        </w:tblPrEx>
        <w:trPr>
          <w:trHeight w:val="600" w:hRule="atLeast"/>
          <w:jc w:val="center"/>
        </w:trPr>
        <w:tc>
          <w:tcPr>
            <w:tcW w:w="10088" w:type="dxa"/>
            <w:gridSpan w:val="7"/>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一般公共预算财政拨款支出决算表</w:t>
            </w:r>
          </w:p>
        </w:tc>
      </w:tr>
      <w:tr>
        <w:tblPrEx>
          <w:tblCellMar>
            <w:top w:w="0" w:type="dxa"/>
            <w:left w:w="0" w:type="dxa"/>
            <w:bottom w:w="0" w:type="dxa"/>
            <w:right w:w="0" w:type="dxa"/>
          </w:tblCellMar>
        </w:tblPrEx>
        <w:trPr>
          <w:trHeight w:val="255" w:hRule="atLeast"/>
          <w:jc w:val="center"/>
        </w:trPr>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05</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255" w:hRule="atLeast"/>
          <w:jc w:val="center"/>
        </w:trPr>
        <w:tc>
          <w:tcPr>
            <w:tcW w:w="0" w:type="auto"/>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308" w:hRule="atLeast"/>
          <w:jc w:val="center"/>
        </w:trPr>
        <w:tc>
          <w:tcPr>
            <w:tcW w:w="0" w:type="auto"/>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6048"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r>
      <w:tr>
        <w:tblPrEx>
          <w:tblCellMar>
            <w:top w:w="0" w:type="dxa"/>
            <w:left w:w="0" w:type="dxa"/>
            <w:bottom w:w="0" w:type="dxa"/>
            <w:right w:w="0" w:type="dxa"/>
          </w:tblCellMar>
        </w:tblPrEx>
        <w:trPr>
          <w:trHeight w:val="312" w:hRule="atLeast"/>
          <w:jc w:val="center"/>
        </w:trPr>
        <w:tc>
          <w:tcPr>
            <w:tcW w:w="905"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0" w:type="auto"/>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2063"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921"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2064"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r>
      <w:tr>
        <w:tblPrEx>
          <w:tblCellMar>
            <w:top w:w="0" w:type="dxa"/>
            <w:left w:w="0" w:type="dxa"/>
            <w:bottom w:w="0" w:type="dxa"/>
            <w:right w:w="0" w:type="dxa"/>
          </w:tblCellMar>
        </w:tblPrEx>
        <w:trPr>
          <w:trHeight w:val="312" w:hRule="atLeast"/>
          <w:jc w:val="center"/>
        </w:trPr>
        <w:tc>
          <w:tcPr>
            <w:tcW w:w="905"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0" w:type="auto"/>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2063"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921"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2064"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2" w:hRule="atLeast"/>
          <w:jc w:val="center"/>
        </w:trPr>
        <w:tc>
          <w:tcPr>
            <w:tcW w:w="905"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0" w:type="auto"/>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2063"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921"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2064"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r>
      <w:tr>
        <w:tblPrEx>
          <w:tblCellMar>
            <w:top w:w="0" w:type="dxa"/>
            <w:left w:w="0" w:type="dxa"/>
            <w:bottom w:w="0" w:type="dxa"/>
            <w:right w:w="0"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b/>
                <w:color w:val="000000"/>
                <w:sz w:val="22"/>
                <w:lang w:val="en-US" w:eastAsia="zh-CN"/>
              </w:rPr>
            </w:pPr>
            <w:r>
              <w:rPr>
                <w:rFonts w:hint="eastAsia" w:ascii="宋体" w:hAnsi="宋体" w:eastAsia="宋体" w:cs="宋体"/>
                <w:b/>
                <w:color w:val="000000"/>
                <w:sz w:val="22"/>
                <w:lang w:val="en-US" w:eastAsia="zh-CN"/>
              </w:rPr>
              <w:t>2088.64</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b/>
                <w:color w:val="000000"/>
                <w:sz w:val="22"/>
                <w:lang w:val="en-US" w:eastAsia="zh-CN"/>
              </w:rPr>
            </w:pPr>
            <w:r>
              <w:rPr>
                <w:rFonts w:hint="eastAsia" w:ascii="宋体" w:hAnsi="宋体" w:eastAsia="宋体" w:cs="宋体"/>
                <w:b/>
                <w:color w:val="000000"/>
                <w:sz w:val="22"/>
                <w:lang w:val="en-US" w:eastAsia="zh-CN"/>
              </w:rPr>
              <w:t>186.03</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b/>
                <w:color w:val="000000"/>
                <w:sz w:val="22"/>
                <w:lang w:val="en-US" w:eastAsia="zh-CN"/>
              </w:rPr>
            </w:pPr>
            <w:r>
              <w:rPr>
                <w:rFonts w:hint="eastAsia" w:ascii="宋体" w:hAnsi="宋体" w:eastAsia="宋体" w:cs="宋体"/>
                <w:b/>
                <w:color w:val="000000"/>
                <w:sz w:val="22"/>
                <w:lang w:val="en-US" w:eastAsia="zh-CN"/>
              </w:rPr>
              <w:t>1902.61</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一般公共服务支出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283.37</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148.40</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134.98</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组织事务</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283.37</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148.40</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134.98</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2013201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行政运行</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105.71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105.71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2013202</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一般行政管理事务</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134.98</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134.98</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2013250</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事业运行</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42.69</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42.69</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社会保障和就业支出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167.47</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21.78</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行政事业单位离退休</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21.78</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21.78</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2080504</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未归口管理的行政单位离退休</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4.03</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4.03</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2080505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机关事业单位基本养老保险缴费支出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17.75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17.75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20808</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抚恤</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2080899</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其他优抚支出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145.69</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210</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卫生健康支出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21011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行政事业单位医疗</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2101101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行政单位医疗</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5.31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农林水支出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1,621.94</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1,621.94</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扶贫</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2130599</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其他扶贫支出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1,176.00</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21307</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农村综合改革</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445.94</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445.94</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2130705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对村民委员会和村党支部的补助</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195.94</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195.94</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2130706</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对村集体经济组织的补助</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250.00</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250.00</w:t>
            </w: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221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住房保障支出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22102</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住房改革支出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top"/>
          </w:tcPr>
          <w:p>
            <w:pPr>
              <w:spacing w:beforeLines="0" w:afterLines="0"/>
              <w:jc w:val="left"/>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2210201</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both"/>
              <w:rPr>
                <w:rFonts w:hint="eastAsia" w:ascii="宋体" w:hAnsi="宋体" w:eastAsia="宋体" w:cs="宋体"/>
                <w:color w:val="000000"/>
                <w:kern w:val="2"/>
                <w:sz w:val="15"/>
                <w:szCs w:val="15"/>
                <w:lang w:val="en-US" w:eastAsia="zh-CN" w:bidi="ar-SA"/>
              </w:rPr>
            </w:pPr>
            <w:r>
              <w:rPr>
                <w:rFonts w:hint="eastAsia" w:ascii="宋体" w:hAnsi="宋体" w:eastAsia="宋体" w:cs="宋体"/>
                <w:color w:val="000000"/>
                <w:sz w:val="15"/>
                <w:szCs w:val="15"/>
              </w:rPr>
              <w:t>住房公积金</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r>
              <w:rPr>
                <w:rFonts w:hint="eastAsia" w:ascii="宋体" w:hAnsi="宋体"/>
                <w:color w:val="000000"/>
                <w:sz w:val="22"/>
              </w:rPr>
              <w:t>10.55</w:t>
            </w:r>
          </w:p>
        </w:tc>
        <w:tc>
          <w:tcPr>
            <w:tcW w:w="0" w:type="auto"/>
            <w:tcBorders>
              <w:top w:val="nil"/>
              <w:left w:val="nil"/>
              <w:bottom w:val="single" w:color="000000" w:sz="4" w:space="0"/>
              <w:right w:val="single" w:color="000000" w:sz="4" w:space="0"/>
            </w:tcBorders>
            <w:noWrap/>
            <w:tcMar>
              <w:top w:w="15" w:type="dxa"/>
              <w:left w:w="15" w:type="dxa"/>
              <w:right w:w="15" w:type="dxa"/>
            </w:tcMar>
            <w:vAlign w:val="top"/>
          </w:tcPr>
          <w:p>
            <w:pPr>
              <w:spacing w:beforeLines="0" w:afterLines="0"/>
              <w:jc w:val="center"/>
              <w:rPr>
                <w:rFonts w:hint="eastAsia" w:ascii="宋体" w:hAnsi="宋体" w:eastAsia="等线" w:cs="Times New Roman"/>
                <w:color w:val="000000"/>
                <w:kern w:val="2"/>
                <w:sz w:val="22"/>
                <w:szCs w:val="22"/>
                <w:lang w:val="en-US" w:eastAsia="zh-CN" w:bidi="ar-SA"/>
              </w:rPr>
            </w:pPr>
          </w:p>
        </w:tc>
      </w:tr>
    </w:tbl>
    <w:p/>
    <w:tbl>
      <w:tblPr>
        <w:tblStyle w:val="6"/>
        <w:tblpPr w:leftFromText="180" w:rightFromText="180" w:vertAnchor="text" w:horzAnchor="page" w:tblpX="1154" w:tblpY="-284"/>
        <w:tblOverlap w:val="never"/>
        <w:tblW w:w="10000" w:type="dxa"/>
        <w:tblInd w:w="0" w:type="dxa"/>
        <w:tblLayout w:type="fixed"/>
        <w:tblCellMar>
          <w:top w:w="0" w:type="dxa"/>
          <w:left w:w="0" w:type="dxa"/>
          <w:bottom w:w="0" w:type="dxa"/>
          <w:right w:w="0" w:type="dxa"/>
        </w:tblCellMar>
      </w:tblPr>
      <w:tblGrid>
        <w:gridCol w:w="896"/>
        <w:gridCol w:w="1932"/>
        <w:gridCol w:w="783"/>
        <w:gridCol w:w="655"/>
        <w:gridCol w:w="1809"/>
        <w:gridCol w:w="558"/>
        <w:gridCol w:w="744"/>
        <w:gridCol w:w="1891"/>
        <w:gridCol w:w="732"/>
      </w:tblGrid>
      <w:tr>
        <w:tblPrEx>
          <w:tblCellMar>
            <w:top w:w="0" w:type="dxa"/>
            <w:left w:w="0" w:type="dxa"/>
            <w:bottom w:w="0" w:type="dxa"/>
            <w:right w:w="0" w:type="dxa"/>
          </w:tblCellMar>
        </w:tblPrEx>
        <w:trPr>
          <w:trHeight w:val="662" w:hRule="atLeast"/>
        </w:trPr>
        <w:tc>
          <w:tcPr>
            <w:tcW w:w="10000" w:type="dxa"/>
            <w:gridSpan w:val="9"/>
            <w:tcBorders>
              <w:top w:val="nil"/>
              <w:left w:val="nil"/>
              <w:bottom w:val="nil"/>
              <w:right w:val="nil"/>
            </w:tcBorders>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一般公共预算财政拨款基本支出决算表</w:t>
            </w:r>
          </w:p>
        </w:tc>
      </w:tr>
      <w:tr>
        <w:tblPrEx>
          <w:tblCellMar>
            <w:top w:w="0" w:type="dxa"/>
            <w:left w:w="0" w:type="dxa"/>
            <w:bottom w:w="0" w:type="dxa"/>
            <w:right w:w="0" w:type="dxa"/>
          </w:tblCellMar>
        </w:tblPrEx>
        <w:trPr>
          <w:trHeight w:val="264" w:hRule="atLeast"/>
        </w:trPr>
        <w:tc>
          <w:tcPr>
            <w:tcW w:w="896"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932" w:type="dxa"/>
            <w:tcBorders>
              <w:top w:val="nil"/>
              <w:left w:val="nil"/>
              <w:bottom w:val="nil"/>
              <w:right w:val="nil"/>
            </w:tcBorders>
            <w:tcMar>
              <w:top w:w="15" w:type="dxa"/>
              <w:left w:w="15" w:type="dxa"/>
              <w:right w:w="15" w:type="dxa"/>
            </w:tcMar>
            <w:vAlign w:val="bottom"/>
          </w:tcPr>
          <w:p>
            <w:pPr>
              <w:rPr>
                <w:rFonts w:ascii="Arial" w:hAnsi="Arial" w:cs="Arial"/>
                <w:color w:val="000000"/>
                <w:sz w:val="20"/>
                <w:szCs w:val="20"/>
              </w:rPr>
            </w:pPr>
          </w:p>
        </w:tc>
        <w:tc>
          <w:tcPr>
            <w:tcW w:w="783"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65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809" w:type="dxa"/>
            <w:tcBorders>
              <w:top w:val="nil"/>
              <w:left w:val="nil"/>
              <w:bottom w:val="nil"/>
              <w:right w:val="nil"/>
            </w:tcBorders>
            <w:tcMar>
              <w:top w:w="15" w:type="dxa"/>
              <w:left w:w="15" w:type="dxa"/>
              <w:right w:w="15" w:type="dxa"/>
            </w:tcMar>
            <w:vAlign w:val="bottom"/>
          </w:tcPr>
          <w:p>
            <w:pPr>
              <w:rPr>
                <w:rFonts w:ascii="Arial" w:hAnsi="Arial" w:cs="Arial"/>
                <w:color w:val="000000"/>
                <w:sz w:val="20"/>
                <w:szCs w:val="20"/>
              </w:rPr>
            </w:pPr>
          </w:p>
        </w:tc>
        <w:tc>
          <w:tcPr>
            <w:tcW w:w="558"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74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623" w:type="dxa"/>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公开</w:t>
            </w:r>
            <w:r>
              <w:rPr>
                <w:rFonts w:ascii="宋体" w:hAnsi="宋体" w:eastAsia="宋体" w:cs="宋体"/>
                <w:color w:val="000000"/>
                <w:kern w:val="0"/>
                <w:sz w:val="18"/>
                <w:szCs w:val="18"/>
              </w:rPr>
              <w:t>06</w:t>
            </w:r>
            <w:r>
              <w:rPr>
                <w:rFonts w:hint="eastAsia" w:ascii="宋体" w:hAnsi="宋体" w:eastAsia="宋体" w:cs="宋体"/>
                <w:color w:val="000000"/>
                <w:kern w:val="0"/>
                <w:sz w:val="18"/>
                <w:szCs w:val="18"/>
              </w:rPr>
              <w:t>表</w:t>
            </w:r>
          </w:p>
        </w:tc>
      </w:tr>
      <w:tr>
        <w:tblPrEx>
          <w:tblCellMar>
            <w:top w:w="0" w:type="dxa"/>
            <w:left w:w="0" w:type="dxa"/>
            <w:bottom w:w="0" w:type="dxa"/>
            <w:right w:w="0" w:type="dxa"/>
          </w:tblCellMar>
        </w:tblPrEx>
        <w:trPr>
          <w:trHeight w:val="339" w:hRule="atLeast"/>
        </w:trPr>
        <w:tc>
          <w:tcPr>
            <w:tcW w:w="896" w:type="dxa"/>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1932" w:type="dxa"/>
            <w:tcBorders>
              <w:top w:val="nil"/>
              <w:left w:val="nil"/>
              <w:bottom w:val="nil"/>
              <w:right w:val="nil"/>
            </w:tcBorders>
            <w:tcMar>
              <w:top w:w="15" w:type="dxa"/>
              <w:left w:w="15" w:type="dxa"/>
              <w:right w:w="15" w:type="dxa"/>
            </w:tcMar>
            <w:vAlign w:val="bottom"/>
          </w:tcPr>
          <w:p>
            <w:pPr>
              <w:rPr>
                <w:rFonts w:ascii="Arial" w:hAnsi="Arial" w:cs="Arial"/>
                <w:color w:val="000000"/>
                <w:sz w:val="20"/>
                <w:szCs w:val="20"/>
              </w:rPr>
            </w:pPr>
          </w:p>
        </w:tc>
        <w:tc>
          <w:tcPr>
            <w:tcW w:w="783"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655"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1809" w:type="dxa"/>
            <w:tcBorders>
              <w:top w:val="nil"/>
              <w:left w:val="nil"/>
              <w:bottom w:val="nil"/>
              <w:right w:val="nil"/>
            </w:tcBorders>
            <w:tcMar>
              <w:top w:w="15" w:type="dxa"/>
              <w:left w:w="15" w:type="dxa"/>
              <w:right w:w="15" w:type="dxa"/>
            </w:tcMar>
            <w:vAlign w:val="bottom"/>
          </w:tcPr>
          <w:p>
            <w:pPr>
              <w:rPr>
                <w:rFonts w:ascii="Arial" w:hAnsi="Arial" w:cs="Arial"/>
                <w:color w:val="000000"/>
                <w:sz w:val="20"/>
                <w:szCs w:val="20"/>
              </w:rPr>
            </w:pPr>
          </w:p>
        </w:tc>
        <w:tc>
          <w:tcPr>
            <w:tcW w:w="558"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744" w:type="dxa"/>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2623" w:type="dxa"/>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18"/>
                <w:szCs w:val="18"/>
              </w:rPr>
            </w:pPr>
            <w:r>
              <w:rPr>
                <w:rFonts w:hint="eastAsia" w:ascii="宋体" w:hAnsi="宋体" w:eastAsia="宋体" w:cs="宋体"/>
                <w:color w:val="000000"/>
                <w:kern w:val="0"/>
                <w:sz w:val="18"/>
                <w:szCs w:val="18"/>
              </w:rPr>
              <w:t>金额单位：万元</w:t>
            </w:r>
          </w:p>
        </w:tc>
      </w:tr>
      <w:tr>
        <w:tblPrEx>
          <w:tblCellMar>
            <w:top w:w="0" w:type="dxa"/>
            <w:left w:w="0" w:type="dxa"/>
            <w:bottom w:w="0" w:type="dxa"/>
            <w:right w:w="0" w:type="dxa"/>
          </w:tblCellMar>
        </w:tblPrEx>
        <w:trPr>
          <w:trHeight w:val="362" w:hRule="atLeast"/>
        </w:trPr>
        <w:tc>
          <w:tcPr>
            <w:tcW w:w="361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人员经费</w:t>
            </w:r>
          </w:p>
        </w:tc>
        <w:tc>
          <w:tcPr>
            <w:tcW w:w="6389" w:type="dxa"/>
            <w:gridSpan w:val="6"/>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公用经费</w:t>
            </w:r>
          </w:p>
        </w:tc>
      </w:tr>
      <w:tr>
        <w:tblPrEx>
          <w:tblCellMar>
            <w:top w:w="0" w:type="dxa"/>
            <w:left w:w="0" w:type="dxa"/>
            <w:bottom w:w="0" w:type="dxa"/>
            <w:right w:w="0" w:type="dxa"/>
          </w:tblCellMar>
        </w:tblPrEx>
        <w:trPr>
          <w:trHeight w:val="362" w:hRule="atLeast"/>
        </w:trPr>
        <w:tc>
          <w:tcPr>
            <w:tcW w:w="896" w:type="dxa"/>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科目</w:t>
            </w:r>
          </w:p>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编码</w:t>
            </w:r>
          </w:p>
        </w:tc>
        <w:tc>
          <w:tcPr>
            <w:tcW w:w="1932"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783"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c>
          <w:tcPr>
            <w:tcW w:w="655"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科目编码</w:t>
            </w:r>
          </w:p>
        </w:tc>
        <w:tc>
          <w:tcPr>
            <w:tcW w:w="1809"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558"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c>
          <w:tcPr>
            <w:tcW w:w="744"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科目</w:t>
            </w:r>
          </w:p>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编码</w:t>
            </w:r>
          </w:p>
        </w:tc>
        <w:tc>
          <w:tcPr>
            <w:tcW w:w="1891"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732"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tblPrEx>
          <w:tblCellMar>
            <w:top w:w="0" w:type="dxa"/>
            <w:left w:w="0" w:type="dxa"/>
            <w:bottom w:w="0" w:type="dxa"/>
            <w:right w:w="0" w:type="dxa"/>
          </w:tblCellMar>
        </w:tblPrEx>
        <w:trPr>
          <w:trHeight w:val="349" w:hRule="atLeast"/>
        </w:trPr>
        <w:tc>
          <w:tcPr>
            <w:tcW w:w="896" w:type="dxa"/>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932"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83"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655"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809"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558"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44"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891"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732"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工资福利支出</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140.17</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商品和服务支出</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41.84</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307</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债务利息及费用支出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30101</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基本工资</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73.35</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30201</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办公费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14.5</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30701</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国内债务付息</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30102</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津贴补贴</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16.51</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30202</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印刷费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1.38</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30702</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国外债务付息</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30103</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奖金</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6.17</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30203</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咨询费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资本性支出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30106</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伙食补助费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30204</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手续费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31001</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房屋建筑物购建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30107</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绩效工资</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9.59</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30205</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水费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31002</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办公设备购置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30108</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机关事业单位基本养老保险缴费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17.75</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30206</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电费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31003</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专用设备购置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30109</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职业年金缴费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30207</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邮电费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6.15</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31005</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基础设施建设</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30110</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职工基本医疗保险缴费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5.31</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30208</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取暖费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rPr>
              <w:t>1</w:t>
            </w:r>
            <w:r>
              <w:rPr>
                <w:rFonts w:hint="eastAsia" w:ascii="宋体" w:hAnsi="宋体" w:eastAsia="宋体" w:cs="宋体"/>
                <w:color w:val="000000"/>
                <w:sz w:val="20"/>
                <w:szCs w:val="20"/>
                <w:lang w:val="en-US" w:eastAsia="zh-CN"/>
              </w:rPr>
              <w:t>.00</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31006</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大型修缮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30111</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公务员医疗补助缴费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30209</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物业管理费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4.28</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31007</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信息网络及软件购置更新</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30112</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其他社会保障缴费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0.94</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30211</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差旅费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3.02</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31008</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物资储备</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30113</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住房公积金</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10.55</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30212</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因公出国（境）费用</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31009</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土地补偿</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30114</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医疗费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30213</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维修（护）费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tabs>
                <w:tab w:val="left" w:pos="290"/>
              </w:tabs>
              <w:spacing w:line="220" w:lineRule="exact"/>
              <w:jc w:val="center"/>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eastAsia="zh-CN"/>
              </w:rPr>
              <w:t>0.3</w:t>
            </w:r>
            <w:r>
              <w:rPr>
                <w:rFonts w:hint="eastAsia" w:ascii="宋体" w:hAnsi="宋体" w:eastAsia="宋体" w:cs="宋体"/>
                <w:color w:val="000000"/>
                <w:sz w:val="20"/>
                <w:szCs w:val="20"/>
                <w:lang w:val="en-US" w:eastAsia="zh-CN"/>
              </w:rPr>
              <w:t>0</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31010</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安置补助</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30199</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其他工资福利支出</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30214</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租赁费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31011</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地上附着物和青苗补偿</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对个人和家庭的补助</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4.03</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30215</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会议费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31012</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拆迁补偿</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30301</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离休费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30216</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培训费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0.49</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31013</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公务用车购置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30302</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退休费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4.03</w:t>
            </w: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公务接待费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31019</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其他交通工具购置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30303</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退职（役）费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30218</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专用材料费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31021</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文物和陈列品购置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30304</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抚恤金</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30224</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被装购置费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31022</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无形资产购置</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30305</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生活补助</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30225</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专用燃料费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31099</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其他资本性支出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30306</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救济费</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30226</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劳务费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399</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其他支出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30307</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医疗费补助</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30227</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委托业务费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39906</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赠与</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2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30308</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助学金</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30228</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工会经费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39907</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国家赔偿费用支出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30309</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奖励金</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30229</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福利费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39908</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ascii="宋体" w:hAnsi="宋体" w:eastAsia="宋体" w:cs="宋体"/>
                <w:color w:val="000000"/>
                <w:kern w:val="0"/>
                <w:sz w:val="18"/>
                <w:szCs w:val="18"/>
              </w:rPr>
              <w:t xml:space="preserve"> </w:t>
            </w:r>
            <w:r>
              <w:rPr>
                <w:rFonts w:hint="eastAsia" w:ascii="宋体" w:hAnsi="宋体" w:eastAsia="宋体" w:cs="宋体"/>
                <w:color w:val="000000"/>
                <w:kern w:val="0"/>
                <w:sz w:val="18"/>
                <w:szCs w:val="18"/>
              </w:rPr>
              <w:t>对民间非营利组织和群众性自治组织补贴</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30310</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个人农业生产补贴</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30231</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公务用车运行维护费</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3.74</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39999</w:t>
            </w: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其他支出</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482"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30399</w:t>
            </w: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其他对个人和家庭的补助</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30239</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其他交通费用</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r>
              <w:rPr>
                <w:rFonts w:hint="eastAsia" w:ascii="宋体" w:hAnsi="宋体" w:eastAsia="宋体" w:cs="宋体"/>
                <w:color w:val="000000"/>
                <w:sz w:val="20"/>
                <w:szCs w:val="20"/>
              </w:rPr>
              <w:t>6.98</w:t>
            </w: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90"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30240</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税金及附加费用</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90" w:hRule="atLeast"/>
        </w:trPr>
        <w:tc>
          <w:tcPr>
            <w:tcW w:w="896" w:type="dxa"/>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1932" w:type="dxa"/>
            <w:tcBorders>
              <w:top w:val="nil"/>
              <w:left w:val="nil"/>
              <w:bottom w:val="single" w:color="000000" w:sz="4" w:space="0"/>
              <w:right w:val="single" w:color="000000" w:sz="4" w:space="0"/>
            </w:tcBorders>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center"/>
              <w:rPr>
                <w:rFonts w:ascii="宋体" w:hAnsi="宋体" w:eastAsia="宋体" w:cs="宋体"/>
                <w:color w:val="000000"/>
                <w:sz w:val="20"/>
                <w:szCs w:val="20"/>
              </w:rPr>
            </w:pPr>
          </w:p>
        </w:tc>
        <w:tc>
          <w:tcPr>
            <w:tcW w:w="655" w:type="dxa"/>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ascii="宋体" w:hAnsi="宋体" w:eastAsia="宋体" w:cs="宋体"/>
                <w:color w:val="000000"/>
                <w:kern w:val="0"/>
                <w:sz w:val="20"/>
                <w:szCs w:val="20"/>
              </w:rPr>
              <w:t>30299</w:t>
            </w:r>
          </w:p>
        </w:tc>
        <w:tc>
          <w:tcPr>
            <w:tcW w:w="1809" w:type="dxa"/>
            <w:tcBorders>
              <w:top w:val="nil"/>
              <w:left w:val="nil"/>
              <w:bottom w:val="single" w:color="000000" w:sz="4" w:space="0"/>
              <w:right w:val="single" w:color="000000" w:sz="4" w:space="0"/>
            </w:tcBorders>
            <w:tcMar>
              <w:top w:w="15" w:type="dxa"/>
              <w:left w:w="15" w:type="dxa"/>
              <w:right w:w="15" w:type="dxa"/>
            </w:tcMar>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18"/>
                <w:szCs w:val="18"/>
              </w:rPr>
              <w:t>其他商品和服务支出</w:t>
            </w:r>
          </w:p>
        </w:tc>
        <w:tc>
          <w:tcPr>
            <w:tcW w:w="558"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744"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1891" w:type="dxa"/>
            <w:tcBorders>
              <w:top w:val="nil"/>
              <w:left w:val="nil"/>
              <w:bottom w:val="single" w:color="000000" w:sz="4" w:space="0"/>
              <w:right w:val="single" w:color="000000" w:sz="4" w:space="0"/>
            </w:tcBorders>
            <w:tcMar>
              <w:top w:w="15" w:type="dxa"/>
              <w:left w:w="15" w:type="dxa"/>
              <w:right w:w="15" w:type="dxa"/>
            </w:tcMar>
            <w:vAlign w:val="center"/>
          </w:tcPr>
          <w:p>
            <w:pPr>
              <w:spacing w:line="220" w:lineRule="exact"/>
              <w:jc w:val="left"/>
              <w:rPr>
                <w:rFonts w:ascii="宋体" w:hAnsi="宋体" w:eastAsia="宋体" w:cs="宋体"/>
                <w:color w:val="000000"/>
                <w:sz w:val="20"/>
                <w:szCs w:val="20"/>
              </w:rPr>
            </w:pP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r>
        <w:tblPrEx>
          <w:tblCellMar>
            <w:top w:w="0" w:type="dxa"/>
            <w:left w:w="0" w:type="dxa"/>
            <w:bottom w:w="0" w:type="dxa"/>
            <w:right w:w="0" w:type="dxa"/>
          </w:tblCellMar>
        </w:tblPrEx>
        <w:trPr>
          <w:trHeight w:val="317" w:hRule="atLeast"/>
        </w:trPr>
        <w:tc>
          <w:tcPr>
            <w:tcW w:w="2828" w:type="dxa"/>
            <w:gridSpan w:val="2"/>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人员经费合计</w:t>
            </w:r>
          </w:p>
        </w:tc>
        <w:tc>
          <w:tcPr>
            <w:tcW w:w="783" w:type="dxa"/>
            <w:tcBorders>
              <w:top w:val="nil"/>
              <w:left w:val="nil"/>
              <w:bottom w:val="single" w:color="000000" w:sz="4" w:space="0"/>
              <w:right w:val="single" w:color="000000" w:sz="4" w:space="0"/>
            </w:tcBorders>
            <w:noWrap/>
            <w:tcMar>
              <w:top w:w="15" w:type="dxa"/>
              <w:left w:w="15" w:type="dxa"/>
              <w:right w:w="15" w:type="dxa"/>
            </w:tcMar>
            <w:vAlign w:val="center"/>
          </w:tcPr>
          <w:p>
            <w:pPr>
              <w:spacing w:line="220" w:lineRule="exact"/>
              <w:jc w:val="right"/>
              <w:rPr>
                <w:rFonts w:ascii="宋体" w:hAnsi="宋体" w:eastAsia="宋体" w:cs="宋体"/>
                <w:color w:val="000000"/>
                <w:sz w:val="20"/>
                <w:szCs w:val="20"/>
              </w:rPr>
            </w:pPr>
          </w:p>
        </w:tc>
        <w:tc>
          <w:tcPr>
            <w:tcW w:w="5657" w:type="dxa"/>
            <w:gridSpan w:val="5"/>
            <w:tcBorders>
              <w:top w:val="nil"/>
              <w:left w:val="nil"/>
              <w:bottom w:val="single" w:color="000000" w:sz="4" w:space="0"/>
              <w:right w:val="single" w:color="000000" w:sz="4" w:space="0"/>
            </w:tcBorders>
            <w:noWrap/>
            <w:tcMar>
              <w:top w:w="15" w:type="dxa"/>
              <w:left w:w="15" w:type="dxa"/>
              <w:right w:w="15" w:type="dxa"/>
            </w:tcMar>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公用经费合计</w:t>
            </w:r>
          </w:p>
        </w:tc>
        <w:tc>
          <w:tcPr>
            <w:tcW w:w="732" w:type="dxa"/>
            <w:tcBorders>
              <w:top w:val="nil"/>
              <w:left w:val="nil"/>
              <w:bottom w:val="single" w:color="000000" w:sz="4" w:space="0"/>
              <w:right w:val="single" w:color="000000" w:sz="4" w:space="0"/>
            </w:tcBorders>
            <w:noWrap/>
            <w:tcMar>
              <w:top w:w="15" w:type="dxa"/>
              <w:left w:w="15" w:type="dxa"/>
              <w:right w:w="15" w:type="dxa"/>
            </w:tcMar>
            <w:vAlign w:val="center"/>
          </w:tcPr>
          <w:p>
            <w:pPr>
              <w:spacing w:line="180" w:lineRule="exact"/>
              <w:jc w:val="right"/>
              <w:rPr>
                <w:rFonts w:ascii="宋体" w:hAnsi="宋体" w:eastAsia="宋体" w:cs="宋体"/>
                <w:color w:val="000000"/>
                <w:sz w:val="20"/>
                <w:szCs w:val="20"/>
              </w:rPr>
            </w:pPr>
          </w:p>
        </w:tc>
      </w:tr>
    </w:tbl>
    <w:p/>
    <w:tbl>
      <w:tblPr>
        <w:tblStyle w:val="6"/>
        <w:tblW w:w="9220" w:type="dxa"/>
        <w:jc w:val="center"/>
        <w:tblLayout w:type="autofit"/>
        <w:tblCellMar>
          <w:top w:w="0" w:type="dxa"/>
          <w:left w:w="0" w:type="dxa"/>
          <w:bottom w:w="0" w:type="dxa"/>
          <w:right w:w="0" w:type="dxa"/>
        </w:tblCellMar>
      </w:tblPr>
      <w:tblGrid>
        <w:gridCol w:w="1267"/>
        <w:gridCol w:w="1686"/>
        <w:gridCol w:w="1565"/>
        <w:gridCol w:w="1565"/>
        <w:gridCol w:w="1565"/>
        <w:gridCol w:w="1572"/>
      </w:tblGrid>
      <w:tr>
        <w:tblPrEx>
          <w:tblCellMar>
            <w:top w:w="0" w:type="dxa"/>
            <w:left w:w="0" w:type="dxa"/>
            <w:bottom w:w="0" w:type="dxa"/>
            <w:right w:w="0" w:type="dxa"/>
          </w:tblCellMar>
        </w:tblPrEx>
        <w:trPr>
          <w:trHeight w:val="638" w:hRule="atLeast"/>
          <w:jc w:val="center"/>
        </w:trPr>
        <w:tc>
          <w:tcPr>
            <w:tcW w:w="9220" w:type="dxa"/>
            <w:gridSpan w:val="6"/>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一般公共预算财政拨款“三公”经费支出决算表</w:t>
            </w:r>
          </w:p>
        </w:tc>
      </w:tr>
      <w:tr>
        <w:tblPrEx>
          <w:tblCellMar>
            <w:top w:w="0" w:type="dxa"/>
            <w:left w:w="0" w:type="dxa"/>
            <w:bottom w:w="0" w:type="dxa"/>
            <w:right w:w="0" w:type="dxa"/>
          </w:tblCellMar>
        </w:tblPrEx>
        <w:trPr>
          <w:trHeight w:val="360" w:hRule="atLeast"/>
          <w:jc w:val="center"/>
        </w:trPr>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07</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360" w:hRule="atLeast"/>
          <w:jc w:val="center"/>
        </w:trPr>
        <w:tc>
          <w:tcPr>
            <w:tcW w:w="0" w:type="auto"/>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417" w:hRule="atLeast"/>
          <w:jc w:val="center"/>
        </w:trPr>
        <w:tc>
          <w:tcPr>
            <w:tcW w:w="9220" w:type="dxa"/>
            <w:gridSpan w:val="6"/>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r>
      <w:tr>
        <w:tblPrEx>
          <w:tblCellMar>
            <w:top w:w="0" w:type="dxa"/>
            <w:left w:w="0" w:type="dxa"/>
            <w:bottom w:w="0" w:type="dxa"/>
            <w:right w:w="0" w:type="dxa"/>
          </w:tblCellMar>
        </w:tblPrEx>
        <w:trPr>
          <w:trHeight w:val="417" w:hRule="atLeast"/>
          <w:jc w:val="center"/>
        </w:trPr>
        <w:tc>
          <w:tcPr>
            <w:tcW w:w="1267" w:type="dxa"/>
            <w:vMerge w:val="restart"/>
            <w:tcBorders>
              <w:top w:val="single" w:color="auto" w:sz="4" w:space="0"/>
              <w:left w:val="single" w:color="auto"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686" w:type="dxa"/>
            <w:vMerge w:val="restart"/>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4695" w:type="dxa"/>
            <w:gridSpan w:val="3"/>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公务用车购置及运行费</w:t>
            </w:r>
          </w:p>
        </w:tc>
        <w:tc>
          <w:tcPr>
            <w:tcW w:w="1572" w:type="dxa"/>
            <w:vMerge w:val="restart"/>
            <w:tcBorders>
              <w:top w:val="single" w:color="auto" w:sz="4" w:space="0"/>
              <w:left w:val="nil"/>
              <w:bottom w:val="single" w:color="000000" w:sz="4" w:space="0"/>
              <w:right w:val="single" w:color="auto"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tblPrEx>
          <w:tblCellMar>
            <w:top w:w="0" w:type="dxa"/>
            <w:left w:w="0" w:type="dxa"/>
            <w:bottom w:w="0" w:type="dxa"/>
            <w:right w:w="0" w:type="dxa"/>
          </w:tblCellMar>
        </w:tblPrEx>
        <w:trPr>
          <w:trHeight w:val="417" w:hRule="atLeast"/>
          <w:jc w:val="center"/>
        </w:trPr>
        <w:tc>
          <w:tcPr>
            <w:tcW w:w="1267" w:type="dxa"/>
            <w:vMerge w:val="continue"/>
            <w:tcBorders>
              <w:top w:val="nil"/>
              <w:left w:val="single" w:color="auto"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686"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公务用车购置费</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公务用车运行费</w:t>
            </w:r>
          </w:p>
        </w:tc>
        <w:tc>
          <w:tcPr>
            <w:tcW w:w="1572" w:type="dxa"/>
            <w:vMerge w:val="continue"/>
            <w:tcBorders>
              <w:top w:val="nil"/>
              <w:left w:val="nil"/>
              <w:bottom w:val="single" w:color="000000" w:sz="4" w:space="0"/>
              <w:right w:val="single" w:color="auto"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1686"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w:t>
            </w:r>
          </w:p>
        </w:tc>
        <w:tc>
          <w:tcPr>
            <w:tcW w:w="1572" w:type="dxa"/>
            <w:tcBorders>
              <w:top w:val="nil"/>
              <w:left w:val="nil"/>
              <w:bottom w:val="single" w:color="000000" w:sz="4" w:space="0"/>
              <w:right w:val="single" w:color="auto"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6</w:t>
            </w:r>
          </w:p>
        </w:tc>
      </w:tr>
      <w:tr>
        <w:tblPrEx>
          <w:tblCellMar>
            <w:top w:w="0" w:type="dxa"/>
            <w:left w:w="0" w:type="dxa"/>
            <w:bottom w:w="0" w:type="dxa"/>
            <w:right w:w="0" w:type="dxa"/>
          </w:tblCellMar>
        </w:tblPrEx>
        <w:trPr>
          <w:trHeight w:val="417" w:hRule="atLeast"/>
          <w:jc w:val="center"/>
        </w:trPr>
        <w:tc>
          <w:tcPr>
            <w:tcW w:w="0" w:type="auto"/>
            <w:tcBorders>
              <w:top w:val="nil"/>
              <w:left w:val="single" w:color="auto" w:sz="4" w:space="0"/>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4.00</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4.00</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4.00</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nil"/>
              <w:left w:val="nil"/>
              <w:bottom w:val="single" w:color="000000" w:sz="4" w:space="0"/>
              <w:right w:val="single" w:color="auto"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417" w:hRule="atLeast"/>
          <w:jc w:val="center"/>
        </w:trPr>
        <w:tc>
          <w:tcPr>
            <w:tcW w:w="9220" w:type="dxa"/>
            <w:gridSpan w:val="6"/>
            <w:tcBorders>
              <w:top w:val="single" w:color="000000"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tblPrEx>
          <w:tblCellMar>
            <w:top w:w="0" w:type="dxa"/>
            <w:left w:w="0" w:type="dxa"/>
            <w:bottom w:w="0" w:type="dxa"/>
            <w:right w:w="0" w:type="dxa"/>
          </w:tblCellMar>
        </w:tblPrEx>
        <w:trPr>
          <w:trHeight w:val="417" w:hRule="atLeast"/>
          <w:jc w:val="center"/>
        </w:trPr>
        <w:tc>
          <w:tcPr>
            <w:tcW w:w="1267" w:type="dxa"/>
            <w:vMerge w:val="restart"/>
            <w:tcBorders>
              <w:top w:val="single" w:color="auto" w:sz="4" w:space="0"/>
              <w:left w:val="single" w:color="auto"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686" w:type="dxa"/>
            <w:vMerge w:val="restart"/>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4695" w:type="dxa"/>
            <w:gridSpan w:val="3"/>
            <w:tcBorders>
              <w:top w:val="single" w:color="auto"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公务用车购置及运行费</w:t>
            </w:r>
          </w:p>
        </w:tc>
        <w:tc>
          <w:tcPr>
            <w:tcW w:w="1572" w:type="dxa"/>
            <w:vMerge w:val="restart"/>
            <w:tcBorders>
              <w:top w:val="single" w:color="auto" w:sz="4" w:space="0"/>
              <w:left w:val="nil"/>
              <w:bottom w:val="single" w:color="000000" w:sz="4" w:space="0"/>
              <w:right w:val="single" w:color="auto"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tblPrEx>
          <w:tblCellMar>
            <w:top w:w="0" w:type="dxa"/>
            <w:left w:w="0" w:type="dxa"/>
            <w:bottom w:w="0" w:type="dxa"/>
            <w:right w:w="0" w:type="dxa"/>
          </w:tblCellMar>
        </w:tblPrEx>
        <w:trPr>
          <w:trHeight w:val="417" w:hRule="atLeast"/>
          <w:jc w:val="center"/>
        </w:trPr>
        <w:tc>
          <w:tcPr>
            <w:tcW w:w="1267" w:type="dxa"/>
            <w:vMerge w:val="continue"/>
            <w:tcBorders>
              <w:top w:val="nil"/>
              <w:left w:val="single" w:color="auto"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686"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公务用车购置费</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公务用车运行费</w:t>
            </w:r>
          </w:p>
        </w:tc>
        <w:tc>
          <w:tcPr>
            <w:tcW w:w="1572" w:type="dxa"/>
            <w:vMerge w:val="continue"/>
            <w:tcBorders>
              <w:top w:val="nil"/>
              <w:left w:val="nil"/>
              <w:bottom w:val="single" w:color="000000" w:sz="4" w:space="0"/>
              <w:right w:val="single" w:color="auto"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417" w:hRule="atLeast"/>
          <w:jc w:val="center"/>
        </w:trPr>
        <w:tc>
          <w:tcPr>
            <w:tcW w:w="1267" w:type="dxa"/>
            <w:tcBorders>
              <w:top w:val="nil"/>
              <w:left w:val="single" w:color="auto"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7</w:t>
            </w:r>
          </w:p>
        </w:tc>
        <w:tc>
          <w:tcPr>
            <w:tcW w:w="1686"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8</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9</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10</w:t>
            </w:r>
          </w:p>
        </w:tc>
        <w:tc>
          <w:tcPr>
            <w:tcW w:w="1565" w:type="dxa"/>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11</w:t>
            </w:r>
          </w:p>
        </w:tc>
        <w:tc>
          <w:tcPr>
            <w:tcW w:w="1572" w:type="dxa"/>
            <w:tcBorders>
              <w:top w:val="nil"/>
              <w:left w:val="nil"/>
              <w:bottom w:val="single" w:color="000000" w:sz="4" w:space="0"/>
              <w:right w:val="single" w:color="auto"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12</w:t>
            </w:r>
          </w:p>
        </w:tc>
      </w:tr>
      <w:tr>
        <w:tblPrEx>
          <w:tblCellMar>
            <w:top w:w="0" w:type="dxa"/>
            <w:left w:w="0" w:type="dxa"/>
            <w:bottom w:w="0" w:type="dxa"/>
            <w:right w:w="0" w:type="dxa"/>
          </w:tblCellMar>
        </w:tblPrEx>
        <w:trPr>
          <w:trHeight w:val="447" w:hRule="atLeast"/>
          <w:jc w:val="center"/>
        </w:trPr>
        <w:tc>
          <w:tcPr>
            <w:tcW w:w="0" w:type="auto"/>
            <w:tcBorders>
              <w:top w:val="nil"/>
              <w:left w:val="single" w:color="auto" w:sz="4" w:space="0"/>
              <w:bottom w:val="single" w:color="auto" w:sz="4" w:space="0"/>
              <w:right w:val="single" w:color="000000" w:sz="4" w:space="0"/>
            </w:tcBorders>
            <w:noWrap/>
            <w:tcMar>
              <w:top w:w="15" w:type="dxa"/>
              <w:left w:w="15" w:type="dxa"/>
              <w:right w:w="15" w:type="dxa"/>
            </w:tcMar>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3.74</w:t>
            </w:r>
          </w:p>
        </w:tc>
        <w:tc>
          <w:tcPr>
            <w:tcW w:w="0" w:type="auto"/>
            <w:tcBorders>
              <w:top w:val="nil"/>
              <w:left w:val="nil"/>
              <w:bottom w:val="single" w:color="auto"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0" w:type="auto"/>
            <w:tcBorders>
              <w:top w:val="nil"/>
              <w:left w:val="nil"/>
              <w:bottom w:val="single" w:color="auto" w:sz="4" w:space="0"/>
              <w:right w:val="single" w:color="000000" w:sz="4" w:space="0"/>
            </w:tcBorders>
            <w:noWrap/>
            <w:tcMar>
              <w:top w:w="15" w:type="dxa"/>
              <w:left w:w="15" w:type="dxa"/>
              <w:right w:w="15" w:type="dxa"/>
            </w:tcMar>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3.74</w:t>
            </w:r>
          </w:p>
        </w:tc>
        <w:tc>
          <w:tcPr>
            <w:tcW w:w="0" w:type="auto"/>
            <w:tcBorders>
              <w:top w:val="nil"/>
              <w:left w:val="nil"/>
              <w:bottom w:val="single" w:color="auto" w:sz="4" w:space="0"/>
              <w:right w:val="single" w:color="000000" w:sz="4" w:space="0"/>
            </w:tcBorders>
            <w:noWrap/>
            <w:tcMar>
              <w:top w:w="15" w:type="dxa"/>
              <w:left w:w="15" w:type="dxa"/>
              <w:right w:w="15" w:type="dxa"/>
            </w:tcMar>
            <w:vAlign w:val="center"/>
          </w:tcPr>
          <w:p>
            <w:pPr>
              <w:jc w:val="cente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3.74</w:t>
            </w:r>
          </w:p>
        </w:tc>
        <w:tc>
          <w:tcPr>
            <w:tcW w:w="0" w:type="auto"/>
            <w:tcBorders>
              <w:top w:val="nil"/>
              <w:left w:val="nil"/>
              <w:bottom w:val="single" w:color="auto"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auto" w:sz="4" w:space="0"/>
              <w:right w:val="single" w:color="auto" w:sz="4" w:space="0"/>
            </w:tcBorders>
            <w:noWrap/>
            <w:tcMar>
              <w:top w:w="15" w:type="dxa"/>
              <w:left w:w="15" w:type="dxa"/>
              <w:right w:w="15" w:type="dxa"/>
            </w:tcMar>
            <w:vAlign w:val="center"/>
          </w:tcPr>
          <w:p>
            <w:pPr>
              <w:jc w:val="right"/>
              <w:rPr>
                <w:rFonts w:ascii="宋体" w:hAnsi="宋体" w:eastAsia="宋体" w:cs="宋体"/>
                <w:color w:val="000000"/>
                <w:sz w:val="22"/>
              </w:rPr>
            </w:pPr>
          </w:p>
        </w:tc>
      </w:tr>
    </w:tbl>
    <w:p>
      <w:r>
        <w:rPr>
          <w:rFonts w:hint="eastAsia" w:ascii="宋体" w:hAnsi="宋体" w:eastAsia="宋体" w:cs="宋体"/>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仿宋_GB2312" w:hAnsi="仿宋_GB2312" w:eastAsia="仿宋_GB2312" w:cs="仿宋_GB2312"/>
        </w:rPr>
        <w:tab/>
      </w:r>
      <w:r>
        <w:tab/>
      </w:r>
      <w:r>
        <w:tab/>
      </w:r>
      <w:r>
        <w:tab/>
      </w:r>
      <w:r>
        <w:tab/>
      </w:r>
      <w:r>
        <w:tab/>
      </w:r>
      <w:r>
        <w:tab/>
      </w:r>
      <w:r>
        <w:tab/>
      </w:r>
      <w:r>
        <w:tab/>
      </w:r>
      <w:r>
        <w:tab/>
      </w:r>
      <w:r>
        <w:tab/>
      </w:r>
      <w:r>
        <w:br w:type="page"/>
      </w:r>
    </w:p>
    <w:tbl>
      <w:tblPr>
        <w:tblStyle w:val="6"/>
        <w:tblW w:w="9510" w:type="dxa"/>
        <w:jc w:val="center"/>
        <w:tblLayout w:type="autofit"/>
        <w:tblCellMar>
          <w:top w:w="0" w:type="dxa"/>
          <w:left w:w="0" w:type="dxa"/>
          <w:bottom w:w="0" w:type="dxa"/>
          <w:right w:w="0" w:type="dxa"/>
        </w:tblCellMar>
      </w:tblPr>
      <w:tblGrid>
        <w:gridCol w:w="1020"/>
        <w:gridCol w:w="58"/>
        <w:gridCol w:w="58"/>
        <w:gridCol w:w="1474"/>
        <w:gridCol w:w="1150"/>
        <w:gridCol w:w="1150"/>
        <w:gridCol w:w="1150"/>
        <w:gridCol w:w="1150"/>
        <w:gridCol w:w="1150"/>
        <w:gridCol w:w="1150"/>
      </w:tblGrid>
      <w:tr>
        <w:tblPrEx>
          <w:tblCellMar>
            <w:top w:w="0" w:type="dxa"/>
            <w:left w:w="0" w:type="dxa"/>
            <w:bottom w:w="0" w:type="dxa"/>
            <w:right w:w="0" w:type="dxa"/>
          </w:tblCellMar>
        </w:tblPrEx>
        <w:trPr>
          <w:trHeight w:val="780" w:hRule="atLeast"/>
          <w:jc w:val="center"/>
        </w:trPr>
        <w:tc>
          <w:tcPr>
            <w:tcW w:w="9510" w:type="dxa"/>
            <w:gridSpan w:val="10"/>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政府性基金预算财政拨款收入支出决算表</w:t>
            </w:r>
          </w:p>
        </w:tc>
      </w:tr>
      <w:tr>
        <w:tblPrEx>
          <w:tblCellMar>
            <w:top w:w="0" w:type="dxa"/>
            <w:left w:w="0" w:type="dxa"/>
            <w:bottom w:w="0" w:type="dxa"/>
            <w:right w:w="0" w:type="dxa"/>
          </w:tblCellMar>
        </w:tblPrEx>
        <w:trPr>
          <w:trHeight w:val="255" w:hRule="atLeast"/>
          <w:jc w:val="center"/>
        </w:trPr>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08</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255" w:hRule="atLeast"/>
          <w:jc w:val="center"/>
        </w:trPr>
        <w:tc>
          <w:tcPr>
            <w:tcW w:w="0" w:type="auto"/>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308" w:hRule="atLeast"/>
          <w:jc w:val="center"/>
        </w:trPr>
        <w:tc>
          <w:tcPr>
            <w:tcW w:w="0" w:type="auto"/>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17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年初结转和结余</w:t>
            </w:r>
          </w:p>
        </w:tc>
        <w:tc>
          <w:tcPr>
            <w:tcW w:w="117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本年收入</w:t>
            </w:r>
          </w:p>
        </w:tc>
        <w:tc>
          <w:tcPr>
            <w:tcW w:w="3510" w:type="dxa"/>
            <w:gridSpan w:val="3"/>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c>
          <w:tcPr>
            <w:tcW w:w="117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年末结转和结余</w:t>
            </w:r>
          </w:p>
        </w:tc>
      </w:tr>
      <w:tr>
        <w:tblPrEx>
          <w:tblCellMar>
            <w:top w:w="0" w:type="dxa"/>
            <w:left w:w="0" w:type="dxa"/>
            <w:bottom w:w="0" w:type="dxa"/>
            <w:right w:w="0" w:type="dxa"/>
          </w:tblCellMar>
        </w:tblPrEx>
        <w:trPr>
          <w:trHeight w:val="312" w:hRule="atLeast"/>
          <w:jc w:val="center"/>
        </w:trPr>
        <w:tc>
          <w:tcPr>
            <w:tcW w:w="990" w:type="dxa"/>
            <w:gridSpan w:val="3"/>
            <w:vMerge w:val="restart"/>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0" w:type="auto"/>
            <w:vMerge w:val="restart"/>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17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17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1170" w:type="dxa"/>
            <w:vMerge w:val="restart"/>
            <w:tcBorders>
              <w:top w:val="nil"/>
              <w:left w:val="nil"/>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117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2" w:hRule="atLeast"/>
          <w:jc w:val="center"/>
        </w:trPr>
        <w:tc>
          <w:tcPr>
            <w:tcW w:w="990"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0" w:type="auto"/>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12" w:hRule="atLeast"/>
          <w:jc w:val="center"/>
        </w:trPr>
        <w:tc>
          <w:tcPr>
            <w:tcW w:w="990" w:type="dxa"/>
            <w:gridSpan w:val="3"/>
            <w:vMerge w:val="continue"/>
            <w:tcBorders>
              <w:top w:val="nil"/>
              <w:left w:val="single" w:color="000000" w:sz="4" w:space="0"/>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0" w:type="auto"/>
            <w:vMerge w:val="continue"/>
            <w:tcBorders>
              <w:top w:val="nil"/>
              <w:left w:val="nil"/>
              <w:bottom w:val="single" w:color="000000" w:sz="4" w:space="0"/>
              <w:right w:val="single" w:color="000000" w:sz="4" w:space="0"/>
            </w:tcBorders>
            <w:noWrap/>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nil"/>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c>
          <w:tcPr>
            <w:tcW w:w="1170" w:type="dxa"/>
            <w:vMerge w:val="continue"/>
            <w:tcBorders>
              <w:top w:val="single" w:color="000000" w:sz="4" w:space="0"/>
              <w:left w:val="nil"/>
              <w:bottom w:val="single" w:color="000000" w:sz="4" w:space="0"/>
              <w:right w:val="single" w:color="000000" w:sz="4" w:space="0"/>
            </w:tcBorders>
            <w:tcMar>
              <w:top w:w="15" w:type="dxa"/>
              <w:left w:w="15" w:type="dxa"/>
              <w:right w:w="15" w:type="dxa"/>
            </w:tcMar>
            <w:vAlign w:val="center"/>
          </w:tcPr>
          <w:p>
            <w:pPr>
              <w:jc w:val="center"/>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4</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5</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6</w:t>
            </w:r>
          </w:p>
        </w:tc>
      </w:tr>
      <w:tr>
        <w:tblPrEx>
          <w:tblCellMar>
            <w:top w:w="0" w:type="dxa"/>
            <w:left w:w="0" w:type="dxa"/>
            <w:bottom w:w="0" w:type="dxa"/>
            <w:right w:w="0"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bl>
    <w:p>
      <w:pPr>
        <w:spacing w:after="0" w:line="560" w:lineRule="exact"/>
        <w:rPr>
          <w:rFonts w:hint="eastAsia" w:ascii="仿宋_GB2312" w:hAnsi="Cambria" w:eastAsia="仿宋_GB2312" w:cs="ArialUnicodeMS"/>
          <w:kern w:val="0"/>
          <w:sz w:val="32"/>
          <w:szCs w:val="32"/>
          <w:lang w:eastAsia="zh-CN"/>
        </w:rPr>
      </w:pPr>
      <w:r>
        <w:rPr>
          <w:rFonts w:hint="eastAsia" w:ascii="仿宋_GB2312" w:hAnsi="Cambria" w:eastAsia="仿宋_GB2312" w:cs="ArialUnicodeMS"/>
          <w:kern w:val="0"/>
          <w:sz w:val="32"/>
          <w:szCs w:val="32"/>
          <w:lang w:eastAsia="zh-CN"/>
        </w:rPr>
        <w:t>本部门本年度无政府性基金财政拨款收入情况，</w:t>
      </w:r>
      <w:r>
        <w:rPr>
          <w:rFonts w:hint="eastAsia" w:ascii="仿宋_GB2312" w:hAnsi="Cambria" w:eastAsia="仿宋_GB2312" w:cs="ArialUnicodeMS"/>
          <w:kern w:val="0"/>
          <w:sz w:val="32"/>
          <w:szCs w:val="32"/>
          <w:lang w:val="en-US" w:eastAsia="zh-CN"/>
        </w:rPr>
        <w:t>按照要求</w:t>
      </w:r>
      <w:r>
        <w:rPr>
          <w:rFonts w:hint="eastAsia" w:ascii="仿宋_GB2312" w:hAnsi="Cambria" w:eastAsia="仿宋_GB2312" w:cs="ArialUnicodeMS"/>
          <w:kern w:val="0"/>
          <w:sz w:val="32"/>
          <w:szCs w:val="32"/>
          <w:lang w:eastAsia="zh-CN"/>
        </w:rPr>
        <w:t>空表列示。</w:t>
      </w:r>
    </w:p>
    <w:p>
      <w:pPr>
        <w:widowControl/>
        <w:spacing w:after="0" w:line="560" w:lineRule="exact"/>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p>
    <w:p/>
    <w:tbl>
      <w:tblPr>
        <w:tblStyle w:val="6"/>
        <w:tblW w:w="9915" w:type="dxa"/>
        <w:jc w:val="center"/>
        <w:tblLayout w:type="autofit"/>
        <w:tblCellMar>
          <w:top w:w="0" w:type="dxa"/>
          <w:left w:w="0" w:type="dxa"/>
          <w:bottom w:w="0" w:type="dxa"/>
          <w:right w:w="0" w:type="dxa"/>
        </w:tblCellMar>
      </w:tblPr>
      <w:tblGrid>
        <w:gridCol w:w="1288"/>
        <w:gridCol w:w="74"/>
        <w:gridCol w:w="74"/>
        <w:gridCol w:w="3798"/>
        <w:gridCol w:w="961"/>
        <w:gridCol w:w="1860"/>
        <w:gridCol w:w="1860"/>
      </w:tblGrid>
      <w:tr>
        <w:tblPrEx>
          <w:tblCellMar>
            <w:top w:w="0" w:type="dxa"/>
            <w:left w:w="0" w:type="dxa"/>
            <w:bottom w:w="0" w:type="dxa"/>
            <w:right w:w="0" w:type="dxa"/>
          </w:tblCellMar>
        </w:tblPrEx>
        <w:trPr>
          <w:trHeight w:val="840" w:hRule="atLeast"/>
          <w:jc w:val="center"/>
        </w:trPr>
        <w:tc>
          <w:tcPr>
            <w:tcW w:w="9915" w:type="dxa"/>
            <w:gridSpan w:val="7"/>
            <w:tcBorders>
              <w:top w:val="nil"/>
              <w:left w:val="nil"/>
              <w:bottom w:val="nil"/>
              <w:right w:val="nil"/>
            </w:tcBorders>
            <w:noWrap/>
            <w:tcMar>
              <w:top w:w="15" w:type="dxa"/>
              <w:left w:w="15" w:type="dxa"/>
              <w:right w:w="15" w:type="dxa"/>
            </w:tcMar>
            <w:vAlign w:val="center"/>
          </w:tcPr>
          <w:p>
            <w:pPr>
              <w:widowControl/>
              <w:jc w:val="center"/>
              <w:textAlignment w:val="center"/>
              <w:rPr>
                <w:rFonts w:ascii="黑体" w:hAnsi="宋体" w:eastAsia="黑体" w:cs="黑体"/>
                <w:color w:val="000000"/>
                <w:sz w:val="32"/>
                <w:szCs w:val="32"/>
              </w:rPr>
            </w:pPr>
            <w:r>
              <w:rPr>
                <w:rFonts w:hint="eastAsia" w:ascii="黑体" w:hAnsi="宋体" w:eastAsia="黑体" w:cs="黑体"/>
                <w:color w:val="000000"/>
                <w:kern w:val="0"/>
                <w:sz w:val="32"/>
                <w:szCs w:val="32"/>
              </w:rPr>
              <w:t>国有资本经营预算财政拨款支出决算表</w:t>
            </w:r>
          </w:p>
        </w:tc>
      </w:tr>
      <w:tr>
        <w:tblPrEx>
          <w:tblCellMar>
            <w:top w:w="0" w:type="dxa"/>
            <w:left w:w="0" w:type="dxa"/>
            <w:bottom w:w="0" w:type="dxa"/>
            <w:right w:w="0" w:type="dxa"/>
          </w:tblCellMar>
        </w:tblPrEx>
        <w:trPr>
          <w:trHeight w:val="255" w:hRule="atLeast"/>
          <w:jc w:val="center"/>
        </w:trPr>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w:t>
            </w:r>
            <w:r>
              <w:rPr>
                <w:rFonts w:ascii="宋体" w:hAnsi="宋体" w:eastAsia="宋体" w:cs="宋体"/>
                <w:color w:val="000000"/>
                <w:kern w:val="0"/>
                <w:sz w:val="20"/>
                <w:szCs w:val="20"/>
              </w:rPr>
              <w:t>09</w:t>
            </w:r>
            <w:r>
              <w:rPr>
                <w:rFonts w:hint="eastAsia" w:ascii="宋体" w:hAnsi="宋体" w:eastAsia="宋体" w:cs="宋体"/>
                <w:color w:val="000000"/>
                <w:kern w:val="0"/>
                <w:sz w:val="20"/>
                <w:szCs w:val="20"/>
              </w:rPr>
              <w:t>表</w:t>
            </w:r>
          </w:p>
        </w:tc>
      </w:tr>
      <w:tr>
        <w:tblPrEx>
          <w:tblCellMar>
            <w:top w:w="0" w:type="dxa"/>
            <w:left w:w="0" w:type="dxa"/>
            <w:bottom w:w="0" w:type="dxa"/>
            <w:right w:w="0" w:type="dxa"/>
          </w:tblCellMar>
        </w:tblPrEx>
        <w:trPr>
          <w:trHeight w:val="255" w:hRule="atLeast"/>
          <w:jc w:val="center"/>
        </w:trPr>
        <w:tc>
          <w:tcPr>
            <w:tcW w:w="0" w:type="auto"/>
            <w:tcBorders>
              <w:top w:val="nil"/>
              <w:left w:val="nil"/>
              <w:bottom w:val="nil"/>
              <w:right w:val="nil"/>
            </w:tcBorders>
            <w:noWrap/>
            <w:tcMar>
              <w:top w:w="15" w:type="dxa"/>
              <w:left w:w="15" w:type="dxa"/>
              <w:right w:w="15" w:type="dxa"/>
            </w:tcMar>
            <w:vAlign w:val="bottom"/>
          </w:tcPr>
          <w:p>
            <w:pPr>
              <w:widowControl/>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部门：</w:t>
            </w: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tcBorders>
              <w:top w:val="nil"/>
              <w:left w:val="nil"/>
              <w:bottom w:val="nil"/>
              <w:right w:val="nil"/>
            </w:tcBorders>
            <w:noWrap/>
            <w:tcMar>
              <w:top w:w="15" w:type="dxa"/>
              <w:left w:w="15" w:type="dxa"/>
              <w:right w:w="15" w:type="dxa"/>
            </w:tcMar>
            <w:vAlign w:val="bottom"/>
          </w:tcPr>
          <w:p>
            <w:pPr>
              <w:rPr>
                <w:rFonts w:ascii="Arial" w:hAnsi="Arial" w:cs="Arial"/>
                <w:color w:val="000000"/>
                <w:sz w:val="20"/>
                <w:szCs w:val="20"/>
              </w:rPr>
            </w:pPr>
          </w:p>
        </w:tc>
        <w:tc>
          <w:tcPr>
            <w:tcW w:w="0" w:type="auto"/>
            <w:gridSpan w:val="2"/>
            <w:tcBorders>
              <w:top w:val="nil"/>
              <w:left w:val="nil"/>
              <w:bottom w:val="nil"/>
              <w:right w:val="nil"/>
            </w:tcBorders>
            <w:noWrap/>
            <w:tcMar>
              <w:top w:w="15" w:type="dxa"/>
              <w:left w:w="15" w:type="dxa"/>
              <w:right w:w="15" w:type="dxa"/>
            </w:tcMar>
            <w:vAlign w:val="bottom"/>
          </w:tcPr>
          <w:p>
            <w:pPr>
              <w:widowControl/>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tblPrEx>
          <w:tblCellMar>
            <w:top w:w="0" w:type="dxa"/>
            <w:left w:w="0" w:type="dxa"/>
            <w:bottom w:w="0" w:type="dxa"/>
            <w:right w:w="0" w:type="dxa"/>
          </w:tblCellMar>
        </w:tblPrEx>
        <w:trPr>
          <w:trHeight w:val="308" w:hRule="atLeast"/>
          <w:jc w:val="center"/>
        </w:trPr>
        <w:tc>
          <w:tcPr>
            <w:tcW w:w="0" w:type="auto"/>
            <w:gridSpan w:val="4"/>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w:t>
            </w:r>
          </w:p>
        </w:tc>
        <w:tc>
          <w:tcPr>
            <w:tcW w:w="0" w:type="auto"/>
            <w:gridSpan w:val="3"/>
            <w:tcBorders>
              <w:top w:val="single" w:color="000000" w:sz="4" w:space="0"/>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w:t>
            </w:r>
          </w:p>
        </w:tc>
      </w:tr>
      <w:tr>
        <w:tblPrEx>
          <w:tblCellMar>
            <w:top w:w="0" w:type="dxa"/>
            <w:left w:w="0" w:type="dxa"/>
            <w:bottom w:w="0" w:type="dxa"/>
            <w:right w:w="0" w:type="dxa"/>
          </w:tblCellMar>
        </w:tblPrEx>
        <w:trPr>
          <w:trHeight w:val="615" w:hRule="atLeast"/>
          <w:jc w:val="center"/>
        </w:trPr>
        <w:tc>
          <w:tcPr>
            <w:tcW w:w="1710" w:type="dxa"/>
            <w:gridSpan w:val="3"/>
            <w:tcBorders>
              <w:top w:val="nil"/>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功能分类科目编码</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r>
      <w:tr>
        <w:tblPrEx>
          <w:tblCellMar>
            <w:top w:w="0" w:type="dxa"/>
            <w:left w:w="0" w:type="dxa"/>
            <w:bottom w:w="0" w:type="dxa"/>
            <w:right w:w="0"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1</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2</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ascii="宋体" w:hAnsi="宋体" w:eastAsia="宋体" w:cs="宋体"/>
                <w:color w:val="000000"/>
                <w:kern w:val="0"/>
                <w:sz w:val="22"/>
              </w:rPr>
              <w:t>3</w:t>
            </w:r>
          </w:p>
        </w:tc>
      </w:tr>
      <w:tr>
        <w:tblPrEx>
          <w:tblCellMar>
            <w:top w:w="0" w:type="dxa"/>
            <w:left w:w="0" w:type="dxa"/>
            <w:bottom w:w="0" w:type="dxa"/>
            <w:right w:w="0" w:type="dxa"/>
          </w:tblCellMar>
        </w:tblPrEx>
        <w:trPr>
          <w:trHeight w:val="308" w:hRule="atLeast"/>
          <w:jc w:val="center"/>
        </w:trPr>
        <w:tc>
          <w:tcPr>
            <w:tcW w:w="0" w:type="auto"/>
            <w:gridSpan w:val="4"/>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b/>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2805" w:type="dxa"/>
            <w:tcBorders>
              <w:top w:val="nil"/>
              <w:left w:val="nil"/>
              <w:bottom w:val="single" w:color="000000" w:sz="4" w:space="0"/>
              <w:right w:val="single" w:color="000000" w:sz="4" w:space="0"/>
            </w:tcBorders>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2805" w:type="dxa"/>
            <w:tcBorders>
              <w:top w:val="nil"/>
              <w:left w:val="nil"/>
              <w:bottom w:val="single" w:color="000000" w:sz="4" w:space="0"/>
              <w:right w:val="single" w:color="000000" w:sz="4" w:space="0"/>
            </w:tcBorders>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2805" w:type="dxa"/>
            <w:tcBorders>
              <w:top w:val="nil"/>
              <w:left w:val="nil"/>
              <w:bottom w:val="single" w:color="000000" w:sz="4" w:space="0"/>
              <w:right w:val="single" w:color="000000" w:sz="4" w:space="0"/>
            </w:tcBorders>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2805" w:type="dxa"/>
            <w:tcBorders>
              <w:top w:val="nil"/>
              <w:left w:val="nil"/>
              <w:bottom w:val="single" w:color="000000" w:sz="4" w:space="0"/>
              <w:right w:val="single" w:color="000000" w:sz="4" w:space="0"/>
            </w:tcBorders>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r>
        <w:tblPrEx>
          <w:tblCellMar>
            <w:top w:w="0" w:type="dxa"/>
            <w:left w:w="0" w:type="dxa"/>
            <w:bottom w:w="0" w:type="dxa"/>
            <w:right w:w="0" w:type="dxa"/>
          </w:tblCellMar>
        </w:tblPrEx>
        <w:trPr>
          <w:trHeight w:val="308" w:hRule="atLeast"/>
          <w:jc w:val="center"/>
        </w:trPr>
        <w:tc>
          <w:tcPr>
            <w:tcW w:w="0" w:type="auto"/>
            <w:gridSpan w:val="3"/>
            <w:tcBorders>
              <w:top w:val="nil"/>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ascii="宋体" w:hAnsi="宋体" w:eastAsia="宋体" w:cs="宋体"/>
                <w:color w:val="000000"/>
                <w:sz w:val="22"/>
              </w:rPr>
            </w:pPr>
          </w:p>
        </w:tc>
        <w:tc>
          <w:tcPr>
            <w:tcW w:w="2805" w:type="dxa"/>
            <w:tcBorders>
              <w:top w:val="nil"/>
              <w:left w:val="nil"/>
              <w:bottom w:val="single" w:color="000000" w:sz="4" w:space="0"/>
              <w:right w:val="single" w:color="000000" w:sz="4" w:space="0"/>
            </w:tcBorders>
            <w:tcMar>
              <w:top w:w="15" w:type="dxa"/>
              <w:left w:w="15" w:type="dxa"/>
              <w:right w:w="15" w:type="dxa"/>
            </w:tcMar>
            <w:vAlign w:val="center"/>
          </w:tcPr>
          <w:p>
            <w:pPr>
              <w:jc w:val="lef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noWrap/>
            <w:tcMar>
              <w:top w:w="15" w:type="dxa"/>
              <w:left w:w="15" w:type="dxa"/>
              <w:right w:w="15" w:type="dxa"/>
            </w:tcMar>
            <w:vAlign w:val="center"/>
          </w:tcPr>
          <w:p>
            <w:pPr>
              <w:jc w:val="right"/>
              <w:rPr>
                <w:rFonts w:ascii="宋体" w:hAnsi="宋体" w:eastAsia="宋体" w:cs="宋体"/>
                <w:color w:val="000000"/>
                <w:sz w:val="22"/>
              </w:rPr>
            </w:pPr>
          </w:p>
        </w:tc>
      </w:tr>
    </w:tbl>
    <w:p/>
    <w:p>
      <w:pPr>
        <w:spacing w:after="0" w:line="560" w:lineRule="exact"/>
        <w:rPr>
          <w:rFonts w:hint="default" w:ascii="仿宋_GB2312" w:hAnsi="宋体" w:eastAsia="仿宋_GB2312"/>
          <w:b/>
          <w:sz w:val="28"/>
          <w:szCs w:val="28"/>
          <w:highlight w:val="yellow"/>
          <w:lang w:val="en-US"/>
        </w:rPr>
        <w:sectPr>
          <w:pgSz w:w="11906" w:h="16838"/>
          <w:pgMar w:top="2098" w:right="1474" w:bottom="1984" w:left="1588" w:header="851" w:footer="992" w:gutter="0"/>
          <w:cols w:space="0" w:num="1"/>
          <w:docGrid w:type="lines" w:linePitch="312" w:charSpace="0"/>
        </w:sectPr>
      </w:pPr>
      <w:r>
        <w:rPr>
          <w:rFonts w:hint="eastAsia" w:ascii="仿宋_GB2312" w:hAnsi="Cambria" w:eastAsia="仿宋_GB2312" w:cs="ArialUnicodeMS"/>
          <w:kern w:val="0"/>
          <w:sz w:val="32"/>
          <w:szCs w:val="32"/>
          <w:lang w:eastAsia="zh-CN"/>
        </w:rPr>
        <w:t>本部门本年度无国有资本经营预算财政拨款支出情况，</w:t>
      </w:r>
      <w:r>
        <w:rPr>
          <w:rFonts w:hint="eastAsia" w:ascii="仿宋_GB2312" w:hAnsi="Cambria" w:eastAsia="仿宋_GB2312" w:cs="ArialUnicodeMS"/>
          <w:kern w:val="0"/>
          <w:sz w:val="32"/>
          <w:szCs w:val="32"/>
          <w:lang w:val="en-US" w:eastAsia="zh-CN"/>
        </w:rPr>
        <w:t>按照要求</w:t>
      </w:r>
      <w:r>
        <w:rPr>
          <w:rFonts w:hint="eastAsia" w:ascii="仿宋_GB2312" w:hAnsi="Cambria" w:eastAsia="仿宋_GB2312" w:cs="ArialUnicodeMS"/>
          <w:kern w:val="0"/>
          <w:sz w:val="32"/>
          <w:szCs w:val="32"/>
          <w:lang w:eastAsia="zh-CN"/>
        </w:rPr>
        <w:t>空表</w:t>
      </w:r>
      <w:r>
        <w:rPr>
          <w:rFonts w:hint="eastAsia" w:ascii="仿宋_GB2312" w:hAnsi="Cambria" w:eastAsia="仿宋_GB2312" w:cs="ArialUnicodeMS"/>
          <w:kern w:val="0"/>
          <w:sz w:val="32"/>
          <w:szCs w:val="32"/>
          <w:lang w:val="en-US" w:eastAsia="zh-CN"/>
        </w:rPr>
        <w:t>列示。</w:t>
      </w:r>
    </w:p>
    <w:p>
      <w:r>
        <w:pict>
          <v:rect id="_x0000_s1105" o:spid="_x0000_s1105" o:spt="1" style="position:absolute;left:0pt;margin-left:-70.5pt;margin-top:-70.4pt;height:841.15pt;width:595.1pt;z-index:251674624;v-text-anchor:middle;mso-width-relative:page;mso-height-relative:page;" fillcolor="#FFC000" filled="t" stroked="f" coordsize="21600,21600">
            <v:path/>
            <v:fill on="t" focussize="0,0"/>
            <v:stroke on="f" weight="1pt"/>
            <v:imagedata o:title=""/>
            <o:lock v:ext="edit"/>
          </v:rect>
        </w:pict>
      </w:r>
    </w:p>
    <w:p/>
    <w:sectPr>
      <w:pgSz w:w="11906" w:h="16838"/>
      <w:pgMar w:top="1701" w:right="1417" w:bottom="1281" w:left="141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Yu Gothic UI Semibold">
    <w:altName w:val="Meiryo UI"/>
    <w:panose1 w:val="020B0700000000000000"/>
    <w:charset w:val="80"/>
    <w:family w:val="swiss"/>
    <w:pitch w:val="default"/>
    <w:sig w:usb0="00000000" w:usb1="00000000" w:usb2="00000016" w:usb3="00000000" w:csb0="2002009F" w:csb1="00000000"/>
  </w:font>
  <w:font w:name="Meiryo UI">
    <w:panose1 w:val="020B0604030504040204"/>
    <w:charset w:val="80"/>
    <w:family w:val="auto"/>
    <w:pitch w:val="default"/>
    <w:sig w:usb0="E10102FF" w:usb1="EAC7FFFF" w:usb2="00010012" w:usb3="00000000" w:csb0="6002009F" w:csb1="DFD70000"/>
  </w:font>
  <w:font w:name="思源黑体 HW Bold">
    <w:altName w:val="宋体"/>
    <w:panose1 w:val="00000000000000000000"/>
    <w:charset w:val="86"/>
    <w:family w:val="swiss"/>
    <w:pitch w:val="default"/>
    <w:sig w:usb0="00000000" w:usb1="00000000" w:usb2="0000001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Cambria">
    <w:panose1 w:val="02040503050406030204"/>
    <w:charset w:val="00"/>
    <w:family w:val="roman"/>
    <w:pitch w:val="default"/>
    <w:sig w:usb0="A00002EF" w:usb1="4000004B" w:usb2="00000000" w:usb3="00000000" w:csb0="2000019F"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MS-UIGothic,Bold">
    <w:altName w:val="Malgun Gothic"/>
    <w:panose1 w:val="00000000000000000000"/>
    <w:charset w:val="81"/>
    <w:family w:val="auto"/>
    <w:pitch w:val="default"/>
    <w:sig w:usb0="00000000" w:usb1="0000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1">
    <w:nsid w:val="59950409"/>
    <w:multiLevelType w:val="singleLevel"/>
    <w:tmpl w:val="59950409"/>
    <w:lvl w:ilvl="0" w:tentative="0">
      <w:start w:val="1"/>
      <w:numFmt w:val="decimal"/>
      <w:suff w:val="space"/>
      <w:lvlText w:val="%1."/>
      <w:lvlJc w:val="left"/>
      <w:rPr>
        <w:rFonts w:cs="Times New Roman"/>
      </w:rPr>
    </w:lvl>
  </w:abstractNum>
  <w:abstractNum w:abstractNumId="2">
    <w:nsid w:val="5F222FFA"/>
    <w:multiLevelType w:val="singleLevel"/>
    <w:tmpl w:val="5F222FFA"/>
    <w:lvl w:ilvl="0" w:tentative="0">
      <w:start w:val="1"/>
      <w:numFmt w:val="decimal"/>
      <w:suff w:val="nothing"/>
      <w:lvlText w:val="（%1）"/>
      <w:lvlJc w:val="left"/>
      <w:rPr>
        <w:rFonts w:cs="Times New Roman"/>
      </w:rPr>
    </w:lvl>
  </w:abstractNum>
  <w:abstractNum w:abstractNumId="3">
    <w:nsid w:val="78C1413D"/>
    <w:multiLevelType w:val="singleLevel"/>
    <w:tmpl w:val="78C1413D"/>
    <w:lvl w:ilvl="0" w:tentative="0">
      <w:start w:val="1"/>
      <w:numFmt w:val="decimal"/>
      <w:suff w:val="space"/>
      <w:lvlText w:val="%1."/>
      <w:lvlJc w:val="left"/>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7063E"/>
    <w:rsid w:val="00071ADD"/>
    <w:rsid w:val="00073392"/>
    <w:rsid w:val="00073F4E"/>
    <w:rsid w:val="00086C89"/>
    <w:rsid w:val="000A39FB"/>
    <w:rsid w:val="00117746"/>
    <w:rsid w:val="00163F95"/>
    <w:rsid w:val="00180A9A"/>
    <w:rsid w:val="001829C0"/>
    <w:rsid w:val="00184809"/>
    <w:rsid w:val="00192112"/>
    <w:rsid w:val="001B0127"/>
    <w:rsid w:val="001C12D5"/>
    <w:rsid w:val="001C69F7"/>
    <w:rsid w:val="001E45D3"/>
    <w:rsid w:val="002650EC"/>
    <w:rsid w:val="002A6C46"/>
    <w:rsid w:val="002C19B5"/>
    <w:rsid w:val="00371224"/>
    <w:rsid w:val="003A4EE8"/>
    <w:rsid w:val="00442CC2"/>
    <w:rsid w:val="00446244"/>
    <w:rsid w:val="00473C20"/>
    <w:rsid w:val="004D61CB"/>
    <w:rsid w:val="005011D6"/>
    <w:rsid w:val="00503F2E"/>
    <w:rsid w:val="00552226"/>
    <w:rsid w:val="00566120"/>
    <w:rsid w:val="00582E6D"/>
    <w:rsid w:val="005954D5"/>
    <w:rsid w:val="005A53FA"/>
    <w:rsid w:val="005D1293"/>
    <w:rsid w:val="00644D5F"/>
    <w:rsid w:val="006727AD"/>
    <w:rsid w:val="00691425"/>
    <w:rsid w:val="006A516E"/>
    <w:rsid w:val="006B0830"/>
    <w:rsid w:val="00716E2B"/>
    <w:rsid w:val="0072015C"/>
    <w:rsid w:val="00770F18"/>
    <w:rsid w:val="00773B74"/>
    <w:rsid w:val="0078290C"/>
    <w:rsid w:val="007C06CA"/>
    <w:rsid w:val="008163FB"/>
    <w:rsid w:val="0082605B"/>
    <w:rsid w:val="00855C36"/>
    <w:rsid w:val="00857DBE"/>
    <w:rsid w:val="008701BC"/>
    <w:rsid w:val="00883D92"/>
    <w:rsid w:val="008A5362"/>
    <w:rsid w:val="008F21F1"/>
    <w:rsid w:val="008F221B"/>
    <w:rsid w:val="008F5A2D"/>
    <w:rsid w:val="00921602"/>
    <w:rsid w:val="00957EA1"/>
    <w:rsid w:val="00966E5B"/>
    <w:rsid w:val="009B4EF0"/>
    <w:rsid w:val="009D271F"/>
    <w:rsid w:val="00A4337A"/>
    <w:rsid w:val="00A929C2"/>
    <w:rsid w:val="00AD097F"/>
    <w:rsid w:val="00B844F4"/>
    <w:rsid w:val="00BA06A1"/>
    <w:rsid w:val="00BA770A"/>
    <w:rsid w:val="00BF4D15"/>
    <w:rsid w:val="00C054DE"/>
    <w:rsid w:val="00C679A9"/>
    <w:rsid w:val="00C7541C"/>
    <w:rsid w:val="00CC0FAA"/>
    <w:rsid w:val="00CD0736"/>
    <w:rsid w:val="00D1570F"/>
    <w:rsid w:val="00D32830"/>
    <w:rsid w:val="00D70AB5"/>
    <w:rsid w:val="00DB7153"/>
    <w:rsid w:val="00DB7F05"/>
    <w:rsid w:val="00E028C3"/>
    <w:rsid w:val="00E14F77"/>
    <w:rsid w:val="00E3076B"/>
    <w:rsid w:val="00E36978"/>
    <w:rsid w:val="00E82A1E"/>
    <w:rsid w:val="00EC06F4"/>
    <w:rsid w:val="00EE4E36"/>
    <w:rsid w:val="00F665F4"/>
    <w:rsid w:val="00FB1D00"/>
    <w:rsid w:val="00FD225F"/>
    <w:rsid w:val="01A8767F"/>
    <w:rsid w:val="02EF69C4"/>
    <w:rsid w:val="03475746"/>
    <w:rsid w:val="042E427A"/>
    <w:rsid w:val="04C96ECF"/>
    <w:rsid w:val="085705B7"/>
    <w:rsid w:val="097672F9"/>
    <w:rsid w:val="09BD7322"/>
    <w:rsid w:val="0D484272"/>
    <w:rsid w:val="0E0F40CE"/>
    <w:rsid w:val="0E1C0C59"/>
    <w:rsid w:val="105B718C"/>
    <w:rsid w:val="11095041"/>
    <w:rsid w:val="111051D9"/>
    <w:rsid w:val="1396726C"/>
    <w:rsid w:val="15CD7BEA"/>
    <w:rsid w:val="16CE74BD"/>
    <w:rsid w:val="17391FE7"/>
    <w:rsid w:val="176031C3"/>
    <w:rsid w:val="18DD2DAA"/>
    <w:rsid w:val="1906569F"/>
    <w:rsid w:val="194A268D"/>
    <w:rsid w:val="1A877F4F"/>
    <w:rsid w:val="1BCC3A4B"/>
    <w:rsid w:val="1F260A98"/>
    <w:rsid w:val="204E34B6"/>
    <w:rsid w:val="211109EA"/>
    <w:rsid w:val="225F0E34"/>
    <w:rsid w:val="229B1FC6"/>
    <w:rsid w:val="239D7249"/>
    <w:rsid w:val="275346EC"/>
    <w:rsid w:val="27AA3086"/>
    <w:rsid w:val="2925647C"/>
    <w:rsid w:val="2EAB6108"/>
    <w:rsid w:val="31C2036A"/>
    <w:rsid w:val="31D53ED4"/>
    <w:rsid w:val="320D02A5"/>
    <w:rsid w:val="32FC259E"/>
    <w:rsid w:val="33DF5813"/>
    <w:rsid w:val="348E566F"/>
    <w:rsid w:val="37BC232F"/>
    <w:rsid w:val="3A175D0E"/>
    <w:rsid w:val="3A226944"/>
    <w:rsid w:val="3A391A69"/>
    <w:rsid w:val="3AEE6A48"/>
    <w:rsid w:val="3BCF2AFB"/>
    <w:rsid w:val="3C1620AA"/>
    <w:rsid w:val="3CBD2A27"/>
    <w:rsid w:val="3D8F080F"/>
    <w:rsid w:val="3EF61CDC"/>
    <w:rsid w:val="3F9F47A6"/>
    <w:rsid w:val="40D5564B"/>
    <w:rsid w:val="41062B2A"/>
    <w:rsid w:val="416E52BE"/>
    <w:rsid w:val="41CA7552"/>
    <w:rsid w:val="426F4591"/>
    <w:rsid w:val="433C483E"/>
    <w:rsid w:val="44CE1FA4"/>
    <w:rsid w:val="45084795"/>
    <w:rsid w:val="454602D5"/>
    <w:rsid w:val="45747209"/>
    <w:rsid w:val="46B33DE9"/>
    <w:rsid w:val="47636316"/>
    <w:rsid w:val="486724FC"/>
    <w:rsid w:val="487F73ED"/>
    <w:rsid w:val="494B781C"/>
    <w:rsid w:val="49D2480F"/>
    <w:rsid w:val="4A0A0A56"/>
    <w:rsid w:val="4A327855"/>
    <w:rsid w:val="4A347EAE"/>
    <w:rsid w:val="4B421E5F"/>
    <w:rsid w:val="4BAC5DEA"/>
    <w:rsid w:val="4DBE64D0"/>
    <w:rsid w:val="4F481840"/>
    <w:rsid w:val="4FCB54E1"/>
    <w:rsid w:val="4FDD1A9F"/>
    <w:rsid w:val="50022392"/>
    <w:rsid w:val="508E12FA"/>
    <w:rsid w:val="52600405"/>
    <w:rsid w:val="529B4319"/>
    <w:rsid w:val="529B4FA5"/>
    <w:rsid w:val="5373102B"/>
    <w:rsid w:val="53AF45C6"/>
    <w:rsid w:val="53E37B88"/>
    <w:rsid w:val="56811699"/>
    <w:rsid w:val="57773DD6"/>
    <w:rsid w:val="578B79AB"/>
    <w:rsid w:val="57A30695"/>
    <w:rsid w:val="5BF87506"/>
    <w:rsid w:val="5CC055E0"/>
    <w:rsid w:val="5CCD3FD5"/>
    <w:rsid w:val="60A1308B"/>
    <w:rsid w:val="61797258"/>
    <w:rsid w:val="61FA5F9D"/>
    <w:rsid w:val="62A014CC"/>
    <w:rsid w:val="63E57D64"/>
    <w:rsid w:val="64166E89"/>
    <w:rsid w:val="64CD6910"/>
    <w:rsid w:val="66384382"/>
    <w:rsid w:val="6789158D"/>
    <w:rsid w:val="67D81BA4"/>
    <w:rsid w:val="684E2E92"/>
    <w:rsid w:val="685073C5"/>
    <w:rsid w:val="69451B99"/>
    <w:rsid w:val="69C456B2"/>
    <w:rsid w:val="6AAF1C96"/>
    <w:rsid w:val="6B0D1616"/>
    <w:rsid w:val="6D072A0F"/>
    <w:rsid w:val="6E131AAE"/>
    <w:rsid w:val="6EAE440E"/>
    <w:rsid w:val="6F3E1030"/>
    <w:rsid w:val="6FB5338D"/>
    <w:rsid w:val="706620C3"/>
    <w:rsid w:val="728F5500"/>
    <w:rsid w:val="729A2168"/>
    <w:rsid w:val="72E35856"/>
    <w:rsid w:val="732F04C9"/>
    <w:rsid w:val="7392521E"/>
    <w:rsid w:val="745F2667"/>
    <w:rsid w:val="75681757"/>
    <w:rsid w:val="75A346A8"/>
    <w:rsid w:val="76B40022"/>
    <w:rsid w:val="77757B32"/>
    <w:rsid w:val="785B0C9C"/>
    <w:rsid w:val="79B9382C"/>
    <w:rsid w:val="79CE0AF3"/>
    <w:rsid w:val="79D11419"/>
    <w:rsid w:val="7A9E39C1"/>
    <w:rsid w:val="7AAD2A40"/>
    <w:rsid w:val="7B043B76"/>
    <w:rsid w:val="7B443709"/>
    <w:rsid w:val="7C041A6A"/>
    <w:rsid w:val="7D790FEA"/>
    <w:rsid w:val="7D7E4A49"/>
    <w:rsid w:val="7E155B05"/>
    <w:rsid w:val="7E32757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9"/>
    <w:qFormat/>
    <w:uiPriority w:val="99"/>
    <w:pPr>
      <w:keepNext/>
      <w:keepLines/>
      <w:spacing w:before="340" w:after="330" w:line="578" w:lineRule="auto"/>
      <w:outlineLvl w:val="0"/>
    </w:pPr>
    <w:rPr>
      <w:b/>
      <w:bCs/>
      <w:kern w:val="44"/>
      <w:sz w:val="44"/>
      <w:szCs w:val="44"/>
    </w:rPr>
  </w:style>
  <w:style w:type="character" w:default="1" w:styleId="8">
    <w:name w:val="Default Paragraph Font"/>
    <w:semiHidden/>
    <w:qFormat/>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qFormat/>
    <w:uiPriority w:val="99"/>
    <w:rPr>
      <w:rFonts w:ascii="仿宋_GB2312" w:hAnsi="仿宋_GB2312" w:eastAsia="仿宋_GB2312" w:cs="仿宋_GB2312"/>
      <w:sz w:val="32"/>
      <w:szCs w:val="32"/>
      <w:lang w:val="zh-CN"/>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basedOn w:val="6"/>
    <w:qFormat/>
    <w:uiPriority w:val="99"/>
    <w:rPr>
      <w:kern w:val="0"/>
      <w:sz w:val="22"/>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Heading 1 Char"/>
    <w:basedOn w:val="8"/>
    <w:link w:val="2"/>
    <w:qFormat/>
    <w:uiPriority w:val="9"/>
    <w:rPr>
      <w:rFonts w:ascii="等线" w:hAnsi="等线" w:eastAsia="等线"/>
      <w:b/>
      <w:bCs/>
      <w:kern w:val="44"/>
      <w:sz w:val="44"/>
      <w:szCs w:val="44"/>
    </w:rPr>
  </w:style>
  <w:style w:type="character" w:customStyle="1" w:styleId="10">
    <w:name w:val="Body Text Char"/>
    <w:basedOn w:val="8"/>
    <w:link w:val="3"/>
    <w:semiHidden/>
    <w:qFormat/>
    <w:uiPriority w:val="99"/>
    <w:rPr>
      <w:rFonts w:ascii="等线" w:hAnsi="等线" w:eastAsia="等线"/>
    </w:rPr>
  </w:style>
  <w:style w:type="character" w:customStyle="1" w:styleId="11">
    <w:name w:val="Footer Char"/>
    <w:basedOn w:val="8"/>
    <w:link w:val="4"/>
    <w:qFormat/>
    <w:locked/>
    <w:uiPriority w:val="99"/>
    <w:rPr>
      <w:rFonts w:cs="Times New Roman"/>
      <w:sz w:val="18"/>
      <w:szCs w:val="18"/>
    </w:rPr>
  </w:style>
  <w:style w:type="character" w:customStyle="1" w:styleId="12">
    <w:name w:val="Header Char"/>
    <w:basedOn w:val="8"/>
    <w:link w:val="5"/>
    <w:qFormat/>
    <w:locked/>
    <w:uiPriority w:val="99"/>
    <w:rPr>
      <w:rFonts w:ascii="等线" w:hAnsi="等线" w:eastAsia="等线" w:cs="Times New Roman"/>
      <w:sz w:val="18"/>
      <w:szCs w:val="18"/>
    </w:rPr>
  </w:style>
  <w:style w:type="paragraph" w:customStyle="1" w:styleId="13">
    <w:name w:val="列出段落1"/>
    <w:basedOn w:val="1"/>
    <w:qFormat/>
    <w:uiPriority w:val="99"/>
    <w:pPr>
      <w:spacing w:before="2"/>
      <w:ind w:left="119" w:right="434" w:firstLine="643"/>
    </w:pPr>
    <w:rPr>
      <w:rFonts w:ascii="仿宋_GB2312" w:hAnsi="仿宋_GB2312" w:eastAsia="仿宋_GB2312" w:cs="仿宋_GB231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33"/>
    <customShpInfo spid="_x0000_s1034"/>
    <customShpInfo spid="_x0000_s1035"/>
    <customShpInfo spid="_x0000_s1036"/>
    <customShpInfo spid="_x0000_s1038"/>
    <customShpInfo spid="_x0000_s1039"/>
    <customShpInfo spid="_x0000_s1037"/>
    <customShpInfo spid="_x0000_s1043"/>
    <customShpInfo spid="_x0000_s1041"/>
    <customShpInfo spid="_x0000_s1042"/>
    <customShpInfo spid="_x0000_s1040"/>
    <customShpInfo spid="_x0000_s1053"/>
    <customShpInfo spid="_x0000_s1061"/>
    <customShpInfo spid="_x0000_s1062"/>
    <customShpInfo spid="_x0000_s1064"/>
    <customShpInfo spid="_x0000_s1065"/>
    <customShpInfo spid="_x0000_s1063"/>
    <customShpInfo spid="_x0000_s1067"/>
    <customShpInfo spid="_x0000_s1068"/>
    <customShpInfo spid="_x0000_s1066"/>
    <customShpInfo spid="_x0000_s1070"/>
    <customShpInfo spid="_x0000_s1071"/>
    <customShpInfo spid="_x0000_s1069"/>
    <customShpInfo spid="_x0000_s1088"/>
    <customShpInfo spid="_x0000_s1089"/>
    <customShpInfo spid="_x0000_s110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简约文档封面模板.docx</Template>
  <Company>MS</Company>
  <Pages>35</Pages>
  <Words>1681</Words>
  <Characters>9585</Characters>
  <Lines>0</Lines>
  <Paragraphs>0</Paragraphs>
  <TotalTime>1</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Administrator</cp:lastModifiedBy>
  <cp:lastPrinted>2020-07-30T02:37:00Z</cp:lastPrinted>
  <dcterms:modified xsi:type="dcterms:W3CDTF">2021-06-24T03:28:26Z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04B516F3CCC44BE2904EFE6DF3812F11</vt:lpwstr>
  </property>
</Properties>
</file>