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pict>
          <v:shape id="图片 7" o:spid="_x0000_s1026" o:spt="75" alt="wc ga" type="#_x0000_t75" style="position:absolute;left:0pt;margin-left:-78pt;margin-top:-106.7pt;height:850.15pt;width:596.6pt;z-index:-251657216;mso-width-relative:page;mso-height-relative:page;" filled="f" o:preferrelative="t" stroked="f" coordsize="21600,21600">
            <v:path/>
            <v:fill on="f" focussize="0,0"/>
            <v:stroke on="f" joinstyle="miter"/>
            <v:imagedata r:id="rId6" o:title=""/>
            <o:lock v:ext="edit" aspectratio="t"/>
          </v:shape>
        </w:pict>
      </w:r>
    </w:p>
    <w:p>
      <w:pPr>
        <w:widowControl/>
        <w:jc w:val="center"/>
        <w:rPr>
          <w:rFonts w:ascii="黑体" w:hAnsi="宋体" w:eastAsia="黑体"/>
          <w:color w:val="002060"/>
          <w:sz w:val="72"/>
          <w:szCs w:val="72"/>
        </w:rPr>
      </w:pPr>
      <w:r>
        <w:pict>
          <v:shape id="文本框 8" o:spid="_x0000_s1027" o:spt="202" type="#_x0000_t202" style="position:absolute;left:0pt;margin-left:-83.1pt;margin-top:43.25pt;height:166.25pt;width:596.2pt;z-index:25166028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hint="default" w:ascii="黑体" w:hAnsi="宋体" w:eastAsia="黑体"/>
                      <w:color w:val="FDEFBE"/>
                      <w:sz w:val="96"/>
                      <w:szCs w:val="96"/>
                      <w:lang w:val="en-US" w:eastAsia="zh-CN"/>
                    </w:rPr>
                  </w:pPr>
                  <w:r>
                    <w:rPr>
                      <w:rFonts w:hint="eastAsia" w:ascii="黑体" w:hAnsi="宋体" w:eastAsia="黑体"/>
                      <w:color w:val="FDEFBE"/>
                      <w:sz w:val="96"/>
                      <w:szCs w:val="96"/>
                      <w:lang w:val="en-US" w:eastAsia="zh-CN"/>
                    </w:rPr>
                    <w:t>中共阜平县委组织部</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2871" w:firstLineChars="650"/>
        <w:rPr>
          <w:rFonts w:hint="default" w:ascii="楷体" w:hAnsi="楷体" w:eastAsia="楷体" w:cs="楷体"/>
          <w:b/>
          <w:sz w:val="44"/>
          <w:szCs w:val="44"/>
          <w:lang w:val="en-US" w:eastAsia="zh-CN"/>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w:t>
      </w:r>
      <w:r>
        <w:rPr>
          <w:rFonts w:hint="eastAsia" w:ascii="楷体" w:hAnsi="楷体" w:eastAsia="楷体" w:cs="楷体"/>
          <w:b/>
          <w:sz w:val="44"/>
          <w:szCs w:val="44"/>
          <w:lang w:val="en-US" w:eastAsia="zh-CN"/>
        </w:rPr>
        <w:t>九月</w:t>
      </w:r>
    </w:p>
    <w:p>
      <w:pPr>
        <w:spacing w:beforeLines="200" w:after="0" w:line="1000" w:lineRule="exact"/>
        <w:jc w:val="center"/>
        <w:rPr>
          <w:rFonts w:ascii="黑体" w:eastAsia="黑体"/>
          <w:sz w:val="48"/>
          <w:szCs w:val="48"/>
        </w:rPr>
      </w:pPr>
      <w:r>
        <w:pict>
          <v:group id="组合 179" o:spid="_x0000_s1028" o:spt="203" style="position:absolute;left:0pt;margin-left:-80.8pt;margin-top:39.95pt;height:46.7pt;width:250.05pt;mso-position-vertical-relative:page;z-index:251672576;mso-width-relative:page;mso-height-relative:page;" coordorigin="4551,52615" coordsize="8546,1398" o:allowoverlap="f">
            <o:lock v:ext="edit"/>
            <v:rect id="矩形 13" o:spid="_x0000_s1029" o:spt="1" style="position:absolute;left:4551;top:52615;height:1175;width:8546;v-text-anchor:middle;" fillcolor="#96DA9D" filled="t" stroked="f" coordsize="21600,21600">
              <v:path/>
              <v:fill on="t" focussize="0,0"/>
              <v:stroke on="f" weight="2pt"/>
              <v:imagedata o:title=""/>
              <o:lock v:ext="edit"/>
            </v:rect>
            <v:rect id="矩形 14" o:spid="_x0000_s103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hint="eastAsia"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hint="eastAsia"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黑体"/>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lang w:val="en-US" w:eastAsia="zh-CN"/>
        </w:rPr>
        <w:t>中共阜平县委</w:t>
      </w:r>
      <w:r>
        <w:rPr>
          <w:rFonts w:eastAsia="黑体"/>
          <w:sz w:val="32"/>
          <w:szCs w:val="32"/>
        </w:rPr>
        <w:t>2018</w:t>
      </w:r>
      <w:r>
        <w:rPr>
          <w:rFonts w:hint="eastAsia" w:eastAsia="黑体"/>
          <w:sz w:val="32"/>
          <w:szCs w:val="32"/>
        </w:rPr>
        <w:t>年部门决算情况说明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pict>
          <v:shape id="图片 12" o:spid="_x0000_s1034" o:spt="75" alt="2" type="#_x0000_t75" style="position:absolute;left:0pt;margin-left:-80.7pt;margin-top:-106.45pt;height:844.65pt;width:597.3pt;z-index:-251655168;mso-width-relative:page;mso-height-relative:page;" filled="f" o:preferrelative="t" stroked="f" coordsize="21600,21600">
            <v:path/>
            <v:fill on="f" focussize="0,0"/>
            <v:stroke on="f" joinstyle="miter"/>
            <v:imagedata r:id="rId7" o:title=""/>
            <o:lock v:ext="edit" aspectratio="t"/>
          </v:shape>
        </w:pict>
      </w:r>
      <w:r>
        <w:pict>
          <v:shape id="文本框 118" o:spid="_x0000_s1035" o:spt="202" type="#_x0000_t202" style="position:absolute;left:0pt;margin-left:-97.3pt;margin-top:259.1pt;height:81.7pt;width:613.65pt;z-index:251670528;mso-width-relative:page;mso-height-relative:page;" filled="f" stroked="f" coordsize="21600,2160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w:r>
    </w:p>
    <w:p/>
    <w:p/>
    <w:p/>
    <w:p/>
    <w:p/>
    <w:p/>
    <w:p/>
    <w:p/>
    <w:p/>
    <w:p/>
    <w:p/>
    <w:p/>
    <w:p/>
    <w:p/>
    <w:p>
      <w:pPr>
        <w:pStyle w:val="2"/>
        <w:spacing w:before="0" w:after="0" w:line="600" w:lineRule="exact"/>
        <w:jc w:val="left"/>
        <w:rPr>
          <w:rFonts w:ascii="黑体" w:hAnsi="Cambria" w:eastAsia="黑体" w:cs="黑体"/>
          <w:b w:val="0"/>
          <w:bCs w:val="0"/>
          <w:kern w:val="0"/>
          <w:sz w:val="32"/>
          <w:szCs w:val="32"/>
        </w:rPr>
      </w:pPr>
      <w:r>
        <w:pict>
          <v:group id="组合 15" o:spid="_x0000_s1036" o:spt="203" style="position:absolute;left:0pt;margin-left:-80.8pt;margin-top:39.5pt;height:46.7pt;width:245.25pt;mso-position-vertical-relative:page;z-index:251662336;mso-width-relative:page;mso-height-relative:page;" coordorigin="4551,52615" coordsize="8546,1398">
            <o:lock v:ext="edit"/>
            <v:rect id="_x0000_s1037" o:spid="_x0000_s1037" o:spt="1" style="position:absolute;left:4551;top:52615;height:1175;width:8546;v-text-anchor:middle;" fillcolor="#96DA9D" filled="t" stroked="f" coordsize="21600,21600">
              <v:path/>
              <v:fill on="t" focussize="0,0"/>
              <v:stroke on="f" weight="2pt"/>
              <v:imagedata o:title=""/>
              <o:lock v:ext="edit"/>
            </v:rect>
            <v:rect id="_x0000_s1038" o:spid="_x0000_s103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widowControl/>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根据中共阜平县委办公室《关于印发&lt;阜平县委组织部职能配置、内设机构和人员编制规定&gt;的通知》的要求，中共阜平县委组织部负责：</w:t>
      </w:r>
    </w:p>
    <w:p>
      <w:pPr>
        <w:widowControl/>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）、做好和完成全县党组织、干部、人才、领导班子建设等方面的检查监督、政策落实、调整配备、交流安置等项工作。</w:t>
      </w:r>
    </w:p>
    <w:p>
      <w:pPr>
        <w:widowControl/>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加强党的基层组织建设、党员队伍建设；建好配强基层党组织，并充分发挥其战斗堡垒作用；完成上级下达的发展党员、党员队伍管理、党费收缴等工作，发挥其先锋模范作用；组织新时期党的建设理论研究。</w:t>
      </w:r>
    </w:p>
    <w:p>
      <w:pPr>
        <w:widowControl/>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（三）、加强领导班子建设，选好配强乡（镇）和县直部门以及其它列入县委管理的领导班子；做好干部的调配、交流和安置工作，为全县经济建设和社会发展提供坚强的组织保障。</w:t>
      </w:r>
    </w:p>
    <w:p>
      <w:pPr>
        <w:widowControl/>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widowControl/>
        <w:spacing w:line="580" w:lineRule="exact"/>
        <w:ind w:firstLine="640" w:firstLineChars="200"/>
        <w:rPr>
          <w:rFonts w:hint="eastAsia" w:ascii="Times New Roman" w:hAnsi="Times New Roman" w:eastAsia="仿宋_GB2312" w:cs="Times New Roman"/>
          <w:sz w:val="32"/>
          <w:szCs w:val="32"/>
          <w:lang w:eastAsia="zh-CN"/>
        </w:rPr>
      </w:pP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after="0" w:line="560" w:lineRule="exact"/>
        <w:ind w:firstLine="640" w:firstLineChars="200"/>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我单位行政编制12个（其中工勤1个），事业编制10个；年末实有行政10人（其中工勤2人），事业9人。从决算编报单位构成看，纳入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w:t>
      </w:r>
      <w:r>
        <w:rPr>
          <w:rFonts w:ascii="仿宋_GB2312" w:hAnsi="Cambria" w:eastAsia="仿宋_GB2312" w:cs="ArialUnicodeMS"/>
          <w:kern w:val="0"/>
          <w:sz w:val="32"/>
          <w:szCs w:val="32"/>
        </w:rPr>
        <w:t xml:space="preserve"> </w:t>
      </w:r>
      <w:r>
        <w:rPr>
          <w:rFonts w:hint="eastAsia" w:ascii="仿宋_GB2312" w:hAnsi="Cambria" w:eastAsia="仿宋_GB2312" w:cs="ArialUnicodeMS"/>
          <w:kern w:val="0"/>
          <w:sz w:val="32"/>
          <w:szCs w:val="32"/>
          <w:lang w:val="en-US" w:eastAsia="zh-CN"/>
        </w:rPr>
        <w:t>1</w:t>
      </w:r>
      <w:r>
        <w:rPr>
          <w:rFonts w:hint="eastAsia" w:ascii="仿宋_GB2312" w:hAnsi="Cambria" w:eastAsia="仿宋_GB2312" w:cs="ArialUnicodeMS"/>
          <w:kern w:val="0"/>
          <w:sz w:val="32"/>
          <w:szCs w:val="32"/>
        </w:rPr>
        <w:t>个，具体情况如下：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4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44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485"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32"/>
                <w:szCs w:val="32"/>
                <w:lang w:eastAsia="zh-CN"/>
              </w:rPr>
              <w:t>中共阜平县委组织部</w:t>
            </w:r>
          </w:p>
        </w:tc>
        <w:tc>
          <w:tcPr>
            <w:tcW w:w="2445" w:type="dxa"/>
          </w:tcPr>
          <w:p>
            <w:pPr>
              <w:spacing w:after="0" w:line="560" w:lineRule="exact"/>
              <w:jc w:val="center"/>
              <w:rPr>
                <w:rFonts w:hint="default" w:ascii="仿宋_GB2312" w:hAnsi="Cambria" w:eastAsia="仿宋_GB2312" w:cs="ArialUnicodeMS"/>
                <w:kern w:val="0"/>
                <w:sz w:val="28"/>
                <w:szCs w:val="28"/>
                <w:lang w:val="en-US" w:eastAsia="zh-CN"/>
              </w:rPr>
            </w:pPr>
            <w:r>
              <w:rPr>
                <w:rFonts w:hint="eastAsia" w:ascii="仿宋_GB2312" w:hAnsi="Cambria" w:eastAsia="仿宋_GB2312" w:cs="ArialUnicodeMS"/>
                <w:kern w:val="0"/>
                <w:sz w:val="28"/>
                <w:szCs w:val="28"/>
                <w:lang w:val="en-US" w:eastAsia="zh-CN"/>
              </w:rPr>
              <w:t>行政单位</w:t>
            </w:r>
          </w:p>
        </w:tc>
        <w:tc>
          <w:tcPr>
            <w:tcW w:w="2665" w:type="dxa"/>
          </w:tcPr>
          <w:p>
            <w:pPr>
              <w:spacing w:after="0" w:line="560" w:lineRule="exact"/>
              <w:jc w:val="center"/>
              <w:rPr>
                <w:rFonts w:hint="eastAsia" w:ascii="仿宋_GB2312" w:hAnsi="Cambria" w:eastAsia="仿宋_GB2312" w:cs="ArialUnicodeMS"/>
                <w:kern w:val="0"/>
                <w:sz w:val="28"/>
                <w:szCs w:val="28"/>
                <w:lang w:val="en-US" w:eastAsia="zh-CN"/>
              </w:rPr>
            </w:pPr>
            <w:r>
              <w:rPr>
                <w:rFonts w:hint="eastAsia" w:ascii="仿宋_GB2312" w:hAnsi="Cambria" w:eastAsia="仿宋_GB2312" w:cs="ArialUnicodeMS"/>
                <w:kern w:val="0"/>
                <w:sz w:val="28"/>
                <w:szCs w:val="28"/>
                <w:lang w:val="en-US"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after="0" w:line="560" w:lineRule="exact"/>
              <w:ind w:firstLine="560" w:firstLineChars="200"/>
              <w:jc w:val="left"/>
              <w:rPr>
                <w:rFonts w:ascii="仿宋_GB2312" w:hAnsi="Cambria" w:eastAsia="仿宋_GB2312" w:cs="ArialUnicodeMS"/>
                <w:kern w:val="0"/>
                <w:sz w:val="28"/>
                <w:szCs w:val="28"/>
              </w:rPr>
            </w:pPr>
          </w:p>
        </w:tc>
      </w:tr>
    </w:tbl>
    <w:p>
      <w:pPr>
        <w:spacing w:after="0" w:line="560" w:lineRule="exact"/>
        <w:rPr>
          <w:rFonts w:ascii="仿宋_GB2312" w:hAnsi="Cambria" w:eastAsia="仿宋_GB2312" w:cs="ArialUnicodeMS"/>
          <w:kern w:val="0"/>
          <w:sz w:val="32"/>
          <w:szCs w:val="3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pict>
          <v:shape id="图片 16" o:spid="_x0000_s1039" o:spt="75" alt="2" type="#_x0000_t75" style="position:absolute;left:0pt;margin-left:-80.6pt;margin-top:-104.5pt;height:840.95pt;width:596.15pt;z-index:-251652096;mso-width-relative:page;mso-height-relative:page;" filled="f" o:preferrelative="t" stroked="f" coordsize="21600,21600">
            <v:path/>
            <v:fill on="f" focussize="0,0"/>
            <v:stroke on="f" joinstyle="miter"/>
            <v:imagedata r:id="rId7" o:title=""/>
            <o:lock v:ext="edit" aspectratio="t"/>
          </v:shape>
        </w:pict>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40" o:spt="202" type="#_x0000_t202" style="position:absolute;left:0pt;margin-left:-74.2pt;margin-top:120.3pt;height:159.1pt;width:596.2pt;z-index:251663360;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tbl>
      <w:tblPr>
        <w:tblStyle w:val="12"/>
        <w:tblW w:w="9300" w:type="dxa"/>
        <w:jc w:val="center"/>
        <w:tblLayout w:type="fixed"/>
        <w:tblCellMar>
          <w:top w:w="0" w:type="dxa"/>
          <w:left w:w="0" w:type="dxa"/>
          <w:bottom w:w="0" w:type="dxa"/>
          <w:right w:w="0" w:type="dxa"/>
        </w:tblCellMar>
      </w:tblPr>
      <w:tblGrid>
        <w:gridCol w:w="2700"/>
        <w:gridCol w:w="567"/>
        <w:gridCol w:w="1336"/>
        <w:gridCol w:w="2700"/>
        <w:gridCol w:w="567"/>
        <w:gridCol w:w="1430"/>
      </w:tblGrid>
      <w:tr>
        <w:tblPrEx>
          <w:tblCellMar>
            <w:top w:w="0" w:type="dxa"/>
            <w:left w:w="0" w:type="dxa"/>
            <w:bottom w:w="0" w:type="dxa"/>
            <w:right w:w="0" w:type="dxa"/>
          </w:tblCellMar>
        </w:tblPrEx>
        <w:trPr>
          <w:trHeight w:val="567" w:hRule="atLeast"/>
          <w:jc w:val="center"/>
        </w:trPr>
        <w:tc>
          <w:tcPr>
            <w:tcW w:w="9300" w:type="dxa"/>
            <w:gridSpan w:val="6"/>
            <w:tcBorders>
              <w:top w:val="nil"/>
              <w:left w:val="nil"/>
              <w:bottom w:val="nil"/>
              <w:right w:val="nil"/>
            </w:tcBorders>
            <w:tcMar>
              <w:top w:w="15" w:type="dxa"/>
              <w:left w:w="15" w:type="dxa"/>
              <w:right w:w="15" w:type="dxa"/>
            </w:tcMar>
            <w:vAlign w:val="center"/>
          </w:tcPr>
          <w:p>
            <w:pPr>
              <w:widowControl/>
              <w:spacing w:after="0" w:line="440" w:lineRule="exact"/>
              <w:jc w:val="center"/>
              <w:textAlignment w:val="center"/>
              <w:rPr>
                <w:rFonts w:ascii="黑体" w:hAnsi="宋体" w:eastAsia="黑体" w:cs="黑体"/>
                <w:color w:val="000000"/>
                <w:sz w:val="40"/>
                <w:szCs w:val="40"/>
              </w:rPr>
            </w:pPr>
            <w:r>
              <w:pict>
                <v:group id="组合 10" o:spid="_x0000_s1041" o:spt="203" style="position:absolute;left:0pt;margin-left:-70.25pt;margin-top:-81.85pt;height:41.2pt;width:243.2pt;mso-position-vertical-relative:page;z-index:251673600;mso-width-relative:page;mso-height-relative:page;" coordorigin="4551,52615" coordsize="8546,1398">
                  <o:lock v:ext="edit"/>
                  <v:rect id="矩形 13" o:spid="_x0000_s1042" o:spt="1" style="position:absolute;left:4551;top:52615;height:1175;width:8546;v-text-anchor:middle;" fillcolor="#96DA9D" filled="t" stroked="f" coordsize="21600,21600">
                    <v:path/>
                    <v:fill on="t" focussize="0,0"/>
                    <v:stroke on="f" weight="2pt"/>
                    <v:imagedata o:title=""/>
                    <o:lock v:ext="edit"/>
                  </v:rect>
                  <v:rect id="矩形 14" o:spid="_x0000_s104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收入支出决算总表</w:t>
            </w:r>
          </w:p>
        </w:tc>
      </w:tr>
      <w:tr>
        <w:tblPrEx>
          <w:tblCellMar>
            <w:top w:w="0" w:type="dxa"/>
            <w:left w:w="0" w:type="dxa"/>
            <w:bottom w:w="0" w:type="dxa"/>
            <w:right w:w="0" w:type="dxa"/>
          </w:tblCellMar>
        </w:tblPrEx>
        <w:trPr>
          <w:trHeight w:val="321" w:hRule="atLeast"/>
          <w:jc w:val="center"/>
        </w:trPr>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336"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430" w:type="dxa"/>
            <w:tcBorders>
              <w:top w:val="nil"/>
              <w:left w:val="nil"/>
              <w:bottom w:val="nil"/>
              <w:right w:val="nil"/>
            </w:tcBorders>
            <w:noWrap/>
            <w:tcMar>
              <w:top w:w="15" w:type="dxa"/>
              <w:left w:w="15" w:type="dxa"/>
              <w:right w:w="15" w:type="dxa"/>
            </w:tcMar>
            <w:vAlign w:val="center"/>
          </w:tcPr>
          <w:p>
            <w:pPr>
              <w:widowControl/>
              <w:spacing w:after="0" w:line="240" w:lineRule="exact"/>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01</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418" w:hRule="atLeast"/>
          <w:jc w:val="center"/>
        </w:trPr>
        <w:tc>
          <w:tcPr>
            <w:tcW w:w="2700" w:type="dxa"/>
            <w:tcBorders>
              <w:top w:val="nil"/>
              <w:left w:val="nil"/>
              <w:bottom w:val="nil"/>
              <w:right w:val="nil"/>
            </w:tcBorders>
            <w:tcMar>
              <w:top w:w="15" w:type="dxa"/>
              <w:left w:w="15" w:type="dxa"/>
              <w:right w:w="15" w:type="dxa"/>
            </w:tcMar>
            <w:vAlign w:val="center"/>
          </w:tcPr>
          <w:p>
            <w:pPr>
              <w:widowControl/>
              <w:spacing w:after="0" w:line="240" w:lineRule="exact"/>
              <w:jc w:val="left"/>
              <w:textAlignment w:val="center"/>
              <w:rPr>
                <w:rFonts w:ascii="宋体" w:cs="宋体"/>
                <w:color w:val="000000"/>
                <w:sz w:val="20"/>
                <w:szCs w:val="20"/>
              </w:rPr>
            </w:pPr>
            <w:r>
              <w:rPr>
                <w:rFonts w:hint="eastAsia" w:ascii="宋体" w:hAnsi="宋体" w:cs="宋体"/>
                <w:color w:val="000000"/>
                <w:kern w:val="0"/>
                <w:sz w:val="20"/>
                <w:szCs w:val="20"/>
              </w:rPr>
              <w:t>部门：</w:t>
            </w:r>
          </w:p>
        </w:tc>
        <w:tc>
          <w:tcPr>
            <w:tcW w:w="567"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1336"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567"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1430" w:type="dxa"/>
            <w:tcBorders>
              <w:top w:val="nil"/>
              <w:left w:val="nil"/>
              <w:bottom w:val="nil"/>
              <w:right w:val="nil"/>
            </w:tcBorders>
            <w:noWrap/>
            <w:tcMar>
              <w:top w:w="15" w:type="dxa"/>
              <w:left w:w="15" w:type="dxa"/>
              <w:right w:w="15" w:type="dxa"/>
            </w:tcMar>
            <w:vAlign w:val="center"/>
          </w:tcPr>
          <w:p>
            <w:pPr>
              <w:widowControl/>
              <w:spacing w:after="0" w:line="240" w:lineRule="exact"/>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295" w:hRule="atLeast"/>
          <w:jc w:val="center"/>
        </w:trPr>
        <w:tc>
          <w:tcPr>
            <w:tcW w:w="460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收入</w:t>
            </w:r>
          </w:p>
        </w:tc>
        <w:tc>
          <w:tcPr>
            <w:tcW w:w="4697"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支出</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行次</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金额</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行次</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金额</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rPr>
                <w:rFonts w:ascii="宋体" w:cs="宋体"/>
                <w:color w:val="000000"/>
                <w:sz w:val="20"/>
                <w:szCs w:val="20"/>
              </w:rPr>
            </w:pP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ascii="宋体" w:hAnsi="宋体" w:cs="宋体"/>
                <w:color w:val="000000"/>
                <w:kern w:val="0"/>
                <w:sz w:val="20"/>
                <w:szCs w:val="20"/>
              </w:rPr>
              <w:t>1</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rPr>
                <w:rFonts w:ascii="宋体" w:cs="宋体"/>
                <w:color w:val="000000"/>
                <w:sz w:val="20"/>
                <w:szCs w:val="20"/>
              </w:rPr>
            </w:pP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ascii="宋体" w:hAnsi="宋体" w:cs="宋体"/>
                <w:color w:val="000000"/>
                <w:kern w:val="0"/>
                <w:sz w:val="20"/>
                <w:szCs w:val="20"/>
              </w:rPr>
              <w:t>2</w:t>
            </w:r>
          </w:p>
        </w:tc>
      </w:tr>
      <w:tr>
        <w:tblPrEx>
          <w:tblCellMar>
            <w:top w:w="0" w:type="dxa"/>
            <w:left w:w="0" w:type="dxa"/>
            <w:bottom w:w="0" w:type="dxa"/>
            <w:right w:w="0" w:type="dxa"/>
          </w:tblCellMar>
        </w:tblPrEx>
        <w:trPr>
          <w:trHeight w:val="36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一、财政拨款收入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20"/>
                <w:szCs w:val="20"/>
              </w:rPr>
            </w:pPr>
            <w:r>
              <w:rPr>
                <w:rFonts w:hint="eastAsia" w:ascii="宋体" w:cs="宋体"/>
                <w:color w:val="000000"/>
                <w:sz w:val="20"/>
                <w:szCs w:val="20"/>
              </w:rPr>
              <w:t>1428.24</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一、一般公共服务支出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20"/>
                <w:szCs w:val="20"/>
              </w:rPr>
            </w:pPr>
            <w:r>
              <w:rPr>
                <w:rFonts w:hint="eastAsia" w:ascii="宋体" w:cs="宋体"/>
                <w:color w:val="000000"/>
                <w:sz w:val="20"/>
                <w:szCs w:val="20"/>
              </w:rPr>
              <w:t>286.53</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二、上级补助收入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二、外交支出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三、事业收入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三、国防支出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四、经营收入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四、公共安全支出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五、附属单位上缴收入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五、教育支出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六、其他收入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六、科学技术支出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七、文化体育与传媒支出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8</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八、社会保障和就业支出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35</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20"/>
                <w:szCs w:val="20"/>
              </w:rPr>
            </w:pPr>
            <w:r>
              <w:rPr>
                <w:rFonts w:hint="eastAsia" w:ascii="宋体" w:cs="宋体"/>
                <w:color w:val="000000"/>
                <w:sz w:val="20"/>
                <w:szCs w:val="20"/>
              </w:rPr>
              <w:t>159.64</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9</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九、医疗卫生与计划生育支出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36</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20"/>
                <w:szCs w:val="20"/>
              </w:rPr>
            </w:pPr>
            <w:r>
              <w:rPr>
                <w:rFonts w:hint="eastAsia" w:ascii="宋体" w:cs="宋体"/>
                <w:color w:val="000000"/>
                <w:sz w:val="20"/>
                <w:szCs w:val="20"/>
              </w:rPr>
              <w:t>6.49</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10</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十、节能环保支出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37</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十一、城乡社区支出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十二、农林水支出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20"/>
                <w:szCs w:val="20"/>
              </w:rPr>
            </w:pPr>
            <w:r>
              <w:rPr>
                <w:rFonts w:hint="eastAsia" w:ascii="宋体" w:cs="宋体"/>
                <w:color w:val="000000"/>
                <w:sz w:val="20"/>
                <w:szCs w:val="20"/>
              </w:rPr>
              <w:t>964.97</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十三、交通运输支出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十四、资源勘探信息等支出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十五、商业服务业等支出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十六、金融支出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十七、援助其他地区支出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18</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十八、国土海洋气象等支出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45</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19</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十九、住房保障支出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46</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hint="eastAsia" w:ascii="宋体" w:eastAsia="宋体" w:cs="宋体"/>
                <w:color w:val="000000"/>
                <w:sz w:val="20"/>
                <w:szCs w:val="20"/>
                <w:lang w:val="en-US" w:eastAsia="zh-CN"/>
              </w:rPr>
            </w:pPr>
            <w:r>
              <w:rPr>
                <w:rFonts w:hint="eastAsia" w:ascii="宋体" w:cs="宋体"/>
                <w:color w:val="000000"/>
                <w:sz w:val="20"/>
                <w:szCs w:val="20"/>
              </w:rPr>
              <w:t>10.6</w:t>
            </w:r>
            <w:r>
              <w:rPr>
                <w:rFonts w:hint="eastAsia" w:ascii="宋体" w:cs="宋体"/>
                <w:color w:val="000000"/>
                <w:sz w:val="20"/>
                <w:szCs w:val="20"/>
                <w:lang w:val="en-US" w:eastAsia="zh-CN"/>
              </w:rPr>
              <w:t>0</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20</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二十、粮油物资储备支出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47</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二十一、其他支出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二十二、债务还本支出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二十三、债务付息支出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hint="eastAsia" w:ascii="宋体" w:hAnsi="宋体" w:cs="宋体"/>
                <w:color w:val="000000"/>
                <w:kern w:val="0"/>
                <w:sz w:val="20"/>
                <w:szCs w:val="20"/>
              </w:rPr>
              <w:t>本年收入合计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18"/>
                <w:szCs w:val="18"/>
              </w:rPr>
            </w:pPr>
            <w:r>
              <w:rPr>
                <w:rFonts w:hint="eastAsia" w:ascii="宋体" w:cs="宋体"/>
                <w:color w:val="000000"/>
                <w:sz w:val="18"/>
                <w:szCs w:val="18"/>
              </w:rPr>
              <w:t>1428.24</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hint="eastAsia" w:ascii="宋体" w:hAnsi="宋体" w:cs="宋体"/>
                <w:color w:val="000000"/>
                <w:kern w:val="0"/>
                <w:sz w:val="20"/>
                <w:szCs w:val="20"/>
              </w:rPr>
              <w:t>本年支出合计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20"/>
                <w:szCs w:val="20"/>
              </w:rPr>
            </w:pPr>
            <w:r>
              <w:rPr>
                <w:rFonts w:hint="eastAsia" w:ascii="宋体" w:cs="宋体"/>
                <w:color w:val="000000"/>
                <w:sz w:val="20"/>
                <w:szCs w:val="20"/>
              </w:rPr>
              <w:t>1428.24</w:t>
            </w:r>
          </w:p>
        </w:tc>
      </w:tr>
      <w:tr>
        <w:tblPrEx>
          <w:tblCellMar>
            <w:top w:w="0" w:type="dxa"/>
            <w:left w:w="0" w:type="dxa"/>
            <w:bottom w:w="0" w:type="dxa"/>
            <w:right w:w="0" w:type="dxa"/>
          </w:tblCellMar>
        </w:tblPrEx>
        <w:trPr>
          <w:trHeight w:val="38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用事业基金弥补收支差额</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结余分配</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年初结转和结余</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年末结转和结余</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18"/>
                <w:szCs w:val="18"/>
              </w:rPr>
            </w:pPr>
            <w:r>
              <w:rPr>
                <w:rFonts w:hint="eastAsia" w:ascii="宋体" w:cs="宋体"/>
                <w:color w:val="000000"/>
                <w:sz w:val="18"/>
                <w:szCs w:val="18"/>
              </w:rPr>
              <w:t>1428.24</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rPr>
                <w:rFonts w:ascii="宋体" w:cs="宋体"/>
                <w:color w:val="000000"/>
                <w:sz w:val="20"/>
                <w:szCs w:val="20"/>
              </w:rPr>
            </w:pPr>
            <w:r>
              <w:rPr>
                <w:rFonts w:hint="eastAsia" w:ascii="宋体" w:cs="宋体"/>
                <w:color w:val="000000"/>
                <w:sz w:val="20"/>
                <w:szCs w:val="20"/>
              </w:rPr>
              <w:t>1428.24</w:t>
            </w:r>
          </w:p>
        </w:tc>
      </w:tr>
      <w:tr>
        <w:tblPrEx>
          <w:tblCellMar>
            <w:top w:w="0" w:type="dxa"/>
            <w:left w:w="0" w:type="dxa"/>
            <w:bottom w:w="0" w:type="dxa"/>
            <w:right w:w="0" w:type="dxa"/>
          </w:tblCellMar>
        </w:tblPrEx>
        <w:trPr>
          <w:trHeight w:val="417" w:hRule="atLeast"/>
          <w:jc w:val="center"/>
        </w:trPr>
        <w:tc>
          <w:tcPr>
            <w:tcW w:w="9300" w:type="dxa"/>
            <w:gridSpan w:val="6"/>
            <w:tcBorders>
              <w:top w:val="nil"/>
              <w:left w:val="nil"/>
              <w:bottom w:val="nil"/>
              <w:right w:val="nil"/>
            </w:tcBorders>
            <w:tcMar>
              <w:top w:w="15" w:type="dxa"/>
              <w:left w:w="15" w:type="dxa"/>
              <w:right w:w="15" w:type="dxa"/>
            </w:tcMar>
            <w:vAlign w:val="center"/>
          </w:tcPr>
          <w:p>
            <w:pPr>
              <w:widowControl/>
              <w:spacing w:after="0" w:line="200" w:lineRule="exact"/>
              <w:jc w:val="left"/>
              <w:textAlignment w:val="center"/>
              <w:rPr>
                <w:rFonts w:ascii="宋体" w:cs="宋体"/>
                <w:color w:val="000000"/>
                <w:szCs w:val="21"/>
              </w:rPr>
            </w:pPr>
            <w:r>
              <w:rPr>
                <w:rFonts w:hint="eastAsia" w:ascii="宋体" w:hAnsi="宋体" w:cs="宋体"/>
                <w:color w:val="000000"/>
                <w:kern w:val="0"/>
                <w:szCs w:val="21"/>
              </w:rPr>
              <w:t>注：本表反映部门本年度的总收支和年末结转结余情况。</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980" w:type="dxa"/>
        <w:jc w:val="center"/>
        <w:tblLayout w:type="fixed"/>
        <w:tblCellMar>
          <w:top w:w="0" w:type="dxa"/>
          <w:left w:w="0" w:type="dxa"/>
          <w:bottom w:w="0" w:type="dxa"/>
          <w:right w:w="0" w:type="dxa"/>
        </w:tblCellMar>
      </w:tblPr>
      <w:tblGrid>
        <w:gridCol w:w="341"/>
        <w:gridCol w:w="182"/>
        <w:gridCol w:w="530"/>
        <w:gridCol w:w="1344"/>
        <w:gridCol w:w="543"/>
        <w:gridCol w:w="265"/>
        <w:gridCol w:w="130"/>
        <w:gridCol w:w="701"/>
        <w:gridCol w:w="237"/>
        <w:gridCol w:w="595"/>
        <w:gridCol w:w="344"/>
        <w:gridCol w:w="487"/>
        <w:gridCol w:w="451"/>
        <w:gridCol w:w="380"/>
        <w:gridCol w:w="559"/>
        <w:gridCol w:w="938"/>
        <w:gridCol w:w="953"/>
      </w:tblGrid>
      <w:tr>
        <w:tblPrEx>
          <w:tblCellMar>
            <w:top w:w="0" w:type="dxa"/>
            <w:left w:w="0" w:type="dxa"/>
            <w:bottom w:w="0" w:type="dxa"/>
            <w:right w:w="0" w:type="dxa"/>
          </w:tblCellMar>
        </w:tblPrEx>
        <w:trPr>
          <w:trHeight w:val="602" w:hRule="atLeast"/>
          <w:jc w:val="center"/>
        </w:trPr>
        <w:tc>
          <w:tcPr>
            <w:tcW w:w="8980" w:type="dxa"/>
            <w:gridSpan w:val="17"/>
            <w:tcBorders>
              <w:top w:val="nil"/>
              <w:left w:val="nil"/>
              <w:bottom w:val="nil"/>
              <w:right w:val="nil"/>
            </w:tcBorders>
            <w:noWrap/>
            <w:tcMar>
              <w:top w:w="15" w:type="dxa"/>
              <w:left w:w="15" w:type="dxa"/>
              <w:right w:w="15" w:type="dxa"/>
            </w:tcMar>
            <w:vAlign w:val="bottom"/>
          </w:tcPr>
          <w:p>
            <w:pPr>
              <w:widowControl/>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收入决</w:t>
            </w:r>
            <w:r>
              <w:pict>
                <v:group id="组合 34" o:spid="_x0000_s1044" o:spt="203" style="position:absolute;left:0pt;margin-left:-82.75pt;margin-top:-81.1pt;height:41.2pt;width:243.2pt;mso-position-vertical-relative:page;z-index:251674624;mso-width-relative:page;mso-height-relative:page;" coordorigin="4551,52615" coordsize="8546,1398">
                  <o:lock v:ext="edit"/>
                  <v:rect id="矩形 13" o:spid="_x0000_s1045" o:spt="1" style="position:absolute;left:4551;top:52615;height:1175;width:8546;v-text-anchor:middle;" fillcolor="#96DA9D" filled="t" stroked="f" coordsize="21600,21600">
                    <v:path/>
                    <v:fill on="t" focussize="0,0"/>
                    <v:stroke on="f" weight="2pt"/>
                    <v:imagedata o:title=""/>
                    <o:lock v:ext="edit"/>
                  </v:rect>
                  <v:rect id="矩形 14" o:spid="_x0000_s1046"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算表</w:t>
            </w:r>
          </w:p>
        </w:tc>
      </w:tr>
      <w:tr>
        <w:tblPrEx>
          <w:tblCellMar>
            <w:top w:w="0" w:type="dxa"/>
            <w:left w:w="0" w:type="dxa"/>
            <w:bottom w:w="0" w:type="dxa"/>
            <w:right w:w="0" w:type="dxa"/>
          </w:tblCellMar>
        </w:tblPrEx>
        <w:trPr>
          <w:trHeight w:val="284" w:hRule="atLeast"/>
          <w:jc w:val="center"/>
        </w:trPr>
        <w:tc>
          <w:tcPr>
            <w:tcW w:w="341"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82"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53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344"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543"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6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3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32"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3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3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50" w:type="dxa"/>
            <w:gridSpan w:val="3"/>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02</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284" w:hRule="atLeast"/>
          <w:jc w:val="center"/>
        </w:trPr>
        <w:tc>
          <w:tcPr>
            <w:tcW w:w="2940" w:type="dxa"/>
            <w:gridSpan w:val="5"/>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部门：</w:t>
            </w:r>
          </w:p>
        </w:tc>
        <w:tc>
          <w:tcPr>
            <w:tcW w:w="26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3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32"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3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3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50" w:type="dxa"/>
            <w:gridSpan w:val="3"/>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264" w:hRule="atLeast"/>
          <w:jc w:val="center"/>
        </w:trPr>
        <w:tc>
          <w:tcPr>
            <w:tcW w:w="2397" w:type="dxa"/>
            <w:gridSpan w:val="4"/>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项目</w:t>
            </w:r>
          </w:p>
        </w:tc>
        <w:tc>
          <w:tcPr>
            <w:tcW w:w="938" w:type="dxa"/>
            <w:gridSpan w:val="3"/>
            <w:vMerge w:val="restart"/>
            <w:tcBorders>
              <w:top w:val="single" w:color="auto" w:sz="4" w:space="0"/>
              <w:left w:val="single" w:color="auto" w:sz="4" w:space="0"/>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本年收入合计</w:t>
            </w:r>
          </w:p>
        </w:tc>
        <w:tc>
          <w:tcPr>
            <w:tcW w:w="938" w:type="dxa"/>
            <w:gridSpan w:val="2"/>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财政拨款收入</w:t>
            </w:r>
          </w:p>
        </w:tc>
        <w:tc>
          <w:tcPr>
            <w:tcW w:w="939" w:type="dxa"/>
            <w:gridSpan w:val="2"/>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上级补助收入</w:t>
            </w:r>
          </w:p>
        </w:tc>
        <w:tc>
          <w:tcPr>
            <w:tcW w:w="938" w:type="dxa"/>
            <w:gridSpan w:val="2"/>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事业收入</w:t>
            </w:r>
          </w:p>
        </w:tc>
        <w:tc>
          <w:tcPr>
            <w:tcW w:w="939" w:type="dxa"/>
            <w:gridSpan w:val="2"/>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经营收入</w:t>
            </w:r>
          </w:p>
        </w:tc>
        <w:tc>
          <w:tcPr>
            <w:tcW w:w="938" w:type="dxa"/>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附属单位上缴收入</w:t>
            </w:r>
          </w:p>
        </w:tc>
        <w:tc>
          <w:tcPr>
            <w:tcW w:w="953" w:type="dxa"/>
            <w:vMerge w:val="restart"/>
            <w:tcBorders>
              <w:top w:val="single" w:color="auto" w:sz="4" w:space="0"/>
              <w:left w:val="nil"/>
              <w:bottom w:val="single" w:color="auto" w:sz="4" w:space="0"/>
              <w:right w:val="single" w:color="auto"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其他收入</w:t>
            </w:r>
          </w:p>
        </w:tc>
      </w:tr>
      <w:tr>
        <w:tblPrEx>
          <w:tblCellMar>
            <w:top w:w="0" w:type="dxa"/>
            <w:left w:w="0" w:type="dxa"/>
            <w:bottom w:w="0" w:type="dxa"/>
            <w:right w:w="0" w:type="dxa"/>
          </w:tblCellMar>
        </w:tblPrEx>
        <w:trPr>
          <w:trHeight w:val="490" w:hRule="atLeast"/>
          <w:jc w:val="center"/>
        </w:trPr>
        <w:tc>
          <w:tcPr>
            <w:tcW w:w="105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功能分类科目编码</w:t>
            </w:r>
          </w:p>
        </w:tc>
        <w:tc>
          <w:tcPr>
            <w:tcW w:w="1344" w:type="dxa"/>
            <w:tcBorders>
              <w:top w:val="nil"/>
              <w:left w:val="nil"/>
              <w:bottom w:val="single" w:color="000000" w:sz="4" w:space="0"/>
              <w:right w:val="single" w:color="auto"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科目名称</w:t>
            </w:r>
          </w:p>
        </w:tc>
        <w:tc>
          <w:tcPr>
            <w:tcW w:w="938" w:type="dxa"/>
            <w:gridSpan w:val="3"/>
            <w:vMerge w:val="continue"/>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 w:val="20"/>
                <w:szCs w:val="20"/>
              </w:rPr>
            </w:pPr>
          </w:p>
        </w:tc>
        <w:tc>
          <w:tcPr>
            <w:tcW w:w="938" w:type="dxa"/>
            <w:gridSpan w:val="2"/>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939" w:type="dxa"/>
            <w:gridSpan w:val="2"/>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938" w:type="dxa"/>
            <w:gridSpan w:val="2"/>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939" w:type="dxa"/>
            <w:gridSpan w:val="2"/>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938" w:type="dxa"/>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953" w:type="dxa"/>
            <w:vMerge w:val="continue"/>
            <w:tcBorders>
              <w:top w:val="single" w:color="auto" w:sz="4" w:space="0"/>
              <w:left w:val="nil"/>
              <w:bottom w:val="single" w:color="000000" w:sz="4" w:space="0"/>
              <w:right w:val="single" w:color="auto"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r>
      <w:tr>
        <w:tblPrEx>
          <w:tblCellMar>
            <w:top w:w="0" w:type="dxa"/>
            <w:left w:w="0" w:type="dxa"/>
            <w:bottom w:w="0" w:type="dxa"/>
            <w:right w:w="0" w:type="dxa"/>
          </w:tblCellMar>
        </w:tblPrEx>
        <w:trPr>
          <w:trHeight w:val="314" w:hRule="atLeast"/>
          <w:jc w:val="center"/>
        </w:trPr>
        <w:tc>
          <w:tcPr>
            <w:tcW w:w="2397"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93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9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93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9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c>
          <w:tcPr>
            <w:tcW w:w="93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w:t>
            </w:r>
          </w:p>
        </w:tc>
        <w:tc>
          <w:tcPr>
            <w:tcW w:w="9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6</w:t>
            </w:r>
          </w:p>
        </w:tc>
        <w:tc>
          <w:tcPr>
            <w:tcW w:w="9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7</w:t>
            </w:r>
          </w:p>
        </w:tc>
      </w:tr>
      <w:tr>
        <w:tblPrEx>
          <w:tblCellMar>
            <w:top w:w="0" w:type="dxa"/>
            <w:left w:w="0" w:type="dxa"/>
            <w:bottom w:w="0" w:type="dxa"/>
            <w:right w:w="0" w:type="dxa"/>
          </w:tblCellMar>
        </w:tblPrEx>
        <w:trPr>
          <w:trHeight w:val="254" w:hRule="atLeast"/>
          <w:jc w:val="center"/>
        </w:trPr>
        <w:tc>
          <w:tcPr>
            <w:tcW w:w="2397"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合计</w:t>
            </w:r>
          </w:p>
        </w:tc>
        <w:tc>
          <w:tcPr>
            <w:tcW w:w="938" w:type="dxa"/>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b/>
                <w:color w:val="000000"/>
                <w:sz w:val="18"/>
                <w:szCs w:val="18"/>
              </w:rPr>
            </w:pPr>
            <w:r>
              <w:rPr>
                <w:rFonts w:hint="eastAsia" w:ascii="宋体" w:cs="宋体"/>
                <w:b/>
                <w:color w:val="000000"/>
                <w:sz w:val="18"/>
                <w:szCs w:val="18"/>
              </w:rPr>
              <w:t>1428.24</w:t>
            </w:r>
          </w:p>
        </w:tc>
        <w:tc>
          <w:tcPr>
            <w:tcW w:w="938"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b/>
                <w:color w:val="000000"/>
                <w:sz w:val="18"/>
                <w:szCs w:val="18"/>
              </w:rPr>
            </w:pPr>
            <w:r>
              <w:rPr>
                <w:rFonts w:hint="eastAsia" w:ascii="宋体" w:cs="宋体"/>
                <w:b/>
                <w:color w:val="000000"/>
                <w:sz w:val="18"/>
                <w:szCs w:val="18"/>
              </w:rPr>
              <w:t>1428.24</w:t>
            </w:r>
          </w:p>
        </w:tc>
        <w:tc>
          <w:tcPr>
            <w:tcW w:w="939"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c>
          <w:tcPr>
            <w:tcW w:w="938"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c>
          <w:tcPr>
            <w:tcW w:w="939"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c>
          <w:tcPr>
            <w:tcW w:w="938"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c>
          <w:tcPr>
            <w:tcW w:w="95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201</w:t>
            </w:r>
          </w:p>
        </w:tc>
        <w:tc>
          <w:tcPr>
            <w:tcW w:w="1344"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left"/>
              <w:rPr>
                <w:rFonts w:hint="eastAsia" w:ascii="宋体" w:hAnsi="宋体" w:eastAsia="宋体" w:cs="Times New Roman"/>
                <w:color w:val="000000"/>
                <w:kern w:val="2"/>
                <w:sz w:val="15"/>
                <w:szCs w:val="15"/>
                <w:lang w:val="en-US" w:eastAsia="zh-CN" w:bidi="ar-SA"/>
              </w:rPr>
            </w:pPr>
            <w:r>
              <w:rPr>
                <w:rFonts w:hint="eastAsia" w:ascii="宋体" w:hAnsi="宋体"/>
                <w:color w:val="000000"/>
                <w:sz w:val="15"/>
                <w:szCs w:val="15"/>
              </w:rPr>
              <w:t>一般公共服务支出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286.53</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286.53</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20132</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组织事务</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286.53</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286.53</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2013201</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行政运行</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102.86</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102.86</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2013202</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一般行政管理事务</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138.36</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138.36</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2013250</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事业运行</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45.31</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45.31</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208</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社会保障和就业支出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159.64</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159.64</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20805</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行政事业单位离退休</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23.01</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23.01</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2080504</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未归口管理的行政单位离退休</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5.26</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5.26</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2080505</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机关事业单位基本养老保险缴费支出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17.74</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17.74</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20808</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抚恤</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2080899</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其他优抚支出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210</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医疗卫生与计划生育支出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21011</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行政事业单位医疗</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2101101</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行政单位医疗</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213</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农林水支出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964.97</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964.97</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21305</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扶贫</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951.00</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951.00</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2130599</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其他扶贫支出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951.00</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951.00</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21307</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农村综合改革</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13.97</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13.97</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2130705</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对村民委员会和村党支部的补助</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13.97</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13.97</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221</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住房保障支出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22102</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住房改革支出</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exact"/>
          <w:jc w:val="center"/>
        </w:trPr>
        <w:tc>
          <w:tcPr>
            <w:tcW w:w="105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hAnsi="Times New Roman" w:cs="宋体"/>
                <w:color w:val="000000"/>
                <w:sz w:val="18"/>
                <w:szCs w:val="18"/>
              </w:rPr>
            </w:pPr>
            <w:r>
              <w:rPr>
                <w:rFonts w:hint="eastAsia" w:ascii="宋体" w:hAnsi="Times New Roman" w:cs="宋体"/>
                <w:color w:val="000000"/>
                <w:sz w:val="18"/>
                <w:szCs w:val="18"/>
              </w:rPr>
              <w:t>2210201</w:t>
            </w:r>
          </w:p>
        </w:tc>
        <w:tc>
          <w:tcPr>
            <w:tcW w:w="1344" w:type="dxa"/>
            <w:tcBorders>
              <w:top w:val="nil"/>
              <w:left w:val="nil"/>
              <w:bottom w:val="single" w:color="000000" w:sz="4" w:space="0"/>
              <w:right w:val="single" w:color="000000" w:sz="4" w:space="0"/>
            </w:tcBorders>
            <w:noWrap/>
            <w:tcMar>
              <w:top w:w="15" w:type="dxa"/>
              <w:left w:w="15" w:type="dxa"/>
              <w:right w:w="15" w:type="dxa"/>
            </w:tcMar>
            <w:vAlign w:val="center"/>
          </w:tcPr>
          <w:p>
            <w:pPr>
              <w:spacing w:beforeLines="0" w:after="0" w:afterLines="0" w:line="240" w:lineRule="auto"/>
              <w:jc w:val="left"/>
              <w:rPr>
                <w:rFonts w:hint="eastAsia" w:ascii="宋体" w:hAnsi="宋体" w:cs="Times New Roman"/>
                <w:color w:val="000000"/>
                <w:sz w:val="15"/>
                <w:szCs w:val="15"/>
                <w:lang w:val="en-US" w:eastAsia="zh-CN"/>
              </w:rPr>
            </w:pPr>
            <w:r>
              <w:rPr>
                <w:rFonts w:hint="eastAsia" w:ascii="宋体" w:hAnsi="宋体" w:cs="Times New Roman"/>
                <w:color w:val="000000"/>
                <w:sz w:val="15"/>
                <w:szCs w:val="15"/>
              </w:rPr>
              <w:t>住房公积金</w:t>
            </w:r>
          </w:p>
        </w:tc>
        <w:tc>
          <w:tcPr>
            <w:tcW w:w="938"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38"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95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81" w:hRule="atLeast"/>
          <w:jc w:val="center"/>
        </w:trPr>
        <w:tc>
          <w:tcPr>
            <w:tcW w:w="8980" w:type="dxa"/>
            <w:gridSpan w:val="17"/>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注：本表反映部门本年度取得的各项收入情况。</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9090" w:type="dxa"/>
        <w:tblInd w:w="0" w:type="dxa"/>
        <w:tblLayout w:type="fixed"/>
        <w:tblCellMar>
          <w:top w:w="0" w:type="dxa"/>
          <w:left w:w="0" w:type="dxa"/>
          <w:bottom w:w="0" w:type="dxa"/>
          <w:right w:w="0" w:type="dxa"/>
        </w:tblCellMar>
      </w:tblPr>
      <w:tblGrid>
        <w:gridCol w:w="290"/>
        <w:gridCol w:w="289"/>
        <w:gridCol w:w="306"/>
        <w:gridCol w:w="1845"/>
        <w:gridCol w:w="506"/>
        <w:gridCol w:w="694"/>
        <w:gridCol w:w="334"/>
        <w:gridCol w:w="90"/>
        <w:gridCol w:w="686"/>
        <w:gridCol w:w="344"/>
        <w:gridCol w:w="90"/>
        <w:gridCol w:w="541"/>
        <w:gridCol w:w="487"/>
        <w:gridCol w:w="90"/>
        <w:gridCol w:w="241"/>
        <w:gridCol w:w="879"/>
        <w:gridCol w:w="204"/>
        <w:gridCol w:w="1084"/>
        <w:gridCol w:w="90"/>
      </w:tblGrid>
      <w:tr>
        <w:tblPrEx>
          <w:tblCellMar>
            <w:top w:w="0" w:type="dxa"/>
            <w:left w:w="0" w:type="dxa"/>
            <w:bottom w:w="0" w:type="dxa"/>
            <w:right w:w="0" w:type="dxa"/>
          </w:tblCellMar>
        </w:tblPrEx>
        <w:trPr>
          <w:gridAfter w:val="1"/>
          <w:wAfter w:w="90" w:type="dxa"/>
          <w:trHeight w:val="798" w:hRule="atLeast"/>
        </w:trPr>
        <w:tc>
          <w:tcPr>
            <w:tcW w:w="9000" w:type="dxa"/>
            <w:gridSpan w:val="18"/>
            <w:tcBorders>
              <w:top w:val="nil"/>
              <w:left w:val="nil"/>
              <w:bottom w:val="nil"/>
              <w:right w:val="nil"/>
            </w:tcBorders>
            <w:noWrap/>
            <w:tcMar>
              <w:top w:w="15" w:type="dxa"/>
              <w:left w:w="15" w:type="dxa"/>
              <w:right w:w="15" w:type="dxa"/>
            </w:tcMar>
            <w:vAlign w:val="center"/>
          </w:tcPr>
          <w:p>
            <w:pPr>
              <w:widowControl/>
              <w:spacing w:after="0" w:line="240" w:lineRule="atLeast"/>
              <w:jc w:val="center"/>
              <w:rPr>
                <w:rFonts w:ascii="黑体" w:hAnsi="宋体" w:eastAsia="黑体" w:cs="黑体"/>
                <w:color w:val="000000"/>
                <w:sz w:val="40"/>
                <w:szCs w:val="40"/>
              </w:rPr>
            </w:pPr>
            <w:r>
              <w:rPr>
                <w:rFonts w:hint="eastAsia" w:ascii="黑体" w:hAnsi="宋体" w:eastAsia="黑体" w:cs="黑体"/>
                <w:color w:val="000000"/>
                <w:kern w:val="0"/>
                <w:sz w:val="40"/>
                <w:szCs w:val="40"/>
              </w:rPr>
              <w:t>支出决算</w:t>
            </w:r>
            <w:r>
              <w:pict>
                <v:group id="组合 38" o:spid="_x0000_s1047" o:spt="203" style="position:absolute;left:0pt;margin-left:-80.9pt;margin-top:-81.1pt;height:41.2pt;width:243.2pt;mso-position-vertical-relative:page;z-index:251675648;mso-width-relative:page;mso-height-relative:page;" coordorigin="4551,52615" coordsize="8546,1398">
                  <o:lock v:ext="edit"/>
                  <v:rect id="矩形 13" o:spid="_x0000_s1048" o:spt="1" style="position:absolute;left:4551;top:52615;height:1175;width:8546;v-text-anchor:middle;" fillcolor="#96DA9D" filled="t" stroked="f" coordsize="21600,21600">
                    <v:path/>
                    <v:fill on="t" focussize="0,0"/>
                    <v:stroke on="f" weight="2pt"/>
                    <v:imagedata o:title=""/>
                    <o:lock v:ext="edit"/>
                  </v:rect>
                  <v:rect id="矩形 14" o:spid="_x0000_s1049"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表</w:t>
            </w:r>
          </w:p>
        </w:tc>
      </w:tr>
      <w:tr>
        <w:tblPrEx>
          <w:tblCellMar>
            <w:top w:w="0" w:type="dxa"/>
            <w:left w:w="0" w:type="dxa"/>
            <w:bottom w:w="0" w:type="dxa"/>
            <w:right w:w="0" w:type="dxa"/>
          </w:tblCellMar>
        </w:tblPrEx>
        <w:trPr>
          <w:trHeight w:val="404" w:hRule="atLeast"/>
        </w:trPr>
        <w:tc>
          <w:tcPr>
            <w:tcW w:w="29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89"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06"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84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506"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378" w:type="dxa"/>
            <w:gridSpan w:val="3"/>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03</w:t>
            </w:r>
            <w:r>
              <w:rPr>
                <w:rFonts w:hint="eastAsia" w:ascii="宋体" w:hAnsi="宋体" w:cs="宋体"/>
                <w:color w:val="000000"/>
                <w:kern w:val="0"/>
                <w:szCs w:val="21"/>
              </w:rPr>
              <w:t>表</w:t>
            </w:r>
          </w:p>
        </w:tc>
      </w:tr>
      <w:tr>
        <w:tblPrEx>
          <w:tblCellMar>
            <w:top w:w="0" w:type="dxa"/>
            <w:left w:w="0" w:type="dxa"/>
            <w:bottom w:w="0" w:type="dxa"/>
            <w:right w:w="0" w:type="dxa"/>
          </w:tblCellMar>
        </w:tblPrEx>
        <w:trPr>
          <w:gridAfter w:val="1"/>
          <w:wAfter w:w="90" w:type="dxa"/>
          <w:trHeight w:val="365" w:hRule="atLeast"/>
        </w:trPr>
        <w:tc>
          <w:tcPr>
            <w:tcW w:w="2730" w:type="dxa"/>
            <w:gridSpan w:val="4"/>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部门：</w:t>
            </w:r>
          </w:p>
        </w:tc>
        <w:tc>
          <w:tcPr>
            <w:tcW w:w="1534"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98" w:type="dxa"/>
            <w:gridSpan w:val="5"/>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gridAfter w:val="1"/>
          <w:wAfter w:w="90" w:type="dxa"/>
          <w:trHeight w:val="837" w:hRule="atLeast"/>
        </w:trPr>
        <w:tc>
          <w:tcPr>
            <w:tcW w:w="273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w:t>
            </w:r>
          </w:p>
        </w:tc>
        <w:tc>
          <w:tcPr>
            <w:tcW w:w="1200" w:type="dxa"/>
            <w:gridSpan w:val="2"/>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本年支出合计</w:t>
            </w:r>
          </w:p>
        </w:tc>
        <w:tc>
          <w:tcPr>
            <w:tcW w:w="1110" w:type="dxa"/>
            <w:gridSpan w:val="3"/>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基本支出</w:t>
            </w:r>
          </w:p>
        </w:tc>
        <w:tc>
          <w:tcPr>
            <w:tcW w:w="975" w:type="dxa"/>
            <w:gridSpan w:val="3"/>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项目支出</w:t>
            </w:r>
          </w:p>
        </w:tc>
        <w:tc>
          <w:tcPr>
            <w:tcW w:w="818" w:type="dxa"/>
            <w:gridSpan w:val="3"/>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上缴上级支出</w:t>
            </w:r>
          </w:p>
        </w:tc>
        <w:tc>
          <w:tcPr>
            <w:tcW w:w="1083" w:type="dxa"/>
            <w:gridSpan w:val="2"/>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经营支出</w:t>
            </w:r>
          </w:p>
        </w:tc>
        <w:tc>
          <w:tcPr>
            <w:tcW w:w="1084" w:type="dxa"/>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对附属单位补助支出</w:t>
            </w:r>
          </w:p>
        </w:tc>
      </w:tr>
      <w:tr>
        <w:tblPrEx>
          <w:tblCellMar>
            <w:top w:w="0" w:type="dxa"/>
            <w:left w:w="0" w:type="dxa"/>
            <w:bottom w:w="0" w:type="dxa"/>
            <w:right w:w="0" w:type="dxa"/>
          </w:tblCellMar>
        </w:tblPrEx>
        <w:trPr>
          <w:gridAfter w:val="1"/>
          <w:wAfter w:w="90" w:type="dxa"/>
          <w:trHeight w:val="782" w:hRule="atLeast"/>
        </w:trPr>
        <w:tc>
          <w:tcPr>
            <w:tcW w:w="885"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184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科目名称</w:t>
            </w:r>
          </w:p>
        </w:tc>
        <w:tc>
          <w:tcPr>
            <w:tcW w:w="1200"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110" w:type="dxa"/>
            <w:gridSpan w:val="3"/>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975" w:type="dxa"/>
            <w:gridSpan w:val="3"/>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818" w:type="dxa"/>
            <w:gridSpan w:val="3"/>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083"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084" w:type="dxa"/>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r>
      <w:tr>
        <w:tblPrEx>
          <w:tblCellMar>
            <w:top w:w="0" w:type="dxa"/>
            <w:left w:w="0" w:type="dxa"/>
            <w:bottom w:w="0" w:type="dxa"/>
            <w:right w:w="0" w:type="dxa"/>
          </w:tblCellMar>
        </w:tblPrEx>
        <w:trPr>
          <w:gridAfter w:val="1"/>
          <w:wAfter w:w="90" w:type="dxa"/>
          <w:trHeight w:val="395" w:hRule="atLeast"/>
        </w:trPr>
        <w:tc>
          <w:tcPr>
            <w:tcW w:w="2730"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栏次</w:t>
            </w:r>
          </w:p>
        </w:tc>
        <w:tc>
          <w:tcPr>
            <w:tcW w:w="1200"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1</w:t>
            </w:r>
          </w:p>
        </w:tc>
        <w:tc>
          <w:tcPr>
            <w:tcW w:w="1110" w:type="dxa"/>
            <w:gridSpan w:val="3"/>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2</w:t>
            </w:r>
          </w:p>
        </w:tc>
        <w:tc>
          <w:tcPr>
            <w:tcW w:w="975" w:type="dxa"/>
            <w:gridSpan w:val="3"/>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3</w:t>
            </w:r>
          </w:p>
        </w:tc>
        <w:tc>
          <w:tcPr>
            <w:tcW w:w="818" w:type="dxa"/>
            <w:gridSpan w:val="3"/>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4</w:t>
            </w: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5</w:t>
            </w:r>
          </w:p>
        </w:tc>
        <w:tc>
          <w:tcPr>
            <w:tcW w:w="1084"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gridAfter w:val="1"/>
          <w:wAfter w:w="90" w:type="dxa"/>
          <w:trHeight w:val="340" w:hRule="exact"/>
        </w:trPr>
        <w:tc>
          <w:tcPr>
            <w:tcW w:w="2730"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rPr>
              <w:t>合计</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b/>
                <w:color w:val="000000"/>
                <w:sz w:val="18"/>
                <w:szCs w:val="18"/>
                <w:lang w:val="en-US" w:eastAsia="zh-CN"/>
              </w:rPr>
            </w:pPr>
            <w:r>
              <w:rPr>
                <w:rFonts w:hint="eastAsia" w:ascii="宋体" w:hAnsi="Times New Roman" w:cs="宋体"/>
                <w:b/>
                <w:color w:val="000000"/>
                <w:sz w:val="18"/>
                <w:szCs w:val="18"/>
              </w:rPr>
              <w:t>1,428.24</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b/>
                <w:color w:val="000000"/>
                <w:sz w:val="18"/>
                <w:szCs w:val="18"/>
                <w:lang w:val="en-US" w:eastAsia="zh-CN"/>
              </w:rPr>
            </w:pPr>
            <w:r>
              <w:rPr>
                <w:rFonts w:hint="eastAsia" w:ascii="宋体" w:hAnsi="Times New Roman" w:cs="宋体"/>
                <w:b/>
                <w:color w:val="000000"/>
                <w:sz w:val="18"/>
                <w:szCs w:val="18"/>
              </w:rPr>
              <w:t>188.28</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b/>
                <w:color w:val="000000"/>
                <w:sz w:val="18"/>
                <w:szCs w:val="18"/>
                <w:lang w:val="en-US" w:eastAsia="zh-CN"/>
              </w:rPr>
            </w:pPr>
            <w:r>
              <w:rPr>
                <w:rFonts w:hint="eastAsia" w:ascii="宋体" w:hAnsi="Times New Roman" w:cs="宋体"/>
                <w:b/>
                <w:color w:val="000000"/>
                <w:sz w:val="18"/>
                <w:szCs w:val="18"/>
              </w:rPr>
              <w:t>1,239.96</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b/>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b/>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b/>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201</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一般公共服务支出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286.53</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148.17</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138.36</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20132</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组织事务</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286.53</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148.17</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138.36</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2013201</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行政运行</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102.86</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102.86</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2013202</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一般行政管理事务</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138.36</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138.36</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2013250</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事业运行</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45.31</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45.31</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208</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社会保障和就业支出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159.64</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23.01</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20805</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行政事业单位离退休</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23.01</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23.01</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595"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2080504</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未归口管理的行政单位离退休</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5.26</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5.26</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585"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2080505</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机关事业单位基本养老保险缴费支出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17.74</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17.74</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20808</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抚恤</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2080899</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其他优抚支出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136.63</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0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210</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医疗卫生与计划生育支出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21011</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行政事业单位医疗</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2101101</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行政单位医疗</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6.49</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213</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农林水支出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964.97</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964.97</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21305</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扶贫</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951.00</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951.00</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2130599</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其他扶贫支出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951.00</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951.00</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21307</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农村综合改革</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13.97</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13.97</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2130705</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对村民委员会和村党支部的补助</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13.97</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13.97</w:t>
            </w: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221</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住房保障支出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22102</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住房改革支出</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340" w:hRule="exact"/>
        </w:trPr>
        <w:tc>
          <w:tcPr>
            <w:tcW w:w="88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cs="宋体"/>
                <w:color w:val="000000"/>
                <w:sz w:val="18"/>
                <w:szCs w:val="18"/>
                <w:lang w:val="en-US" w:eastAsia="zh-CN"/>
              </w:rPr>
            </w:pPr>
            <w:r>
              <w:rPr>
                <w:rFonts w:hint="eastAsia" w:ascii="宋体" w:hAnsi="Times New Roman" w:cs="宋体"/>
                <w:color w:val="000000"/>
                <w:sz w:val="18"/>
                <w:szCs w:val="18"/>
              </w:rPr>
              <w:t>2210201</w:t>
            </w:r>
          </w:p>
        </w:tc>
        <w:tc>
          <w:tcPr>
            <w:tcW w:w="18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cs="Times New Roman"/>
                <w:color w:val="000000"/>
                <w:sz w:val="15"/>
                <w:szCs w:val="15"/>
                <w:lang w:val="en-US" w:eastAsia="zh-CN"/>
              </w:rPr>
            </w:pPr>
            <w:r>
              <w:rPr>
                <w:rFonts w:hint="eastAsia" w:ascii="宋体" w:hAnsi="宋体" w:cs="Times New Roman"/>
                <w:color w:val="000000"/>
                <w:sz w:val="15"/>
                <w:szCs w:val="15"/>
              </w:rPr>
              <w:t>住房公积金</w:t>
            </w:r>
          </w:p>
        </w:tc>
        <w:tc>
          <w:tcPr>
            <w:tcW w:w="1200"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1110"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r>
              <w:rPr>
                <w:rFonts w:hint="eastAsia" w:ascii="宋体" w:hAnsi="Times New Roman" w:cs="宋体"/>
                <w:color w:val="000000"/>
                <w:sz w:val="18"/>
                <w:szCs w:val="18"/>
              </w:rPr>
              <w:t>10.60</w:t>
            </w:r>
          </w:p>
        </w:tc>
        <w:tc>
          <w:tcPr>
            <w:tcW w:w="975" w:type="dxa"/>
            <w:gridSpan w:val="3"/>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cs="宋体"/>
                <w:color w:val="000000"/>
                <w:sz w:val="18"/>
                <w:szCs w:val="18"/>
                <w:lang w:val="en-US" w:eastAsia="zh-CN"/>
              </w:rPr>
            </w:pPr>
          </w:p>
        </w:tc>
        <w:tc>
          <w:tcPr>
            <w:tcW w:w="818"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c>
          <w:tcPr>
            <w:tcW w:w="108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Theme="minorEastAsia" w:hAnsiTheme="minorEastAsia" w:eastAsiaTheme="minorEastAsia" w:cstheme="minorEastAsia"/>
                <w:color w:val="000000"/>
                <w:szCs w:val="21"/>
              </w:rPr>
            </w:pPr>
          </w:p>
        </w:tc>
      </w:tr>
      <w:tr>
        <w:tblPrEx>
          <w:tblCellMar>
            <w:top w:w="0" w:type="dxa"/>
            <w:left w:w="0" w:type="dxa"/>
            <w:bottom w:w="0" w:type="dxa"/>
            <w:right w:w="0" w:type="dxa"/>
          </w:tblCellMar>
        </w:tblPrEx>
        <w:trPr>
          <w:gridAfter w:val="1"/>
          <w:wAfter w:w="90" w:type="dxa"/>
          <w:trHeight w:val="748" w:hRule="atLeast"/>
        </w:trPr>
        <w:tc>
          <w:tcPr>
            <w:tcW w:w="9000" w:type="dxa"/>
            <w:gridSpan w:val="18"/>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注：本表反映部门本年度各项支出情况。</w:t>
            </w:r>
          </w:p>
        </w:tc>
      </w:tr>
    </w:tbl>
    <w:p>
      <w:pPr>
        <w:widowControl/>
        <w:spacing w:after="0" w:line="560" w:lineRule="exact"/>
        <w:ind w:firstLine="562" w:firstLineChars="200"/>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940" w:type="dxa"/>
        <w:tblInd w:w="0" w:type="dxa"/>
        <w:tblLayout w:type="fixed"/>
        <w:tblCellMar>
          <w:top w:w="0" w:type="dxa"/>
          <w:left w:w="0" w:type="dxa"/>
          <w:bottom w:w="0" w:type="dxa"/>
          <w:right w:w="0" w:type="dxa"/>
        </w:tblCellMar>
      </w:tblPr>
      <w:tblGrid>
        <w:gridCol w:w="1717"/>
        <w:gridCol w:w="745"/>
        <w:gridCol w:w="325"/>
        <w:gridCol w:w="850"/>
        <w:gridCol w:w="2124"/>
        <w:gridCol w:w="191"/>
        <w:gridCol w:w="360"/>
        <w:gridCol w:w="650"/>
        <w:gridCol w:w="226"/>
        <w:gridCol w:w="599"/>
        <w:gridCol w:w="277"/>
        <w:gridCol w:w="876"/>
      </w:tblGrid>
      <w:tr>
        <w:tblPrEx>
          <w:tblCellMar>
            <w:top w:w="0" w:type="dxa"/>
            <w:left w:w="0" w:type="dxa"/>
            <w:bottom w:w="0" w:type="dxa"/>
            <w:right w:w="0" w:type="dxa"/>
          </w:tblCellMar>
        </w:tblPrEx>
        <w:trPr>
          <w:trHeight w:val="152" w:hRule="atLeast"/>
        </w:trPr>
        <w:tc>
          <w:tcPr>
            <w:tcW w:w="8940" w:type="dxa"/>
            <w:gridSpan w:val="12"/>
            <w:tcBorders>
              <w:top w:val="nil"/>
              <w:left w:val="nil"/>
              <w:bottom w:val="nil"/>
              <w:right w:val="nil"/>
            </w:tcBorders>
            <w:noWrap/>
            <w:tcMar>
              <w:top w:w="15" w:type="dxa"/>
              <w:left w:w="15" w:type="dxa"/>
              <w:right w:w="15" w:type="dxa"/>
            </w:tcMar>
            <w:vAlign w:val="center"/>
          </w:tcPr>
          <w:p>
            <w:pPr>
              <w:widowControl/>
              <w:spacing w:after="0" w:line="240" w:lineRule="atLeast"/>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财政拨款收入支出决</w:t>
            </w:r>
            <w:r>
              <w:pict>
                <v:group id="组合 43" o:spid="_x0000_s1050" o:spt="203" style="position:absolute;left:0pt;margin-left:-80.9pt;margin-top:-81.1pt;height:41.2pt;width:243.2pt;mso-position-vertical-relative:page;z-index:251676672;mso-width-relative:page;mso-height-relative:page;" coordorigin="4551,52615" coordsize="8546,1398">
                  <o:lock v:ext="edit"/>
                  <v:rect id="矩形 13" o:spid="_x0000_s1051" o:spt="1" style="position:absolute;left:4551;top:52615;height:1175;width:8546;v-text-anchor:middle;" fillcolor="#96DA9D" filled="t" stroked="f" coordsize="21600,21600">
                    <v:path/>
                    <v:fill on="t" focussize="0,0"/>
                    <v:stroke on="f" weight="2pt"/>
                    <v:imagedata o:title=""/>
                    <o:lock v:ext="edit"/>
                  </v:rect>
                  <v:rect id="矩形 14" o:spid="_x0000_s105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算总表</w:t>
            </w:r>
          </w:p>
        </w:tc>
      </w:tr>
      <w:tr>
        <w:tblPrEx>
          <w:tblCellMar>
            <w:top w:w="0" w:type="dxa"/>
            <w:left w:w="0" w:type="dxa"/>
            <w:bottom w:w="0" w:type="dxa"/>
            <w:right w:w="0" w:type="dxa"/>
          </w:tblCellMar>
        </w:tblPrEx>
        <w:trPr>
          <w:trHeight w:val="90" w:hRule="atLeast"/>
        </w:trPr>
        <w:tc>
          <w:tcPr>
            <w:tcW w:w="171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74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32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2974"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55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65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825"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153" w:type="dxa"/>
            <w:gridSpan w:val="2"/>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04</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152" w:hRule="atLeast"/>
        </w:trPr>
        <w:tc>
          <w:tcPr>
            <w:tcW w:w="6312" w:type="dxa"/>
            <w:gridSpan w:val="7"/>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20"/>
                <w:szCs w:val="20"/>
              </w:rPr>
            </w:pPr>
            <w:r>
              <w:rPr>
                <w:rFonts w:hint="eastAsia" w:ascii="宋体" w:hAnsi="宋体" w:cs="宋体"/>
                <w:color w:val="000000"/>
                <w:kern w:val="0"/>
                <w:sz w:val="20"/>
                <w:szCs w:val="20"/>
              </w:rPr>
              <w:t>部门：</w:t>
            </w:r>
          </w:p>
        </w:tc>
        <w:tc>
          <w:tcPr>
            <w:tcW w:w="65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978" w:type="dxa"/>
            <w:gridSpan w:val="4"/>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90" w:hRule="atLeast"/>
        </w:trPr>
        <w:tc>
          <w:tcPr>
            <w:tcW w:w="2787"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收</w:t>
            </w:r>
            <w:r>
              <w:rPr>
                <w:rFonts w:ascii="宋体" w:hAnsi="宋体" w:cs="宋体"/>
                <w:color w:val="000000"/>
                <w:kern w:val="0"/>
                <w:sz w:val="20"/>
                <w:szCs w:val="20"/>
              </w:rPr>
              <w:t xml:space="preserve">     </w:t>
            </w:r>
            <w:r>
              <w:rPr>
                <w:rFonts w:hint="eastAsia" w:ascii="宋体" w:hAnsi="宋体" w:cs="宋体"/>
                <w:color w:val="000000"/>
                <w:kern w:val="0"/>
                <w:sz w:val="20"/>
                <w:szCs w:val="20"/>
              </w:rPr>
              <w:t>入</w:t>
            </w:r>
          </w:p>
        </w:tc>
        <w:tc>
          <w:tcPr>
            <w:tcW w:w="6153" w:type="dxa"/>
            <w:gridSpan w:val="9"/>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支</w:t>
            </w:r>
            <w:r>
              <w:rPr>
                <w:rFonts w:ascii="宋体" w:hAnsi="宋体" w:cs="宋体"/>
                <w:color w:val="000000"/>
                <w:kern w:val="0"/>
                <w:sz w:val="20"/>
                <w:szCs w:val="20"/>
              </w:rPr>
              <w:t xml:space="preserve">     </w:t>
            </w:r>
            <w:r>
              <w:rPr>
                <w:rFonts w:hint="eastAsia" w:ascii="宋体" w:hAnsi="宋体" w:cs="宋体"/>
                <w:color w:val="000000"/>
                <w:kern w:val="0"/>
                <w:sz w:val="20"/>
                <w:szCs w:val="20"/>
              </w:rPr>
              <w:t>出</w:t>
            </w:r>
          </w:p>
        </w:tc>
      </w:tr>
      <w:tr>
        <w:tblPrEx>
          <w:tblCellMar>
            <w:top w:w="0" w:type="dxa"/>
            <w:left w:w="0" w:type="dxa"/>
            <w:bottom w:w="0" w:type="dxa"/>
            <w:right w:w="0" w:type="dxa"/>
          </w:tblCellMar>
        </w:tblPrEx>
        <w:trPr>
          <w:trHeight w:val="17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项目</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行次</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金额</w:t>
            </w: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项目</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行次</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合计</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一般公共预算财政拨款</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政府性基金预算财政拨款</w:t>
            </w: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一、一般公共预算财政拨款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1428.24</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一、一般公共服务支出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286.53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286.53</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二、政府性基金预算财政拨款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二、外交支出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三、国防支出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四、公共安全支出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五、教育支出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六、科学技术支出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七、文化体育与传媒支出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八、社会保障和就业支出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159.64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b/>
                <w:bCs/>
                <w:color w:val="000000"/>
                <w:sz w:val="18"/>
                <w:szCs w:val="18"/>
              </w:rPr>
            </w:pPr>
            <w:r>
              <w:rPr>
                <w:rFonts w:hint="eastAsia" w:ascii="宋体" w:cs="宋体"/>
                <w:color w:val="000000"/>
                <w:sz w:val="18"/>
                <w:szCs w:val="18"/>
              </w:rPr>
              <w:t>159.64</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9</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6"/>
                <w:szCs w:val="16"/>
              </w:rPr>
              <w:t>九、医疗卫生与计划生育支出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6.49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6.49</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10</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十、节能环保支出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38</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十一、城乡社区支出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十二、农林水支出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964.97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964.97</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十三、交通运输支出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十四、资源勘探信息等支出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十五、商业服务业等支出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十六、金融支出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十七、援助其他地区支出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十八、国土海洋气象等支出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19</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十九、住房保障支出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hint="eastAsia" w:ascii="宋体" w:eastAsia="宋体" w:cs="宋体"/>
                <w:color w:val="000000"/>
                <w:sz w:val="18"/>
                <w:szCs w:val="18"/>
                <w:lang w:val="en-US" w:eastAsia="zh-CN"/>
              </w:rPr>
            </w:pPr>
            <w:r>
              <w:rPr>
                <w:rFonts w:hint="eastAsia" w:ascii="宋体" w:cs="宋体"/>
                <w:color w:val="000000"/>
                <w:sz w:val="18"/>
                <w:szCs w:val="18"/>
              </w:rPr>
              <w:t>10.6</w:t>
            </w:r>
            <w:r>
              <w:rPr>
                <w:rFonts w:hint="eastAsia" w:ascii="宋体" w:cs="宋体"/>
                <w:color w:val="000000"/>
                <w:sz w:val="18"/>
                <w:szCs w:val="18"/>
                <w:lang w:val="en-US" w:eastAsia="zh-CN"/>
              </w:rPr>
              <w:t>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hint="eastAsia" w:ascii="宋体" w:eastAsia="宋体" w:cs="宋体"/>
                <w:color w:val="000000"/>
                <w:sz w:val="18"/>
                <w:szCs w:val="18"/>
                <w:lang w:val="en-US" w:eastAsia="zh-CN"/>
              </w:rPr>
            </w:pPr>
            <w:r>
              <w:rPr>
                <w:rFonts w:hint="eastAsia" w:ascii="宋体" w:cs="宋体"/>
                <w:color w:val="000000"/>
                <w:sz w:val="18"/>
                <w:szCs w:val="18"/>
              </w:rPr>
              <w:t>10.6</w:t>
            </w:r>
            <w:r>
              <w:rPr>
                <w:rFonts w:hint="eastAsia" w:ascii="宋体" w:cs="宋体"/>
                <w:color w:val="000000"/>
                <w:sz w:val="18"/>
                <w:szCs w:val="18"/>
                <w:lang w:val="en-US" w:eastAsia="zh-CN"/>
              </w:rPr>
              <w:t>0</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20</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二十、粮油物资储备支出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48</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二十一、其他支出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二十二、债务还本支出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二十三、债务付息支出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本年收入合计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1428.24</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本年支出合计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1428.24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1428.24</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年初财政拨款结转和结余</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年末财政拨款结转和结余</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ascii="宋体" w:hAnsi="宋体" w:cs="宋体"/>
                <w:color w:val="000000"/>
                <w:kern w:val="0"/>
                <w:sz w:val="18"/>
                <w:szCs w:val="18"/>
              </w:rPr>
              <w:t xml:space="preserve">  </w:t>
            </w:r>
            <w:r>
              <w:rPr>
                <w:rFonts w:hint="eastAsia" w:ascii="宋体" w:hAnsi="宋体" w:cs="宋体"/>
                <w:color w:val="000000"/>
                <w:kern w:val="0"/>
                <w:sz w:val="18"/>
                <w:szCs w:val="18"/>
              </w:rPr>
              <w:t>一般公共预算财政拨款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ascii="宋体" w:hAnsi="宋体" w:cs="宋体"/>
                <w:color w:val="000000"/>
                <w:kern w:val="0"/>
                <w:sz w:val="18"/>
                <w:szCs w:val="18"/>
              </w:rPr>
              <w:t xml:space="preserve">  </w:t>
            </w:r>
            <w:r>
              <w:rPr>
                <w:rFonts w:hint="eastAsia" w:ascii="宋体" w:hAnsi="宋体" w:cs="宋体"/>
                <w:color w:val="000000"/>
                <w:kern w:val="0"/>
                <w:sz w:val="18"/>
                <w:szCs w:val="18"/>
              </w:rPr>
              <w:t>政府性基金预算财政拨款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总计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1428.24</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总计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1428.24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rPr>
              <w:t>1428.24</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55" w:hRule="atLeast"/>
        </w:trPr>
        <w:tc>
          <w:tcPr>
            <w:tcW w:w="8940" w:type="dxa"/>
            <w:gridSpan w:val="12"/>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注：本表反映部门本年度一般公共预算财政拨款和政府性基金预算财政拨款的总收支和年末结转结余情况。</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60" w:type="dxa"/>
        <w:tblInd w:w="0" w:type="dxa"/>
        <w:tblLayout w:type="fixed"/>
        <w:tblCellMar>
          <w:top w:w="0" w:type="dxa"/>
          <w:left w:w="0" w:type="dxa"/>
          <w:bottom w:w="0" w:type="dxa"/>
          <w:right w:w="0" w:type="dxa"/>
        </w:tblCellMar>
      </w:tblPr>
      <w:tblGrid>
        <w:gridCol w:w="317"/>
        <w:gridCol w:w="319"/>
        <w:gridCol w:w="357"/>
        <w:gridCol w:w="2277"/>
        <w:gridCol w:w="577"/>
        <w:gridCol w:w="1174"/>
        <w:gridCol w:w="718"/>
        <w:gridCol w:w="1201"/>
        <w:gridCol w:w="1920"/>
      </w:tblGrid>
      <w:tr>
        <w:tblPrEx>
          <w:tblCellMar>
            <w:top w:w="0" w:type="dxa"/>
            <w:left w:w="0" w:type="dxa"/>
            <w:bottom w:w="0" w:type="dxa"/>
            <w:right w:w="0" w:type="dxa"/>
          </w:tblCellMar>
        </w:tblPrEx>
        <w:trPr>
          <w:trHeight w:val="600" w:hRule="atLeast"/>
        </w:trPr>
        <w:tc>
          <w:tcPr>
            <w:tcW w:w="8860" w:type="dxa"/>
            <w:gridSpan w:val="9"/>
            <w:tcBorders>
              <w:top w:val="nil"/>
              <w:left w:val="nil"/>
              <w:bottom w:val="nil"/>
              <w:right w:val="nil"/>
            </w:tcBorders>
            <w:noWrap/>
            <w:tcMar>
              <w:top w:w="15" w:type="dxa"/>
              <w:left w:w="15" w:type="dxa"/>
              <w:right w:w="15" w:type="dxa"/>
            </w:tcMar>
            <w:vAlign w:val="bottom"/>
          </w:tcPr>
          <w:p>
            <w:pPr>
              <w:widowControl/>
              <w:spacing w:after="0" w:line="240" w:lineRule="auto"/>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w:t>
            </w:r>
            <w:r>
              <w:pict>
                <v:group id="组合 46" o:spid="_x0000_s1053" o:spt="203" style="position:absolute;left:0pt;margin-left:-80.9pt;margin-top:-81.1pt;height:41.2pt;width:243.2pt;mso-position-vertical-relative:page;z-index:251677696;mso-width-relative:page;mso-height-relative:page;" coordorigin="4551,52615" coordsize="8546,1398">
                  <o:lock v:ext="edit"/>
                  <v:rect id="矩形 13" o:spid="_x0000_s1054" o:spt="1" style="position:absolute;left:4551;top:52615;height:1175;width:8546;v-text-anchor:middle;" fillcolor="#96DA9D" filled="t" stroked="f" coordsize="21600,21600">
                    <v:path/>
                    <v:fill on="t" focussize="0,0"/>
                    <v:stroke on="f" weight="2pt"/>
                    <v:imagedata o:title=""/>
                    <o:lock v:ext="edit"/>
                  </v:rect>
                  <v:rect id="矩形 14" o:spid="_x0000_s105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4" w:hRule="atLeast"/>
        </w:trPr>
        <w:tc>
          <w:tcPr>
            <w:tcW w:w="31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9"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5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27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57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892"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2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05</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334" w:hRule="atLeast"/>
        </w:trPr>
        <w:tc>
          <w:tcPr>
            <w:tcW w:w="3847" w:type="dxa"/>
            <w:gridSpan w:val="5"/>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部门：</w:t>
            </w:r>
          </w:p>
        </w:tc>
        <w:tc>
          <w:tcPr>
            <w:tcW w:w="1892"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2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51" w:hRule="atLeast"/>
        </w:trPr>
        <w:tc>
          <w:tcPr>
            <w:tcW w:w="327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w:t>
            </w:r>
          </w:p>
        </w:tc>
        <w:tc>
          <w:tcPr>
            <w:tcW w:w="5590" w:type="dxa"/>
            <w:gridSpan w:val="5"/>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本年支出</w:t>
            </w:r>
          </w:p>
        </w:tc>
      </w:tr>
      <w:tr>
        <w:tblPrEx>
          <w:tblCellMar>
            <w:top w:w="0" w:type="dxa"/>
            <w:left w:w="0" w:type="dxa"/>
            <w:bottom w:w="0" w:type="dxa"/>
            <w:right w:w="0" w:type="dxa"/>
          </w:tblCellMar>
        </w:tblPrEx>
        <w:trPr>
          <w:trHeight w:val="334" w:hRule="atLeast"/>
        </w:trPr>
        <w:tc>
          <w:tcPr>
            <w:tcW w:w="993"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2277"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科目名称</w:t>
            </w:r>
          </w:p>
        </w:tc>
        <w:tc>
          <w:tcPr>
            <w:tcW w:w="1751" w:type="dxa"/>
            <w:gridSpan w:val="2"/>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小计</w:t>
            </w:r>
          </w:p>
        </w:tc>
        <w:tc>
          <w:tcPr>
            <w:tcW w:w="1919" w:type="dxa"/>
            <w:gridSpan w:val="2"/>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基本支出</w:t>
            </w:r>
          </w:p>
        </w:tc>
        <w:tc>
          <w:tcPr>
            <w:tcW w:w="192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项目支出</w:t>
            </w:r>
          </w:p>
        </w:tc>
      </w:tr>
      <w:tr>
        <w:tblPrEx>
          <w:tblCellMar>
            <w:top w:w="0" w:type="dxa"/>
            <w:left w:w="0" w:type="dxa"/>
            <w:bottom w:w="0" w:type="dxa"/>
            <w:right w:w="0" w:type="dxa"/>
          </w:tblCellMar>
        </w:tblPrEx>
        <w:trPr>
          <w:trHeight w:val="334" w:hRule="atLeast"/>
        </w:trPr>
        <w:tc>
          <w:tcPr>
            <w:tcW w:w="993"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2277"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751"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919"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920"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r>
      <w:tr>
        <w:tblPrEx>
          <w:tblCellMar>
            <w:top w:w="0" w:type="dxa"/>
            <w:left w:w="0" w:type="dxa"/>
            <w:bottom w:w="0" w:type="dxa"/>
            <w:right w:w="0" w:type="dxa"/>
          </w:tblCellMar>
        </w:tblPrEx>
        <w:trPr>
          <w:trHeight w:val="312" w:hRule="atLeast"/>
        </w:trPr>
        <w:tc>
          <w:tcPr>
            <w:tcW w:w="993"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2277"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751"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919"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920"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r>
      <w:tr>
        <w:tblPrEx>
          <w:tblCellMar>
            <w:top w:w="0" w:type="dxa"/>
            <w:left w:w="0" w:type="dxa"/>
            <w:bottom w:w="0" w:type="dxa"/>
            <w:right w:w="0" w:type="dxa"/>
          </w:tblCellMar>
        </w:tblPrEx>
        <w:trPr>
          <w:trHeight w:val="368" w:hRule="atLeast"/>
        </w:trPr>
        <w:tc>
          <w:tcPr>
            <w:tcW w:w="3270"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栏次</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1</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2</w:t>
            </w:r>
          </w:p>
        </w:tc>
        <w:tc>
          <w:tcPr>
            <w:tcW w:w="192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3</w:t>
            </w:r>
          </w:p>
        </w:tc>
      </w:tr>
      <w:tr>
        <w:tblPrEx>
          <w:tblCellMar>
            <w:top w:w="0" w:type="dxa"/>
            <w:left w:w="0" w:type="dxa"/>
            <w:bottom w:w="0" w:type="dxa"/>
            <w:right w:w="0" w:type="dxa"/>
          </w:tblCellMar>
        </w:tblPrEx>
        <w:trPr>
          <w:trHeight w:val="368" w:hRule="atLeast"/>
        </w:trPr>
        <w:tc>
          <w:tcPr>
            <w:tcW w:w="3270"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合计</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b/>
                <w:color w:val="000000"/>
                <w:kern w:val="2"/>
                <w:sz w:val="18"/>
                <w:szCs w:val="18"/>
                <w:lang w:val="en-US" w:eastAsia="zh-CN" w:bidi="ar-SA"/>
              </w:rPr>
            </w:pPr>
            <w:r>
              <w:rPr>
                <w:rFonts w:hint="eastAsia" w:ascii="宋体" w:hAnsi="Times New Roman" w:cs="宋体"/>
                <w:b/>
                <w:color w:val="000000"/>
                <w:sz w:val="18"/>
                <w:szCs w:val="18"/>
              </w:rPr>
              <w:t>1,428.24</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b/>
                <w:color w:val="000000"/>
                <w:kern w:val="2"/>
                <w:sz w:val="18"/>
                <w:szCs w:val="18"/>
                <w:lang w:val="en-US" w:eastAsia="zh-CN" w:bidi="ar-SA"/>
              </w:rPr>
            </w:pPr>
            <w:r>
              <w:rPr>
                <w:rFonts w:hint="eastAsia" w:ascii="宋体" w:hAnsi="Times New Roman" w:cs="宋体"/>
                <w:b/>
                <w:color w:val="000000"/>
                <w:sz w:val="18"/>
                <w:szCs w:val="18"/>
              </w:rPr>
              <w:t>188.28</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b/>
                <w:color w:val="000000"/>
                <w:kern w:val="2"/>
                <w:sz w:val="18"/>
                <w:szCs w:val="18"/>
                <w:lang w:val="en-US" w:eastAsia="zh-CN" w:bidi="ar-SA"/>
              </w:rPr>
            </w:pPr>
            <w:r>
              <w:rPr>
                <w:rFonts w:hint="eastAsia" w:ascii="宋体" w:hAnsi="Times New Roman" w:cs="宋体"/>
                <w:b/>
                <w:color w:val="000000"/>
                <w:sz w:val="18"/>
                <w:szCs w:val="18"/>
              </w:rPr>
              <w:t>1,239.96</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201</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一般公共服务支出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286.53</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148.17</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138.36</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20132</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组织事务</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286.53</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148.17</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138.36</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2013201</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行政运行</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102.86</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102.86</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2013202</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一般行政管理事务</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138.36</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138.36</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2013250</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事业运行</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45.31</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45.31</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208</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社会保障和就业支出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159.64</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23.01</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136.63</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20805</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行政事业单位离退休</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23.01</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23.01</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2080504</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未归口管理的行政单位离退休</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5.26</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5.26</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414"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2080505</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3"/>
                <w:szCs w:val="13"/>
              </w:rPr>
              <w:t>机关事业单位基本养老保险缴费支出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17.74</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17.74</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20808</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抚恤</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136.63</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136.63</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2080899</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其他优抚支出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136.63</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136.63</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210</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医疗卫生与计划生育支出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6.49</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6.49</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21011</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行政事业单位医疗</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6.49</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6.49</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2101101</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行政单位医疗</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6.49</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6.49</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213</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农林水支出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964.97</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964.97</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21305</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扶贫</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951.00</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951.00</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2130599</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其他扶贫支出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951.00</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951.00</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21307</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农村综合改革</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13.97</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13.97</w:t>
            </w:r>
          </w:p>
        </w:tc>
      </w:tr>
      <w:tr>
        <w:tblPrEx>
          <w:tblCellMar>
            <w:top w:w="0" w:type="dxa"/>
            <w:left w:w="0" w:type="dxa"/>
            <w:bottom w:w="0" w:type="dxa"/>
            <w:right w:w="0" w:type="dxa"/>
          </w:tblCellMar>
        </w:tblPrEx>
        <w:trPr>
          <w:trHeight w:val="417"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2130705</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3"/>
                <w:szCs w:val="13"/>
              </w:rPr>
              <w:t>对村民委员会和村党支部的补助</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13.97</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13.97</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221</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住房保障支出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10.60</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10.60</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22102</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住房改革支出</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10.60</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10.60</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widowControl/>
              <w:spacing w:after="0" w:line="240" w:lineRule="atLeast"/>
              <w:jc w:val="left"/>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2210201</w:t>
            </w:r>
          </w:p>
        </w:tc>
        <w:tc>
          <w:tcPr>
            <w:tcW w:w="2277"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0" w:afterLines="0" w:line="240" w:lineRule="auto"/>
              <w:jc w:val="both"/>
              <w:rPr>
                <w:rFonts w:hint="eastAsia" w:ascii="宋体" w:hAnsi="宋体" w:eastAsia="宋体" w:cs="Times New Roman"/>
                <w:color w:val="000000"/>
                <w:kern w:val="2"/>
                <w:sz w:val="15"/>
                <w:szCs w:val="15"/>
                <w:lang w:val="en-US" w:eastAsia="zh-CN" w:bidi="ar-SA"/>
              </w:rPr>
            </w:pPr>
            <w:r>
              <w:rPr>
                <w:rFonts w:hint="eastAsia" w:ascii="宋体" w:hAnsi="宋体" w:cs="Times New Roman"/>
                <w:color w:val="000000"/>
                <w:sz w:val="15"/>
                <w:szCs w:val="15"/>
              </w:rPr>
              <w:t>住房公积金</w:t>
            </w:r>
          </w:p>
        </w:tc>
        <w:tc>
          <w:tcPr>
            <w:tcW w:w="1751"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10.60</w:t>
            </w:r>
          </w:p>
        </w:tc>
        <w:tc>
          <w:tcPr>
            <w:tcW w:w="1919" w:type="dxa"/>
            <w:gridSpan w:val="2"/>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r>
              <w:rPr>
                <w:rFonts w:hint="eastAsia" w:ascii="宋体" w:hAnsi="Times New Roman" w:cs="宋体"/>
                <w:color w:val="000000"/>
                <w:sz w:val="18"/>
                <w:szCs w:val="18"/>
              </w:rPr>
              <w:t>10.60</w:t>
            </w:r>
          </w:p>
        </w:tc>
        <w:tc>
          <w:tcPr>
            <w:tcW w:w="1920" w:type="dxa"/>
            <w:tcBorders>
              <w:top w:val="nil"/>
              <w:left w:val="nil"/>
              <w:bottom w:val="single" w:color="000000" w:sz="4" w:space="0"/>
              <w:right w:val="single" w:color="000000" w:sz="4" w:space="0"/>
            </w:tcBorders>
            <w:noWrap/>
            <w:tcMar>
              <w:top w:w="15" w:type="dxa"/>
              <w:left w:w="15" w:type="dxa"/>
              <w:right w:w="15" w:type="dxa"/>
            </w:tcMar>
            <w:vAlign w:val="top"/>
          </w:tcPr>
          <w:p>
            <w:pPr>
              <w:widowControl/>
              <w:spacing w:after="0" w:line="240" w:lineRule="atLeast"/>
              <w:jc w:val="center"/>
              <w:rPr>
                <w:rFonts w:hint="eastAsia" w:ascii="宋体" w:hAnsi="Times New Roman" w:eastAsia="宋体" w:cs="宋体"/>
                <w:color w:val="000000"/>
                <w:kern w:val="2"/>
                <w:sz w:val="18"/>
                <w:szCs w:val="18"/>
                <w:lang w:val="en-US" w:eastAsia="zh-CN" w:bidi="ar-SA"/>
              </w:rPr>
            </w:pPr>
          </w:p>
        </w:tc>
      </w:tr>
      <w:tr>
        <w:tblPrEx>
          <w:tblCellMar>
            <w:top w:w="0" w:type="dxa"/>
            <w:left w:w="0" w:type="dxa"/>
            <w:bottom w:w="0" w:type="dxa"/>
            <w:right w:w="0" w:type="dxa"/>
          </w:tblCellMar>
        </w:tblPrEx>
        <w:trPr>
          <w:trHeight w:val="368" w:hRule="atLeast"/>
        </w:trPr>
        <w:tc>
          <w:tcPr>
            <w:tcW w:w="8860" w:type="dxa"/>
            <w:gridSpan w:val="9"/>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注：本表反映部门本年度一般公共预算财政拨款收入及支出情况。</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9180" w:type="dxa"/>
        <w:jc w:val="center"/>
        <w:tblLayout w:type="fixed"/>
        <w:tblCellMar>
          <w:top w:w="0" w:type="dxa"/>
          <w:left w:w="0" w:type="dxa"/>
          <w:bottom w:w="0" w:type="dxa"/>
          <w:right w:w="0" w:type="dxa"/>
        </w:tblCellMar>
      </w:tblPr>
      <w:tblGrid>
        <w:gridCol w:w="558"/>
        <w:gridCol w:w="1597"/>
        <w:gridCol w:w="840"/>
        <w:gridCol w:w="477"/>
        <w:gridCol w:w="1763"/>
        <w:gridCol w:w="740"/>
        <w:gridCol w:w="560"/>
        <w:gridCol w:w="1788"/>
        <w:gridCol w:w="857"/>
      </w:tblGrid>
      <w:tr>
        <w:tblPrEx>
          <w:tblCellMar>
            <w:top w:w="0" w:type="dxa"/>
            <w:left w:w="0" w:type="dxa"/>
            <w:bottom w:w="0" w:type="dxa"/>
            <w:right w:w="0" w:type="dxa"/>
          </w:tblCellMar>
        </w:tblPrEx>
        <w:trPr>
          <w:trHeight w:val="526" w:hRule="atLeast"/>
          <w:jc w:val="center"/>
        </w:trPr>
        <w:tc>
          <w:tcPr>
            <w:tcW w:w="9180" w:type="dxa"/>
            <w:gridSpan w:val="9"/>
            <w:tcBorders>
              <w:top w:val="nil"/>
              <w:left w:val="nil"/>
              <w:bottom w:val="nil"/>
              <w:right w:val="nil"/>
            </w:tcBorders>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一般公共预算财政拨款基本支出决算表</w:t>
            </w:r>
          </w:p>
        </w:tc>
      </w:tr>
      <w:tr>
        <w:tblPrEx>
          <w:tblCellMar>
            <w:top w:w="0" w:type="dxa"/>
            <w:left w:w="0" w:type="dxa"/>
            <w:bottom w:w="0" w:type="dxa"/>
            <w:right w:w="0" w:type="dxa"/>
          </w:tblCellMar>
        </w:tblPrEx>
        <w:trPr>
          <w:trHeight w:val="269" w:hRule="atLeast"/>
          <w:jc w:val="center"/>
        </w:trPr>
        <w:tc>
          <w:tcPr>
            <w:tcW w:w="558"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597"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84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477"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763"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74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5" w:type="dxa"/>
            <w:gridSpan w:val="2"/>
            <w:tcBorders>
              <w:top w:val="nil"/>
              <w:left w:val="nil"/>
              <w:bottom w:val="nil"/>
              <w:right w:val="nil"/>
            </w:tcBorders>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公开</w:t>
            </w:r>
            <w:r>
              <w:rPr>
                <w:rFonts w:ascii="宋体" w:hAnsi="宋体" w:cs="宋体"/>
                <w:color w:val="000000"/>
                <w:kern w:val="0"/>
                <w:sz w:val="22"/>
                <w:szCs w:val="22"/>
              </w:rPr>
              <w:t>06</w:t>
            </w:r>
            <w:r>
              <w:rPr>
                <w:rFonts w:hint="eastAsia" w:ascii="宋体" w:hAnsi="宋体" w:cs="宋体"/>
                <w:color w:val="000000"/>
                <w:kern w:val="0"/>
                <w:sz w:val="22"/>
                <w:szCs w:val="22"/>
              </w:rPr>
              <w:t>表</w:t>
            </w:r>
          </w:p>
        </w:tc>
      </w:tr>
      <w:tr>
        <w:tblPrEx>
          <w:tblCellMar>
            <w:top w:w="0" w:type="dxa"/>
            <w:left w:w="0" w:type="dxa"/>
            <w:bottom w:w="0" w:type="dxa"/>
            <w:right w:w="0" w:type="dxa"/>
          </w:tblCellMar>
        </w:tblPrEx>
        <w:trPr>
          <w:trHeight w:val="269" w:hRule="atLeast"/>
          <w:jc w:val="center"/>
        </w:trPr>
        <w:tc>
          <w:tcPr>
            <w:tcW w:w="5235" w:type="dxa"/>
            <w:gridSpan w:val="5"/>
            <w:tcBorders>
              <w:top w:val="nil"/>
              <w:left w:val="nil"/>
              <w:bottom w:val="nil"/>
              <w:right w:val="nil"/>
            </w:tcBorders>
            <w:noWrap/>
            <w:tcMar>
              <w:top w:w="15" w:type="dxa"/>
              <w:left w:w="15" w:type="dxa"/>
              <w:right w:w="15" w:type="dxa"/>
            </w:tcMar>
            <w:vAlign w:val="center"/>
          </w:tcPr>
          <w:p>
            <w:pPr>
              <w:widowControl/>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部门：</w:t>
            </w:r>
            <w:r>
              <w:pict>
                <v:group id="组合 49" o:spid="_x0000_s1056" o:spt="203" style="position:absolute;left:0pt;margin-left:-73.25pt;margin-top:-129.4pt;height:41.2pt;width:243.2pt;mso-position-vertical-relative:page;z-index:251678720;mso-width-relative:page;mso-height-relative:page;" coordorigin="4551,52615" coordsize="8546,1398">
                  <o:lock v:ext="edit"/>
                  <v:rect id="矩形 13" o:spid="_x0000_s1057" o:spt="1" style="position:absolute;left:4551;top:52615;height:1175;width:8546;v-text-anchor:middle;" fillcolor="#96DA9D" filled="t" stroked="f" coordsize="21600,21600">
                    <v:path/>
                    <v:fill on="t" focussize="0,0"/>
                    <v:stroke on="f" weight="2pt"/>
                    <v:imagedata o:title=""/>
                    <o:lock v:ext="edit"/>
                  </v:rect>
                  <v:rect id="矩形 14" o:spid="_x0000_s105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tc>
        <w:tc>
          <w:tcPr>
            <w:tcW w:w="74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5" w:type="dxa"/>
            <w:gridSpan w:val="2"/>
            <w:tcBorders>
              <w:top w:val="nil"/>
              <w:left w:val="nil"/>
              <w:bottom w:val="nil"/>
              <w:right w:val="nil"/>
            </w:tcBorders>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277" w:hRule="atLeast"/>
          <w:jc w:val="center"/>
        </w:trPr>
        <w:tc>
          <w:tcPr>
            <w:tcW w:w="2995"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人员经费</w:t>
            </w:r>
          </w:p>
        </w:tc>
        <w:tc>
          <w:tcPr>
            <w:tcW w:w="6185" w:type="dxa"/>
            <w:gridSpan w:val="6"/>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公用经费</w:t>
            </w:r>
          </w:p>
        </w:tc>
      </w:tr>
      <w:tr>
        <w:tblPrEx>
          <w:tblCellMar>
            <w:top w:w="0" w:type="dxa"/>
            <w:left w:w="0" w:type="dxa"/>
            <w:bottom w:w="0" w:type="dxa"/>
            <w:right w:w="0" w:type="dxa"/>
          </w:tblCellMar>
        </w:tblPrEx>
        <w:trPr>
          <w:trHeight w:val="312" w:hRule="atLeast"/>
          <w:jc w:val="center"/>
        </w:trPr>
        <w:tc>
          <w:tcPr>
            <w:tcW w:w="558"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597"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84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c>
          <w:tcPr>
            <w:tcW w:w="477"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763"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74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c>
          <w:tcPr>
            <w:tcW w:w="56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788"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857"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312" w:hRule="atLeast"/>
          <w:jc w:val="center"/>
        </w:trPr>
        <w:tc>
          <w:tcPr>
            <w:tcW w:w="558"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1597"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840"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477"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1763"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740"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560"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1788"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857"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工资福利支出</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153.72</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商品和服务支出</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28.74</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债务利息及费用支出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30101</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基本工资</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67.93</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办公费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5.48</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30701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国内债务付息</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30102</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津贴补贴</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34.93</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印刷费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3.65</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30702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国外债务付息</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30103</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奖金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hint="default" w:ascii="宋体" w:eastAsia="宋体" w:cs="宋体"/>
                <w:color w:val="000000"/>
                <w:sz w:val="16"/>
                <w:szCs w:val="16"/>
                <w:lang w:val="en-US" w:eastAsia="zh-CN"/>
              </w:rPr>
            </w:pPr>
            <w:r>
              <w:rPr>
                <w:rFonts w:hint="eastAsia" w:ascii="宋体" w:cs="宋体"/>
                <w:color w:val="000000"/>
                <w:sz w:val="16"/>
                <w:szCs w:val="16"/>
              </w:rPr>
              <w:t>6</w:t>
            </w:r>
            <w:r>
              <w:rPr>
                <w:rFonts w:hint="eastAsia" w:ascii="宋体" w:cs="宋体"/>
                <w:color w:val="000000"/>
                <w:sz w:val="16"/>
                <w:szCs w:val="16"/>
                <w:lang w:val="en-US" w:eastAsia="zh-CN"/>
              </w:rPr>
              <w:t>.00</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30203</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咨询费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资本性支出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30106</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伙食补助费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手续费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房屋建筑物购建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30107</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绩效工资</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9.58</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水费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办公设备购置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30108</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机关事业单位基本养老保险缴费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17.74</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电费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31003</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专用设备购置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30109</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职业年金缴费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邮电费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6.48</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31005</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基础设施建设</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30110</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职工基本医疗保险缴费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6.49</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取暖费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31006</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大型修缮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30111</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公务员医疗补助缴费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物业管理费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信息网络及软件购置更新</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30112</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其他社会保障缴费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0.43</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差旅费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1.31</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31008</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物资储备</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30113</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住房公积金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hint="eastAsia" w:ascii="宋体" w:eastAsia="宋体" w:cs="宋体"/>
                <w:color w:val="000000"/>
                <w:sz w:val="16"/>
                <w:szCs w:val="16"/>
                <w:lang w:val="en-US" w:eastAsia="zh-CN"/>
              </w:rPr>
            </w:pPr>
            <w:r>
              <w:rPr>
                <w:rFonts w:hint="eastAsia" w:ascii="宋体" w:cs="宋体"/>
                <w:color w:val="000000"/>
                <w:sz w:val="16"/>
                <w:szCs w:val="16"/>
              </w:rPr>
              <w:t>10.6</w:t>
            </w:r>
            <w:r>
              <w:rPr>
                <w:rFonts w:hint="eastAsia" w:ascii="宋体" w:cs="宋体"/>
                <w:color w:val="000000"/>
                <w:sz w:val="16"/>
                <w:szCs w:val="16"/>
                <w:lang w:val="en-US" w:eastAsia="zh-CN"/>
              </w:rPr>
              <w:t>0</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因公出国（境）费用</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土地补偿</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30114</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医疗费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30213</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维修（护）费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hint="eastAsia" w:ascii="宋体" w:eastAsia="宋体" w:cs="宋体"/>
                <w:color w:val="000000"/>
                <w:sz w:val="16"/>
                <w:szCs w:val="16"/>
                <w:lang w:val="en-US" w:eastAsia="zh-CN"/>
              </w:rPr>
            </w:pPr>
            <w:r>
              <w:rPr>
                <w:rFonts w:hint="eastAsia" w:ascii="宋体" w:cs="宋体"/>
                <w:color w:val="000000"/>
                <w:sz w:val="16"/>
                <w:szCs w:val="16"/>
              </w:rPr>
              <w:t>0.3</w:t>
            </w:r>
            <w:r>
              <w:rPr>
                <w:rFonts w:hint="eastAsia" w:ascii="宋体" w:cs="宋体"/>
                <w:color w:val="000000"/>
                <w:sz w:val="16"/>
                <w:szCs w:val="16"/>
                <w:lang w:val="en-US" w:eastAsia="zh-CN"/>
              </w:rPr>
              <w:t>0</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31010</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安置补助</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30199</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其他工资福利支出</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租赁费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地上附着物和青苗补偿</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对个人和家庭的补助</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5.81</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会议费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拆迁补偿</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30301</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离休费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培训费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31013</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公务用车购置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30302</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退休费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5.26</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公务接待费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0.25</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其他交通工具购置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30303</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退职（役）费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专用材料费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31021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文物和陈列品购置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30304</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抚恤金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被装购置费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31022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无形资产购置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30305</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生活补助</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专用燃料费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其他资本性支出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30306</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救济费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劳务费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30307</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医疗费补助</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委托业务费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39906</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赠与</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30308</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助学金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工会经费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国家赔偿费用支出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0"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30309</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奖励金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0.55</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福利费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39908</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对民间非营利组织和群众性自治组织补贴</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30310</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个人农业生产补贴</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30231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公务用车运行维护费</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3.97</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30399</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其他对个人和家庭的补助支出</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30239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其他交通费用</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7.32</w:t>
            </w: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30240</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税金及附加费用</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30299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其他商品和服务支出</w:t>
            </w:r>
          </w:p>
        </w:tc>
        <w:tc>
          <w:tcPr>
            <w:tcW w:w="7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317" w:hRule="atLeast"/>
          <w:jc w:val="center"/>
        </w:trPr>
        <w:tc>
          <w:tcPr>
            <w:tcW w:w="2155"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center"/>
              <w:textAlignment w:val="center"/>
              <w:rPr>
                <w:rFonts w:ascii="宋体" w:cs="宋体"/>
                <w:color w:val="000000"/>
                <w:sz w:val="16"/>
                <w:szCs w:val="16"/>
              </w:rPr>
            </w:pPr>
            <w:r>
              <w:rPr>
                <w:rFonts w:hint="eastAsia" w:ascii="宋体" w:hAnsi="宋体" w:cs="宋体"/>
                <w:color w:val="000000"/>
                <w:kern w:val="0"/>
                <w:sz w:val="16"/>
                <w:szCs w:val="16"/>
              </w:rPr>
              <w:t>人员经费合计</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rPr>
              <w:t>159.53</w:t>
            </w:r>
          </w:p>
        </w:tc>
        <w:tc>
          <w:tcPr>
            <w:tcW w:w="5328" w:type="dxa"/>
            <w:gridSpan w:val="5"/>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center"/>
              <w:textAlignment w:val="center"/>
              <w:rPr>
                <w:rFonts w:ascii="宋体" w:cs="宋体"/>
                <w:color w:val="000000"/>
                <w:sz w:val="16"/>
                <w:szCs w:val="16"/>
              </w:rPr>
            </w:pPr>
            <w:r>
              <w:rPr>
                <w:rFonts w:hint="eastAsia" w:ascii="宋体" w:hAnsi="宋体" w:cs="宋体"/>
                <w:color w:val="000000"/>
                <w:kern w:val="0"/>
                <w:sz w:val="16"/>
                <w:szCs w:val="16"/>
              </w:rPr>
              <w:t>公用经费合计</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r>
      <w:tr>
        <w:tblPrEx>
          <w:tblCellMar>
            <w:top w:w="0" w:type="dxa"/>
            <w:left w:w="0" w:type="dxa"/>
            <w:bottom w:w="0" w:type="dxa"/>
            <w:right w:w="0" w:type="dxa"/>
          </w:tblCellMar>
        </w:tblPrEx>
        <w:trPr>
          <w:trHeight w:val="277" w:hRule="atLeast"/>
          <w:jc w:val="center"/>
        </w:trPr>
        <w:tc>
          <w:tcPr>
            <w:tcW w:w="9180" w:type="dxa"/>
            <w:gridSpan w:val="9"/>
            <w:tcBorders>
              <w:top w:val="nil"/>
              <w:left w:val="nil"/>
              <w:bottom w:val="nil"/>
              <w:right w:val="nil"/>
            </w:tcBorders>
            <w:noWrap/>
            <w:tcMar>
              <w:top w:w="15" w:type="dxa"/>
              <w:left w:w="15" w:type="dxa"/>
              <w:right w:w="15" w:type="dxa"/>
            </w:tcMar>
            <w:vAlign w:val="center"/>
          </w:tcPr>
          <w:p>
            <w:pPr>
              <w:widowControl/>
              <w:spacing w:after="0" w:line="240" w:lineRule="auto"/>
              <w:jc w:val="left"/>
              <w:textAlignment w:val="center"/>
              <w:rPr>
                <w:rFonts w:ascii="宋体" w:cs="宋体"/>
                <w:color w:val="000000"/>
                <w:sz w:val="20"/>
                <w:szCs w:val="20"/>
              </w:rPr>
            </w:pPr>
            <w:r>
              <w:rPr>
                <w:rFonts w:hint="eastAsia" w:ascii="宋体" w:hAnsi="宋体" w:cs="宋体"/>
                <w:color w:val="000000"/>
                <w:kern w:val="0"/>
                <w:sz w:val="20"/>
                <w:szCs w:val="20"/>
              </w:rPr>
              <w:t>注：本表反映部门本年度一般公共预算财政拨款基本支出明细情况。</w:t>
            </w:r>
            <w:r>
              <w:rPr>
                <w:rFonts w:ascii="宋体" w:hAnsi="宋体" w:cs="宋体"/>
                <w:color w:val="000000"/>
                <w:kern w:val="0"/>
                <w:sz w:val="20"/>
                <w:szCs w:val="20"/>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00" w:type="dxa"/>
        <w:jc w:val="center"/>
        <w:tblLayout w:type="fixed"/>
        <w:tblCellMar>
          <w:top w:w="0" w:type="dxa"/>
          <w:left w:w="0" w:type="dxa"/>
          <w:bottom w:w="0" w:type="dxa"/>
          <w:right w:w="0" w:type="dxa"/>
        </w:tblCellMar>
      </w:tblPr>
      <w:tblGrid>
        <w:gridCol w:w="1158"/>
        <w:gridCol w:w="1527"/>
        <w:gridCol w:w="1528"/>
        <w:gridCol w:w="1530"/>
        <w:gridCol w:w="1530"/>
        <w:gridCol w:w="1527"/>
      </w:tblGrid>
      <w:tr>
        <w:tblPrEx>
          <w:tblCellMar>
            <w:top w:w="0" w:type="dxa"/>
            <w:left w:w="0" w:type="dxa"/>
            <w:bottom w:w="0" w:type="dxa"/>
            <w:right w:w="0" w:type="dxa"/>
          </w:tblCellMar>
        </w:tblPrEx>
        <w:trPr>
          <w:trHeight w:val="584" w:hRule="atLeast"/>
          <w:jc w:val="center"/>
        </w:trPr>
        <w:tc>
          <w:tcPr>
            <w:tcW w:w="8800" w:type="dxa"/>
            <w:gridSpan w:val="6"/>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w:t>
            </w:r>
            <w:r>
              <w:pict>
                <v:group id="组合 52" o:spid="_x0000_s1059" o:spt="203" style="position:absolute;left:0pt;margin-left:-82.75pt;margin-top:-81.1pt;height:41.2pt;width:243.2pt;mso-position-vertical-relative:page;z-index:251679744;mso-width-relative:page;mso-height-relative:page;" coordorigin="4551,52615" coordsize="8546,1398">
                  <o:lock v:ext="edit"/>
                  <v:rect id="矩形 13" o:spid="_x0000_s1060" o:spt="1" style="position:absolute;left:4551;top:52615;height:1175;width:8546;v-text-anchor:middle;" fillcolor="#96DA9D" filled="t" stroked="f" coordsize="21600,21600">
                    <v:path/>
                    <v:fill on="t" focussize="0,0"/>
                    <v:stroke on="f" weight="2pt"/>
                    <v:imagedata o:title=""/>
                    <o:lock v:ext="edit"/>
                  </v:rect>
                  <v:rect id="矩形 14" o:spid="_x0000_s106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三公”经费支出决算表</w:t>
            </w:r>
          </w:p>
        </w:tc>
      </w:tr>
      <w:tr>
        <w:tblPrEx>
          <w:tblCellMar>
            <w:top w:w="0" w:type="dxa"/>
            <w:left w:w="0" w:type="dxa"/>
            <w:bottom w:w="0" w:type="dxa"/>
            <w:right w:w="0" w:type="dxa"/>
          </w:tblCellMar>
        </w:tblPrEx>
        <w:trPr>
          <w:trHeight w:val="347" w:hRule="atLeast"/>
          <w:jc w:val="center"/>
        </w:trPr>
        <w:tc>
          <w:tcPr>
            <w:tcW w:w="1158"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8"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07</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347" w:hRule="atLeast"/>
          <w:jc w:val="center"/>
        </w:trPr>
        <w:tc>
          <w:tcPr>
            <w:tcW w:w="7273" w:type="dxa"/>
            <w:gridSpan w:val="5"/>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 w:val="20"/>
                <w:szCs w:val="20"/>
              </w:rPr>
            </w:pPr>
            <w:r>
              <w:rPr>
                <w:rFonts w:hint="eastAsia" w:ascii="宋体" w:hAnsi="宋体" w:cs="宋体"/>
                <w:color w:val="000000"/>
                <w:kern w:val="0"/>
                <w:sz w:val="20"/>
                <w:szCs w:val="20"/>
              </w:rPr>
              <w:t>部门：</w:t>
            </w: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482"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预算数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86"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r>
              <w:rPr>
                <w:rFonts w:hint="eastAsia" w:ascii="宋体" w:cs="宋体"/>
                <w:color w:val="000000"/>
                <w:szCs w:val="21"/>
              </w:rPr>
              <w:t>5.7</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hint="eastAsia" w:ascii="宋体" w:eastAsia="宋体" w:cs="宋体"/>
                <w:color w:val="000000"/>
                <w:szCs w:val="21"/>
                <w:lang w:val="en-US" w:eastAsia="zh-CN"/>
              </w:rPr>
            </w:pPr>
            <w:r>
              <w:rPr>
                <w:rFonts w:hint="eastAsia" w:ascii="宋体" w:cs="宋体"/>
                <w:color w:val="000000"/>
                <w:szCs w:val="21"/>
              </w:rPr>
              <w:t>5.4</w:t>
            </w:r>
            <w:r>
              <w:rPr>
                <w:rFonts w:hint="eastAsia" w:ascii="宋体" w:cs="宋体"/>
                <w:color w:val="000000"/>
                <w:szCs w:val="21"/>
                <w:lang w:val="en-US" w:eastAsia="zh-CN"/>
              </w:rPr>
              <w:t>0</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hint="eastAsia" w:ascii="宋体" w:eastAsia="宋体" w:cs="宋体"/>
                <w:color w:val="000000"/>
                <w:szCs w:val="21"/>
                <w:lang w:val="en-US" w:eastAsia="zh-CN"/>
              </w:rPr>
            </w:pPr>
            <w:r>
              <w:rPr>
                <w:rFonts w:hint="eastAsia" w:ascii="宋体" w:cs="宋体"/>
                <w:color w:val="000000"/>
                <w:szCs w:val="21"/>
              </w:rPr>
              <w:t>5.4</w:t>
            </w:r>
            <w:r>
              <w:rPr>
                <w:rFonts w:hint="eastAsia" w:ascii="宋体" w:cs="宋体"/>
                <w:color w:val="000000"/>
                <w:szCs w:val="21"/>
                <w:lang w:val="en-US" w:eastAsia="zh-CN"/>
              </w:rPr>
              <w:t>0</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hint="eastAsia" w:ascii="宋体" w:eastAsia="宋体" w:cs="宋体"/>
                <w:color w:val="000000"/>
                <w:szCs w:val="21"/>
                <w:lang w:val="en-US" w:eastAsia="zh-CN"/>
              </w:rPr>
            </w:pPr>
            <w:r>
              <w:rPr>
                <w:rFonts w:hint="eastAsia" w:ascii="宋体" w:cs="宋体"/>
                <w:color w:val="000000"/>
                <w:szCs w:val="21"/>
              </w:rPr>
              <w:t>0.3</w:t>
            </w:r>
            <w:r>
              <w:rPr>
                <w:rFonts w:hint="eastAsia" w:ascii="宋体" w:cs="宋体"/>
                <w:color w:val="000000"/>
                <w:szCs w:val="21"/>
                <w:lang w:val="en-US" w:eastAsia="zh-CN"/>
              </w:rPr>
              <w:t>0</w:t>
            </w:r>
          </w:p>
        </w:tc>
      </w:tr>
      <w:tr>
        <w:tblPrEx>
          <w:tblCellMar>
            <w:top w:w="0" w:type="dxa"/>
            <w:left w:w="0" w:type="dxa"/>
            <w:bottom w:w="0" w:type="dxa"/>
            <w:right w:w="0" w:type="dxa"/>
          </w:tblCellMar>
        </w:tblPrEx>
        <w:trPr>
          <w:trHeight w:val="498"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72"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7</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8</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9</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10</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11</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12</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r>
              <w:rPr>
                <w:rFonts w:hint="eastAsia" w:ascii="宋体" w:cs="宋体"/>
                <w:color w:val="000000"/>
                <w:szCs w:val="21"/>
              </w:rPr>
              <w:t>5</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r>
              <w:rPr>
                <w:rFonts w:hint="eastAsia" w:ascii="宋体" w:cs="宋体"/>
                <w:color w:val="000000"/>
                <w:szCs w:val="21"/>
              </w:rPr>
              <w:t>4.75</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r>
              <w:rPr>
                <w:rFonts w:hint="eastAsia" w:ascii="宋体" w:cs="宋体"/>
                <w:color w:val="000000"/>
                <w:szCs w:val="21"/>
              </w:rPr>
              <w:t>4.75</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r>
              <w:rPr>
                <w:rFonts w:hint="eastAsia" w:ascii="宋体" w:cs="宋体"/>
                <w:color w:val="000000"/>
                <w:szCs w:val="21"/>
              </w:rPr>
              <w:t>0.25</w:t>
            </w:r>
          </w:p>
        </w:tc>
      </w:tr>
      <w:tr>
        <w:tblPrEx>
          <w:tblCellMar>
            <w:top w:w="0" w:type="dxa"/>
            <w:left w:w="0" w:type="dxa"/>
            <w:bottom w:w="0" w:type="dxa"/>
            <w:right w:w="0" w:type="dxa"/>
          </w:tblCellMar>
        </w:tblPrEx>
        <w:trPr>
          <w:trHeight w:val="782" w:hRule="atLeast"/>
          <w:jc w:val="center"/>
        </w:trPr>
        <w:tc>
          <w:tcPr>
            <w:tcW w:w="8800" w:type="dxa"/>
            <w:gridSpan w:val="6"/>
            <w:tcBorders>
              <w:top w:val="nil"/>
              <w:left w:val="nil"/>
              <w:bottom w:val="nil"/>
              <w:right w:val="nil"/>
            </w:tcBorders>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注：本表反映部门本年度“三公”经费支出预决算情况。其中：预算数为“三公”经费年初预算数，决算数是包括当年一般公共预算财政拨款和以前年度结转资金安排的实际支出。</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60" w:type="dxa"/>
        <w:tblInd w:w="0" w:type="dxa"/>
        <w:tblLayout w:type="fixed"/>
        <w:tblCellMar>
          <w:top w:w="0" w:type="dxa"/>
          <w:left w:w="0" w:type="dxa"/>
          <w:bottom w:w="0" w:type="dxa"/>
          <w:right w:w="0" w:type="dxa"/>
        </w:tblCellMar>
      </w:tblPr>
      <w:tblGrid>
        <w:gridCol w:w="296"/>
        <w:gridCol w:w="191"/>
        <w:gridCol w:w="479"/>
        <w:gridCol w:w="669"/>
        <w:gridCol w:w="376"/>
        <w:gridCol w:w="1166"/>
        <w:gridCol w:w="840"/>
        <w:gridCol w:w="1191"/>
        <w:gridCol w:w="1192"/>
        <w:gridCol w:w="1192"/>
        <w:gridCol w:w="1268"/>
      </w:tblGrid>
      <w:tr>
        <w:tblPrEx>
          <w:tblCellMar>
            <w:top w:w="0" w:type="dxa"/>
            <w:left w:w="0" w:type="dxa"/>
            <w:bottom w:w="0" w:type="dxa"/>
            <w:right w:w="0" w:type="dxa"/>
          </w:tblCellMar>
        </w:tblPrEx>
        <w:trPr>
          <w:trHeight w:val="707" w:hRule="atLeast"/>
        </w:trPr>
        <w:tc>
          <w:tcPr>
            <w:tcW w:w="8860" w:type="dxa"/>
            <w:gridSpan w:val="11"/>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center"/>
              <w:textAlignment w:val="center"/>
              <w:rPr>
                <w:rFonts w:ascii="黑体" w:hAnsi="宋体" w:eastAsia="黑体" w:cs="黑体"/>
                <w:color w:val="000000"/>
                <w:sz w:val="36"/>
                <w:szCs w:val="36"/>
              </w:rPr>
            </w:pPr>
            <w:r>
              <w:rPr>
                <w:rFonts w:hint="eastAsia" w:ascii="黑体" w:hAnsi="宋体" w:eastAsia="黑体" w:cs="黑体"/>
                <w:color w:val="000000"/>
                <w:kern w:val="0"/>
                <w:sz w:val="36"/>
                <w:szCs w:val="36"/>
              </w:rPr>
              <w:t>政府性基金预算财政拨款</w:t>
            </w:r>
            <w:r>
              <w:pict>
                <v:group id="组合 55" o:spid="_x0000_s1062" o:spt="203" style="position:absolute;left:0pt;margin-left:-80.9pt;margin-top:-81.1pt;height:41.2pt;width:243.2pt;mso-position-vertical-relative:page;z-index:251680768;mso-width-relative:page;mso-height-relative:page;" coordorigin="4551,52615" coordsize="8546,1398">
                  <o:lock v:ext="edit"/>
                  <v:rect id="矩形 13" o:spid="_x0000_s1063" o:spt="1" style="position:absolute;left:4551;top:52615;height:1175;width:8546;v-text-anchor:middle;" fillcolor="#96DA9D" filled="t" stroked="f" coordsize="21600,21600">
                    <v:path/>
                    <v:fill on="t" focussize="0,0"/>
                    <v:stroke on="f" weight="2pt"/>
                    <v:imagedata o:title=""/>
                    <o:lock v:ext="edit"/>
                  </v:rect>
                  <v:rect id="矩形 14" o:spid="_x0000_s106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36"/>
                <w:szCs w:val="36"/>
              </w:rPr>
              <w:t>收入支出决算表</w:t>
            </w:r>
          </w:p>
        </w:tc>
      </w:tr>
      <w:tr>
        <w:tblPrEx>
          <w:tblCellMar>
            <w:top w:w="0" w:type="dxa"/>
            <w:left w:w="0" w:type="dxa"/>
            <w:bottom w:w="0" w:type="dxa"/>
            <w:right w:w="0" w:type="dxa"/>
          </w:tblCellMar>
        </w:tblPrEx>
        <w:trPr>
          <w:trHeight w:val="315" w:hRule="atLeast"/>
        </w:trPr>
        <w:tc>
          <w:tcPr>
            <w:tcW w:w="296"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91"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479"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669"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542" w:type="dxa"/>
            <w:gridSpan w:val="2"/>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840"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1"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268"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08</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411" w:hRule="atLeast"/>
        </w:trPr>
        <w:tc>
          <w:tcPr>
            <w:tcW w:w="3177" w:type="dxa"/>
            <w:gridSpan w:val="6"/>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部门：</w:t>
            </w:r>
          </w:p>
        </w:tc>
        <w:tc>
          <w:tcPr>
            <w:tcW w:w="840"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1"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2460" w:type="dxa"/>
            <w:gridSpan w:val="2"/>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24" w:hRule="atLeast"/>
        </w:trPr>
        <w:tc>
          <w:tcPr>
            <w:tcW w:w="2011"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1166"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年初结转和结余</w:t>
            </w:r>
          </w:p>
        </w:tc>
        <w:tc>
          <w:tcPr>
            <w:tcW w:w="84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本年收入</w:t>
            </w:r>
          </w:p>
        </w:tc>
        <w:tc>
          <w:tcPr>
            <w:tcW w:w="3575"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本年支出</w:t>
            </w:r>
          </w:p>
        </w:tc>
        <w:tc>
          <w:tcPr>
            <w:tcW w:w="1268"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年末结转和结余</w:t>
            </w:r>
          </w:p>
        </w:tc>
      </w:tr>
      <w:tr>
        <w:tblPrEx>
          <w:tblCellMar>
            <w:top w:w="0" w:type="dxa"/>
            <w:left w:w="0" w:type="dxa"/>
            <w:bottom w:w="0" w:type="dxa"/>
            <w:right w:w="0" w:type="dxa"/>
          </w:tblCellMar>
        </w:tblPrEx>
        <w:trPr>
          <w:trHeight w:val="324" w:hRule="atLeast"/>
        </w:trPr>
        <w:tc>
          <w:tcPr>
            <w:tcW w:w="966"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1045" w:type="dxa"/>
            <w:gridSpan w:val="2"/>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1"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19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基本支出</w:t>
            </w:r>
          </w:p>
        </w:tc>
        <w:tc>
          <w:tcPr>
            <w:tcW w:w="119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项目支出</w:t>
            </w: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045" w:type="dxa"/>
            <w:gridSpan w:val="2"/>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1"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12" w:hRule="atLeast"/>
        </w:trPr>
        <w:tc>
          <w:tcPr>
            <w:tcW w:w="96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045" w:type="dxa"/>
            <w:gridSpan w:val="2"/>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1"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8860" w:type="dxa"/>
            <w:gridSpan w:val="11"/>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注：本表反映部门本年度政府性基金预算财政拨款收入、支出及结转和结余情况。</w:t>
            </w:r>
            <w:r>
              <w:rPr>
                <w:rFonts w:ascii="宋体" w:hAnsi="宋体" w:cs="宋体"/>
                <w:color w:val="000000"/>
                <w:kern w:val="0"/>
                <w:szCs w:val="21"/>
              </w:rPr>
              <w:t xml:space="preserve">         </w:t>
            </w:r>
          </w:p>
        </w:tc>
      </w:tr>
    </w:tbl>
    <w:p>
      <w:pPr>
        <w:spacing w:after="0" w:line="560" w:lineRule="exact"/>
        <w:rPr>
          <w:rFonts w:hint="eastAsia" w:ascii="仿宋_GB2312" w:hAnsi="Cambria" w:eastAsia="仿宋_GB2312" w:cs="ArialUnicodeMS"/>
          <w:kern w:val="0"/>
          <w:sz w:val="32"/>
          <w:szCs w:val="32"/>
          <w:lang w:eastAsia="zh-CN"/>
        </w:rPr>
      </w:pPr>
      <w:r>
        <w:rPr>
          <w:rFonts w:hint="eastAsia" w:ascii="仿宋_GB2312" w:hAnsi="Cambria" w:eastAsia="仿宋_GB2312" w:cs="ArialUnicodeMS"/>
          <w:kern w:val="0"/>
          <w:sz w:val="32"/>
          <w:szCs w:val="32"/>
          <w:lang w:eastAsia="zh-CN"/>
        </w:rPr>
        <w:t>本部门本年度无政府性基金财政拨款收入情况，</w:t>
      </w:r>
      <w:r>
        <w:rPr>
          <w:rFonts w:hint="eastAsia" w:ascii="仿宋_GB2312" w:hAnsi="Cambria" w:eastAsia="仿宋_GB2312" w:cs="ArialUnicodeMS"/>
          <w:kern w:val="0"/>
          <w:sz w:val="32"/>
          <w:szCs w:val="32"/>
          <w:lang w:val="en-US" w:eastAsia="zh-CN"/>
        </w:rPr>
        <w:t>按照要求</w:t>
      </w:r>
      <w:r>
        <w:rPr>
          <w:rFonts w:hint="eastAsia" w:ascii="仿宋_GB2312" w:hAnsi="Cambria" w:eastAsia="仿宋_GB2312" w:cs="ArialUnicodeMS"/>
          <w:kern w:val="0"/>
          <w:sz w:val="32"/>
          <w:szCs w:val="32"/>
          <w:lang w:eastAsia="zh-CN"/>
        </w:rPr>
        <w:t>空表列示。</w:t>
      </w: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00" w:type="dxa"/>
        <w:tblInd w:w="0" w:type="dxa"/>
        <w:tblLayout w:type="fixed"/>
        <w:tblCellMar>
          <w:top w:w="0" w:type="dxa"/>
          <w:left w:w="0" w:type="dxa"/>
          <w:bottom w:w="0" w:type="dxa"/>
          <w:right w:w="0" w:type="dxa"/>
        </w:tblCellMar>
      </w:tblPr>
      <w:tblGrid>
        <w:gridCol w:w="442"/>
        <w:gridCol w:w="208"/>
        <w:gridCol w:w="504"/>
        <w:gridCol w:w="274"/>
        <w:gridCol w:w="894"/>
        <w:gridCol w:w="783"/>
        <w:gridCol w:w="252"/>
        <w:gridCol w:w="1646"/>
        <w:gridCol w:w="359"/>
        <w:gridCol w:w="1539"/>
        <w:gridCol w:w="1899"/>
      </w:tblGrid>
      <w:tr>
        <w:tblPrEx>
          <w:tblCellMar>
            <w:top w:w="0" w:type="dxa"/>
            <w:left w:w="0" w:type="dxa"/>
            <w:bottom w:w="0" w:type="dxa"/>
            <w:right w:w="0" w:type="dxa"/>
          </w:tblCellMar>
        </w:tblPrEx>
        <w:trPr>
          <w:trHeight w:val="656" w:hRule="atLeast"/>
        </w:trPr>
        <w:tc>
          <w:tcPr>
            <w:tcW w:w="8800" w:type="dxa"/>
            <w:gridSpan w:val="11"/>
            <w:tcBorders>
              <w:top w:val="nil"/>
              <w:left w:val="nil"/>
              <w:bottom w:val="nil"/>
              <w:right w:val="nil"/>
            </w:tcBorders>
            <w:noWrap/>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国有资本经营预算财政拨</w:t>
            </w:r>
            <w:r>
              <w:pict>
                <v:group id="组合 58" o:spid="_x0000_s1065" o:spt="203" style="position:absolute;left:0pt;margin-left:-80.9pt;margin-top:-81.1pt;height:41.2pt;width:243.2pt;mso-position-vertical-relative:page;z-index:251681792;mso-width-relative:page;mso-height-relative:page;" coordorigin="4551,52615" coordsize="8546,1398">
                  <o:lock v:ext="edit"/>
                  <v:rect id="矩形 13" o:spid="_x0000_s1066" o:spt="1" style="position:absolute;left:4551;top:52615;height:1175;width:8546;v-text-anchor:middle;" fillcolor="#96DA9D" filled="t" stroked="f" coordsize="21600,21600">
                    <v:path/>
                    <v:fill on="t" focussize="0,0"/>
                    <v:stroke on="f" weight="2pt"/>
                    <v:imagedata o:title=""/>
                    <o:lock v:ext="edit"/>
                  </v:rect>
                  <v:rect id="矩形 14" o:spid="_x0000_s106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5" w:hRule="atLeast"/>
        </w:trPr>
        <w:tc>
          <w:tcPr>
            <w:tcW w:w="442"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8"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04"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168"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03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0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noWrap/>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公开</w:t>
            </w:r>
            <w:r>
              <w:rPr>
                <w:rFonts w:ascii="宋体" w:hAnsi="宋体" w:cs="宋体"/>
                <w:color w:val="000000"/>
                <w:kern w:val="0"/>
                <w:sz w:val="22"/>
                <w:szCs w:val="22"/>
              </w:rPr>
              <w:t>09</w:t>
            </w:r>
            <w:r>
              <w:rPr>
                <w:rFonts w:hint="eastAsia" w:ascii="宋体" w:hAnsi="宋体" w:cs="宋体"/>
                <w:color w:val="000000"/>
                <w:kern w:val="0"/>
                <w:sz w:val="22"/>
                <w:szCs w:val="22"/>
              </w:rPr>
              <w:t>表</w:t>
            </w:r>
          </w:p>
        </w:tc>
      </w:tr>
      <w:tr>
        <w:tblPrEx>
          <w:tblCellMar>
            <w:top w:w="0" w:type="dxa"/>
            <w:left w:w="0" w:type="dxa"/>
            <w:bottom w:w="0" w:type="dxa"/>
            <w:right w:w="0" w:type="dxa"/>
          </w:tblCellMar>
        </w:tblPrEx>
        <w:trPr>
          <w:trHeight w:val="335" w:hRule="atLeast"/>
        </w:trPr>
        <w:tc>
          <w:tcPr>
            <w:tcW w:w="3357" w:type="dxa"/>
            <w:gridSpan w:val="7"/>
            <w:tcBorders>
              <w:top w:val="nil"/>
              <w:left w:val="nil"/>
              <w:bottom w:val="nil"/>
              <w:right w:val="nil"/>
            </w:tcBorders>
            <w:noWrap/>
            <w:tcMar>
              <w:top w:w="15" w:type="dxa"/>
              <w:left w:w="15" w:type="dxa"/>
              <w:right w:w="15" w:type="dxa"/>
            </w:tcMar>
            <w:vAlign w:val="center"/>
          </w:tcPr>
          <w:p>
            <w:pPr>
              <w:widowControl/>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编制单位：</w:t>
            </w:r>
          </w:p>
        </w:tc>
        <w:tc>
          <w:tcPr>
            <w:tcW w:w="200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noWrap/>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358" w:hRule="atLeast"/>
        </w:trPr>
        <w:tc>
          <w:tcPr>
            <w:tcW w:w="3105"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科目</w:t>
            </w:r>
          </w:p>
        </w:tc>
        <w:tc>
          <w:tcPr>
            <w:tcW w:w="5695" w:type="dxa"/>
            <w:gridSpan w:val="5"/>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本年支出</w:t>
            </w:r>
          </w:p>
        </w:tc>
      </w:tr>
      <w:tr>
        <w:tblPrEx>
          <w:tblCellMar>
            <w:top w:w="0" w:type="dxa"/>
            <w:left w:w="0" w:type="dxa"/>
            <w:bottom w:w="0" w:type="dxa"/>
            <w:right w:w="0" w:type="dxa"/>
          </w:tblCellMar>
        </w:tblPrEx>
        <w:trPr>
          <w:trHeight w:val="82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功能分类科目编码</w:t>
            </w: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科目名称</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小计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基本支出</w:t>
            </w: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项目支出</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栏次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1</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2</w:t>
            </w: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3</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合计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58" w:hRule="atLeast"/>
        </w:trPr>
        <w:tc>
          <w:tcPr>
            <w:tcW w:w="8800" w:type="dxa"/>
            <w:gridSpan w:val="11"/>
            <w:tcBorders>
              <w:top w:val="nil"/>
              <w:left w:val="nil"/>
              <w:bottom w:val="nil"/>
              <w:right w:val="nil"/>
            </w:tcBorders>
            <w:tcMar>
              <w:top w:w="15" w:type="dxa"/>
              <w:left w:w="15" w:type="dxa"/>
              <w:right w:w="15" w:type="dxa"/>
            </w:tcMar>
            <w:vAlign w:val="center"/>
          </w:tcPr>
          <w:p>
            <w:pPr>
              <w:widowControl/>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注：本表反映部门本年度国有资本经营预算财政拨款支出情况。</w:t>
            </w:r>
          </w:p>
        </w:tc>
      </w:tr>
    </w:tbl>
    <w:p>
      <w:pPr>
        <w:spacing w:after="0" w:line="560" w:lineRule="exact"/>
        <w:rPr>
          <w:rFonts w:hint="eastAsia" w:ascii="仿宋_GB2312" w:hAnsi="Cambria" w:eastAsia="仿宋_GB2312" w:cs="ArialUnicodeMS"/>
          <w:kern w:val="0"/>
          <w:sz w:val="32"/>
          <w:szCs w:val="32"/>
          <w:lang w:eastAsia="zh-CN"/>
        </w:rPr>
      </w:pPr>
      <w:r>
        <w:rPr>
          <w:rFonts w:hint="eastAsia" w:ascii="仿宋_GB2312" w:hAnsi="Cambria" w:eastAsia="仿宋_GB2312" w:cs="ArialUnicodeMS"/>
          <w:kern w:val="0"/>
          <w:sz w:val="32"/>
          <w:szCs w:val="32"/>
          <w:lang w:eastAsia="zh-CN"/>
        </w:rPr>
        <w:t>本部门本年度无国有资本经营预算财政拨款支出情况，</w:t>
      </w:r>
      <w:r>
        <w:rPr>
          <w:rFonts w:hint="eastAsia" w:ascii="仿宋_GB2312" w:hAnsi="Cambria" w:eastAsia="仿宋_GB2312" w:cs="ArialUnicodeMS"/>
          <w:kern w:val="0"/>
          <w:sz w:val="32"/>
          <w:szCs w:val="32"/>
          <w:lang w:val="en-US" w:eastAsia="zh-CN"/>
        </w:rPr>
        <w:t>按照要求</w:t>
      </w:r>
      <w:r>
        <w:rPr>
          <w:rFonts w:hint="eastAsia" w:ascii="仿宋_GB2312" w:hAnsi="Cambria" w:eastAsia="仿宋_GB2312" w:cs="ArialUnicodeMS"/>
          <w:kern w:val="0"/>
          <w:sz w:val="32"/>
          <w:szCs w:val="32"/>
          <w:lang w:eastAsia="zh-CN"/>
        </w:rPr>
        <w:t>空表列示。</w:t>
      </w: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940" w:type="dxa"/>
        <w:tblInd w:w="0" w:type="dxa"/>
        <w:tblLayout w:type="fixed"/>
        <w:tblCellMar>
          <w:top w:w="0" w:type="dxa"/>
          <w:left w:w="0" w:type="dxa"/>
          <w:bottom w:w="0" w:type="dxa"/>
          <w:right w:w="0" w:type="dxa"/>
        </w:tblCellMar>
      </w:tblPr>
      <w:tblGrid>
        <w:gridCol w:w="1901"/>
        <w:gridCol w:w="1203"/>
        <w:gridCol w:w="790"/>
        <w:gridCol w:w="362"/>
        <w:gridCol w:w="911"/>
        <w:gridCol w:w="241"/>
        <w:gridCol w:w="1032"/>
        <w:gridCol w:w="120"/>
        <w:gridCol w:w="1154"/>
        <w:gridCol w:w="1226"/>
      </w:tblGrid>
      <w:tr>
        <w:tblPrEx>
          <w:tblCellMar>
            <w:top w:w="0" w:type="dxa"/>
            <w:left w:w="0" w:type="dxa"/>
            <w:bottom w:w="0" w:type="dxa"/>
            <w:right w:w="0" w:type="dxa"/>
          </w:tblCellMar>
        </w:tblPrEx>
        <w:trPr>
          <w:trHeight w:val="635" w:hRule="atLeast"/>
        </w:trPr>
        <w:tc>
          <w:tcPr>
            <w:tcW w:w="8940" w:type="dxa"/>
            <w:gridSpan w:val="10"/>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政府采购</w:t>
            </w:r>
            <w:r>
              <w:pict>
                <v:group id="组合 61" o:spid="_x0000_s1068" o:spt="203" style="position:absolute;left:0pt;margin-left:-80.9pt;margin-top:-81.1pt;height:41.2pt;width:243.2pt;mso-position-vertical-relative:page;z-index:251682816;mso-width-relative:page;mso-height-relative:page;" coordorigin="4551,52615" coordsize="8546,1398">
                  <o:lock v:ext="edit"/>
                  <v:rect id="矩形 13" o:spid="_x0000_s1069" o:spt="1" style="position:absolute;left:4551;top:52615;height:1175;width:8546;v-text-anchor:middle;" fillcolor="#96DA9D" filled="t" stroked="f" coordsize="21600,21600">
                    <v:path/>
                    <v:fill on="t" focussize="0,0"/>
                    <v:stroke on="f" weight="2pt"/>
                    <v:imagedata o:title=""/>
                    <o:lock v:ext="edit"/>
                  </v:rect>
                  <v:rect id="矩形 14" o:spid="_x0000_s107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情况表</w:t>
            </w:r>
          </w:p>
        </w:tc>
      </w:tr>
      <w:tr>
        <w:tblPrEx>
          <w:tblCellMar>
            <w:top w:w="0" w:type="dxa"/>
            <w:left w:w="0" w:type="dxa"/>
            <w:bottom w:w="0" w:type="dxa"/>
            <w:right w:w="0" w:type="dxa"/>
          </w:tblCellMar>
        </w:tblPrEx>
        <w:trPr>
          <w:trHeight w:val="326" w:hRule="atLeast"/>
        </w:trPr>
        <w:tc>
          <w:tcPr>
            <w:tcW w:w="1901"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03"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79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2500" w:type="dxa"/>
            <w:gridSpan w:val="3"/>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10</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360" w:hRule="atLeast"/>
        </w:trPr>
        <w:tc>
          <w:tcPr>
            <w:tcW w:w="6440" w:type="dxa"/>
            <w:gridSpan w:val="7"/>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编制单位：</w:t>
            </w:r>
          </w:p>
        </w:tc>
        <w:tc>
          <w:tcPr>
            <w:tcW w:w="2500" w:type="dxa"/>
            <w:gridSpan w:val="3"/>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09" w:hRule="atLeast"/>
        </w:trPr>
        <w:tc>
          <w:tcPr>
            <w:tcW w:w="1901"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7039" w:type="dxa"/>
            <w:gridSpan w:val="9"/>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采购计划金额</w:t>
            </w:r>
          </w:p>
        </w:tc>
      </w:tr>
      <w:tr>
        <w:tblPrEx>
          <w:tblCellMar>
            <w:top w:w="0" w:type="dxa"/>
            <w:left w:w="0" w:type="dxa"/>
            <w:bottom w:w="0" w:type="dxa"/>
            <w:right w:w="0" w:type="dxa"/>
          </w:tblCellMar>
        </w:tblPrEx>
        <w:trPr>
          <w:trHeight w:val="398" w:hRule="atLeast"/>
        </w:trPr>
        <w:tc>
          <w:tcPr>
            <w:tcW w:w="1901"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473" w:hRule="atLeast"/>
        </w:trPr>
        <w:tc>
          <w:tcPr>
            <w:tcW w:w="1901"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w:t>
            </w:r>
            <w:r>
              <w:rPr>
                <w:rFonts w:ascii="宋体" w:hAnsi="宋体" w:cs="宋体"/>
                <w:color w:val="000000"/>
                <w:kern w:val="0"/>
                <w:szCs w:val="21"/>
              </w:rPr>
              <w:t xml:space="preserve">       </w:t>
            </w:r>
            <w:r>
              <w:rPr>
                <w:rFonts w:hint="eastAsia" w:ascii="宋体" w:hAnsi="宋体" w:cs="宋体"/>
                <w:color w:val="000000"/>
                <w:kern w:val="0"/>
                <w:szCs w:val="21"/>
              </w:rPr>
              <w:t>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09" w:hRule="atLeast"/>
        </w:trPr>
        <w:tc>
          <w:tcPr>
            <w:tcW w:w="1901" w:type="dxa"/>
            <w:vMerge w:val="restart"/>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7039" w:type="dxa"/>
            <w:gridSpan w:val="9"/>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实际采购金额</w:t>
            </w:r>
          </w:p>
        </w:tc>
      </w:tr>
      <w:tr>
        <w:tblPrEx>
          <w:tblCellMar>
            <w:top w:w="0" w:type="dxa"/>
            <w:left w:w="0" w:type="dxa"/>
            <w:bottom w:w="0" w:type="dxa"/>
            <w:right w:w="0" w:type="dxa"/>
          </w:tblCellMar>
        </w:tblPrEx>
        <w:trPr>
          <w:trHeight w:val="350" w:hRule="atLeast"/>
        </w:trPr>
        <w:tc>
          <w:tcPr>
            <w:tcW w:w="1901" w:type="dxa"/>
            <w:vMerge w:val="continue"/>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543" w:hRule="atLeast"/>
        </w:trPr>
        <w:tc>
          <w:tcPr>
            <w:tcW w:w="1901" w:type="dxa"/>
            <w:vMerge w:val="continue"/>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09"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w:t>
            </w:r>
            <w:r>
              <w:rPr>
                <w:rFonts w:ascii="宋体" w:hAnsi="宋体" w:cs="宋体"/>
                <w:color w:val="000000"/>
                <w:kern w:val="0"/>
                <w:szCs w:val="21"/>
              </w:rPr>
              <w:t xml:space="preserve">       </w:t>
            </w:r>
            <w:r>
              <w:rPr>
                <w:rFonts w:hint="eastAsia" w:ascii="宋体" w:hAnsi="宋体" w:cs="宋体"/>
                <w:color w:val="000000"/>
                <w:kern w:val="0"/>
                <w:szCs w:val="21"/>
              </w:rPr>
              <w:t>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98" w:hRule="atLeast"/>
        </w:trPr>
        <w:tc>
          <w:tcPr>
            <w:tcW w:w="8940" w:type="dxa"/>
            <w:gridSpan w:val="10"/>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注：本表反映部门本年度纳入部门预算范围的政府采购预算及支出情况。</w:t>
            </w:r>
            <w:r>
              <w:rPr>
                <w:rFonts w:ascii="宋体" w:hAnsi="宋体" w:cs="宋体"/>
                <w:color w:val="000000"/>
                <w:kern w:val="0"/>
                <w:szCs w:val="21"/>
              </w:rPr>
              <w:t xml:space="preserve">     </w:t>
            </w:r>
          </w:p>
        </w:tc>
      </w:tr>
    </w:tbl>
    <w:p>
      <w:pPr>
        <w:spacing w:after="0" w:line="560" w:lineRule="exact"/>
        <w:rPr>
          <w:rFonts w:hint="eastAsia" w:ascii="仿宋_GB2312" w:hAnsi="Cambria" w:eastAsia="仿宋_GB2312" w:cs="ArialUnicodeMS"/>
          <w:kern w:val="0"/>
          <w:sz w:val="32"/>
          <w:szCs w:val="32"/>
          <w:lang w:eastAsia="zh-CN"/>
        </w:rPr>
      </w:pPr>
      <w:r>
        <w:rPr>
          <w:rFonts w:hint="eastAsia" w:ascii="仿宋_GB2312" w:hAnsi="Cambria" w:eastAsia="仿宋_GB2312" w:cs="ArialUnicodeMS"/>
          <w:kern w:val="0"/>
          <w:sz w:val="32"/>
          <w:szCs w:val="32"/>
          <w:lang w:eastAsia="zh-CN"/>
        </w:rPr>
        <w:t>本部门本年度无政府采购情况，</w:t>
      </w:r>
      <w:r>
        <w:rPr>
          <w:rFonts w:hint="eastAsia" w:ascii="仿宋_GB2312" w:hAnsi="Cambria" w:eastAsia="仿宋_GB2312" w:cs="ArialUnicodeMS"/>
          <w:kern w:val="0"/>
          <w:sz w:val="32"/>
          <w:szCs w:val="32"/>
          <w:lang w:val="en-US" w:eastAsia="zh-CN"/>
        </w:rPr>
        <w:t>按照要求</w:t>
      </w:r>
      <w:r>
        <w:rPr>
          <w:rFonts w:hint="eastAsia" w:ascii="仿宋_GB2312" w:hAnsi="Cambria" w:eastAsia="仿宋_GB2312" w:cs="ArialUnicodeMS"/>
          <w:kern w:val="0"/>
          <w:sz w:val="32"/>
          <w:szCs w:val="32"/>
          <w:lang w:eastAsia="zh-CN"/>
        </w:rPr>
        <w:t>空表列示。</w:t>
      </w:r>
    </w:p>
    <w:p>
      <w:pPr>
        <w:widowControl/>
        <w:spacing w:after="0" w:line="560" w:lineRule="exact"/>
        <w:jc w:val="left"/>
        <w:rPr>
          <w:rFonts w:ascii="仿宋_GB2312" w:hAnsi="宋体" w:eastAsia="仿宋_GB2312"/>
          <w:b/>
          <w:sz w:val="28"/>
          <w:szCs w:val="28"/>
          <w:highlight w:val="yellow"/>
        </w:rPr>
      </w:pPr>
    </w:p>
    <w:p/>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4" o:spid="_x0000_s1071" o:spt="75" alt="2" type="#_x0000_t75" style="position:absolute;left:0pt;margin-left:-79.45pt;margin-top:-105.35pt;height:840.95pt;width:594.5pt;z-index:-251650048;mso-width-relative:page;mso-height-relative:page;" filled="f" o:preferrelative="t" stroked="f" coordsize="21600,21600">
            <v:path/>
            <v:fill on="f" focussize="0,0"/>
            <v:stroke on="f" joinstyle="miter"/>
            <v:imagedata r:id="rId7" o:title=""/>
            <o:lock v:ext="edit" aspectratio="t"/>
          </v:shape>
        </w:pict>
      </w:r>
      <w:r>
        <w:pict>
          <v:shape id="文本框 5" o:spid="_x0000_s1072" o:spt="202" type="#_x0000_t202" style="position:absolute;left:0pt;margin-left:-78.7pt;margin-top:232.8pt;height:159.1pt;width:596.2pt;z-index:25166540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073" o:spt="203" style="position:absolute;left:0pt;margin-left:-79.5pt;margin-top:29.3pt;height:43.95pt;width:301.85pt;mso-position-vertical-relative:page;z-index:251692032;mso-width-relative:page;mso-height-relative:page;" coordorigin="4551,52615" coordsize="8546,1398">
            <o:lock v:ext="edit"/>
            <v:rect id="矩形 13" o:spid="_x0000_s1074" o:spt="1" style="position:absolute;left:4551;top:52615;height:1175;width:8546;v-text-anchor:middle;" fillcolor="#96DA9D" filled="t" stroked="f" coordsize="21600,21600">
              <v:path/>
              <v:fill on="t" focussize="0,0"/>
              <v:stroke on="f" weight="2pt"/>
              <v:imagedata o:title=""/>
              <o:lock v:ext="edit"/>
            </v:rect>
            <v:rect id="矩形 14" o:spid="_x0000_s107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年度收入总计（含结转和结余）</w:t>
      </w:r>
      <w:r>
        <w:rPr>
          <w:rFonts w:hint="eastAsia" w:ascii="宋体" w:hAnsi="宋体" w:eastAsia="宋体" w:cs="宋体"/>
          <w:b w:val="0"/>
          <w:bCs w:val="0"/>
          <w:kern w:val="2"/>
          <w:sz w:val="32"/>
          <w:szCs w:val="32"/>
          <w:lang w:val="en-US" w:eastAsia="zh-CN" w:bidi="ar-SA"/>
        </w:rPr>
        <w:t>1428.24</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年度决算相比，收入增加</w:t>
      </w:r>
      <w:r>
        <w:rPr>
          <w:rFonts w:hint="eastAsia" w:ascii="宋体" w:hAnsi="宋体" w:eastAsia="宋体" w:cs="宋体"/>
          <w:b w:val="0"/>
          <w:bCs w:val="0"/>
          <w:kern w:val="2"/>
          <w:sz w:val="32"/>
          <w:szCs w:val="32"/>
          <w:lang w:val="en-US" w:eastAsia="zh-CN" w:bidi="ar-SA"/>
        </w:rPr>
        <w:t>942.92</w:t>
      </w:r>
      <w:r>
        <w:rPr>
          <w:rFonts w:hint="eastAsia" w:ascii="仿宋_GB2312" w:eastAsia="仿宋_GB2312" w:cs="DengXian-Regular"/>
          <w:sz w:val="32"/>
          <w:szCs w:val="32"/>
        </w:rPr>
        <w:t>万元，增长</w:t>
      </w:r>
      <w:r>
        <w:rPr>
          <w:rFonts w:hint="eastAsia" w:ascii="宋体" w:hAnsi="宋体" w:eastAsia="宋体" w:cs="宋体"/>
          <w:b w:val="0"/>
          <w:bCs w:val="0"/>
          <w:kern w:val="2"/>
          <w:sz w:val="32"/>
          <w:szCs w:val="32"/>
          <w:lang w:val="en-US" w:eastAsia="zh-CN" w:bidi="ar-SA"/>
        </w:rPr>
        <w:t>194.29%</w:t>
      </w:r>
      <w:r>
        <w:rPr>
          <w:rFonts w:hint="eastAsia" w:ascii="仿宋_GB2312" w:eastAsia="仿宋_GB2312" w:cs="DengXian-Regular"/>
          <w:sz w:val="32"/>
          <w:szCs w:val="32"/>
        </w:rPr>
        <w:t>，主要原因是</w:t>
      </w:r>
      <w:r>
        <w:rPr>
          <w:rFonts w:hint="eastAsia" w:ascii="仿宋_GB2312" w:eastAsia="仿宋_GB2312" w:cs="DengXian-Regular"/>
          <w:sz w:val="32"/>
          <w:szCs w:val="32"/>
          <w:lang w:val="en-US" w:eastAsia="zh-CN"/>
        </w:rPr>
        <w:t>贫困村驻村工作队经费增加且由本部门发放</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年度支出总计（含结转和结余）</w:t>
      </w:r>
      <w:r>
        <w:rPr>
          <w:rFonts w:hint="eastAsia" w:ascii="宋体" w:hAnsi="宋体" w:eastAsia="宋体" w:cs="宋体"/>
          <w:b w:val="0"/>
          <w:bCs w:val="0"/>
          <w:kern w:val="2"/>
          <w:sz w:val="32"/>
          <w:szCs w:val="32"/>
          <w:lang w:val="en-US" w:eastAsia="zh-CN" w:bidi="ar-SA"/>
        </w:rPr>
        <w:t>1428.24</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年度决算相比，支出增加</w:t>
      </w:r>
      <w:r>
        <w:rPr>
          <w:rFonts w:hint="eastAsia" w:ascii="宋体" w:hAnsi="宋体" w:eastAsia="宋体" w:cs="宋体"/>
          <w:b w:val="0"/>
          <w:bCs w:val="0"/>
          <w:kern w:val="2"/>
          <w:sz w:val="32"/>
          <w:szCs w:val="32"/>
          <w:lang w:val="en-US" w:eastAsia="zh-CN" w:bidi="ar-SA"/>
        </w:rPr>
        <w:t>942.92</w:t>
      </w:r>
      <w:r>
        <w:rPr>
          <w:rFonts w:hint="eastAsia" w:ascii="仿宋_GB2312" w:eastAsia="仿宋_GB2312" w:cs="DengXian-Regular"/>
          <w:sz w:val="32"/>
          <w:szCs w:val="32"/>
        </w:rPr>
        <w:t>万元，增长</w:t>
      </w:r>
      <w:r>
        <w:rPr>
          <w:rFonts w:hint="eastAsia" w:ascii="宋体" w:hAnsi="宋体" w:eastAsia="宋体" w:cs="宋体"/>
          <w:b w:val="0"/>
          <w:bCs w:val="0"/>
          <w:kern w:val="2"/>
          <w:sz w:val="32"/>
          <w:szCs w:val="32"/>
          <w:lang w:val="en-US" w:eastAsia="zh-CN" w:bidi="ar-SA"/>
        </w:rPr>
        <w:t>194.29%</w:t>
      </w:r>
      <w:r>
        <w:rPr>
          <w:rFonts w:hint="eastAsia" w:ascii="仿宋_GB2312" w:eastAsia="仿宋_GB2312" w:cs="DengXian-Regular"/>
          <w:sz w:val="32"/>
          <w:szCs w:val="32"/>
        </w:rPr>
        <w:t>，主要原因是主要原因是</w:t>
      </w:r>
      <w:r>
        <w:rPr>
          <w:rFonts w:hint="eastAsia" w:ascii="仿宋_GB2312" w:eastAsia="仿宋_GB2312" w:cs="DengXian-Regular"/>
          <w:sz w:val="32"/>
          <w:szCs w:val="32"/>
          <w:lang w:val="en-US" w:eastAsia="zh-CN"/>
        </w:rPr>
        <w:t>贫困村驻村工作队经费增加且由本部门发放</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adjustRightInd w:val="0"/>
        <w:snapToGrid w:val="0"/>
        <w:spacing w:after="0" w:line="580" w:lineRule="exact"/>
        <w:ind w:firstLine="640" w:firstLineChars="200"/>
        <w:rPr>
          <w:rFonts w:ascii="黑体" w:eastAsia="黑体"/>
          <w:b w:val="0"/>
          <w:bCs w:val="0"/>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年度本年收入合计</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万元，其中：财政拨款收入</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100</w:t>
      </w:r>
      <w:r>
        <w:rPr>
          <w:rFonts w:ascii="仿宋_GB2312" w:eastAsia="仿宋_GB2312" w:cs="DengXian-Regular"/>
          <w:sz w:val="32"/>
          <w:szCs w:val="32"/>
        </w:rPr>
        <w:t>%</w:t>
      </w:r>
      <w:r>
        <w:rPr>
          <w:rFonts w:hint="eastAsia" w:ascii="仿宋_GB2312" w:eastAsia="仿宋_GB2312" w:cs="DengXian-Regular"/>
          <w:sz w:val="32"/>
          <w:szCs w:val="32"/>
        </w:rPr>
        <w:t>；事业收入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；经营收入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；其他收入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adjustRightInd w:val="0"/>
        <w:snapToGrid w:val="0"/>
        <w:spacing w:after="0" w:line="580" w:lineRule="exact"/>
        <w:ind w:firstLine="640" w:firstLineChars="200"/>
        <w:rPr>
          <w:rFonts w:ascii="黑体" w:eastAsia="黑体"/>
          <w:b w:val="0"/>
          <w:bCs w:val="0"/>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年度本年支出合计</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万元，其中：基本支出</w:t>
      </w:r>
      <w:r>
        <w:rPr>
          <w:rFonts w:hint="eastAsia" w:ascii="宋体" w:hAnsi="宋体" w:eastAsia="宋体" w:cs="宋体"/>
          <w:b w:val="0"/>
          <w:bCs w:val="0"/>
          <w:sz w:val="32"/>
          <w:szCs w:val="32"/>
          <w:lang w:val="en-US" w:eastAsia="zh-CN"/>
        </w:rPr>
        <w:t>188.28</w:t>
      </w:r>
      <w:r>
        <w:rPr>
          <w:rFonts w:hint="eastAsia" w:ascii="仿宋_GB2312" w:eastAsia="仿宋_GB2312" w:cs="DengXian-Regular"/>
          <w:sz w:val="32"/>
          <w:szCs w:val="32"/>
        </w:rPr>
        <w:t>万元，占</w:t>
      </w:r>
      <w:r>
        <w:rPr>
          <w:rFonts w:hint="eastAsia" w:ascii="宋体" w:hAnsi="宋体" w:eastAsia="宋体" w:cs="宋体"/>
          <w:b w:val="0"/>
          <w:bCs w:val="0"/>
          <w:sz w:val="32"/>
          <w:szCs w:val="32"/>
          <w:lang w:val="en-US" w:eastAsia="zh-CN"/>
        </w:rPr>
        <w:t>13.18</w:t>
      </w:r>
      <w:r>
        <w:rPr>
          <w:rFonts w:ascii="仿宋_GB2312" w:eastAsia="仿宋_GB2312" w:cs="DengXian-Regular"/>
          <w:sz w:val="32"/>
          <w:szCs w:val="32"/>
        </w:rPr>
        <w:t>%</w:t>
      </w:r>
      <w:r>
        <w:rPr>
          <w:rFonts w:hint="eastAsia" w:ascii="仿宋_GB2312" w:eastAsia="仿宋_GB2312" w:cs="DengXian-Regular"/>
          <w:sz w:val="32"/>
          <w:szCs w:val="32"/>
        </w:rPr>
        <w:t>；项目支出</w:t>
      </w:r>
      <w:r>
        <w:rPr>
          <w:rFonts w:hint="eastAsia" w:ascii="宋体" w:hAnsi="宋体" w:eastAsia="宋体" w:cs="宋体"/>
          <w:b w:val="0"/>
          <w:bCs w:val="0"/>
          <w:sz w:val="32"/>
          <w:szCs w:val="32"/>
          <w:lang w:val="en-US" w:eastAsia="zh-CN"/>
        </w:rPr>
        <w:t>1239.96</w:t>
      </w:r>
      <w:r>
        <w:rPr>
          <w:rFonts w:hint="eastAsia" w:ascii="仿宋_GB2312" w:eastAsia="仿宋_GB2312" w:cs="DengXian-Regular"/>
          <w:sz w:val="32"/>
          <w:szCs w:val="32"/>
        </w:rPr>
        <w:t>万元，占</w:t>
      </w:r>
      <w:r>
        <w:rPr>
          <w:rFonts w:hint="eastAsia" w:ascii="宋体" w:hAnsi="宋体" w:eastAsia="宋体" w:cs="宋体"/>
          <w:b w:val="0"/>
          <w:bCs w:val="0"/>
          <w:sz w:val="32"/>
          <w:szCs w:val="32"/>
          <w:lang w:val="en-US" w:eastAsia="zh-CN"/>
        </w:rPr>
        <w:t>86.82</w:t>
      </w:r>
      <w:r>
        <w:rPr>
          <w:rFonts w:ascii="仿宋_GB2312" w:eastAsia="仿宋_GB2312" w:cs="DengXian-Regular"/>
          <w:sz w:val="32"/>
          <w:szCs w:val="32"/>
        </w:rPr>
        <w:t>%</w:t>
      </w:r>
      <w:r>
        <w:rPr>
          <w:rFonts w:hint="eastAsia" w:ascii="仿宋_GB2312" w:eastAsia="仿宋_GB2312" w:cs="DengXian-Regular"/>
          <w:sz w:val="32"/>
          <w:szCs w:val="32"/>
        </w:rPr>
        <w:t>；经营支出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w:t>
      </w:r>
      <w:r>
        <w:pict>
          <v:group id="组合 70" o:spid="_x0000_s1082" o:spt="203" style="position:absolute;left:0pt;margin-left:-79.5pt;margin-top:29.3pt;height:43.95pt;width:301.85pt;mso-position-vertical-relative:page;z-index:251683840;mso-width-relative:page;mso-height-relative:page;" coordorigin="4551,52615" coordsize="8546,1398">
            <o:lock v:ext="edit"/>
            <v:rect id="矩形 13" o:spid="_x0000_s1083" o:spt="1" style="position:absolute;left:4551;top:52615;height:1175;width:8546;v-text-anchor:middle;" fillcolor="#96DA9D" filled="t" stroked="f" coordsize="21600,21600">
              <v:path/>
              <v:fill on="t" focussize="0,0"/>
              <v:stroke on="f" weight="2pt"/>
              <v:imagedata o:title=""/>
              <o:lock v:ext="edit"/>
            </v:rect>
            <v:rect id="矩形 14" o:spid="_x0000_s108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年度形成的财政拨款收支均为一般公共预算财政拨款，其中一般公共预算财政拨款本年收入</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年度增加</w:t>
      </w:r>
      <w:r>
        <w:rPr>
          <w:rFonts w:hint="eastAsia" w:ascii="宋体" w:hAnsi="宋体" w:eastAsia="宋体" w:cs="宋体"/>
          <w:b w:val="0"/>
          <w:bCs w:val="0"/>
          <w:kern w:val="2"/>
          <w:sz w:val="32"/>
          <w:szCs w:val="32"/>
          <w:lang w:val="en-US" w:eastAsia="zh-CN" w:bidi="ar-SA"/>
        </w:rPr>
        <w:t>942.92</w:t>
      </w:r>
      <w:r>
        <w:rPr>
          <w:rFonts w:hint="eastAsia" w:ascii="仿宋_GB2312" w:eastAsia="仿宋_GB2312" w:cs="DengXian-Regular"/>
          <w:sz w:val="32"/>
          <w:szCs w:val="32"/>
        </w:rPr>
        <w:t>万元，增长</w:t>
      </w:r>
      <w:r>
        <w:rPr>
          <w:rFonts w:hint="eastAsia" w:ascii="宋体" w:hAnsi="宋体" w:eastAsia="宋体" w:cs="宋体"/>
          <w:b w:val="0"/>
          <w:bCs w:val="0"/>
          <w:kern w:val="2"/>
          <w:sz w:val="32"/>
          <w:szCs w:val="32"/>
          <w:lang w:val="en-US" w:eastAsia="zh-CN" w:bidi="ar-SA"/>
        </w:rPr>
        <w:t>194.29%</w:t>
      </w:r>
      <w:r>
        <w:rPr>
          <w:rFonts w:hint="eastAsia" w:ascii="仿宋_GB2312" w:eastAsia="仿宋_GB2312" w:cs="DengXian-Regular"/>
          <w:sz w:val="32"/>
          <w:szCs w:val="32"/>
        </w:rPr>
        <w:t>，主要是是贫困村驻村工作队经费增加且由本部门发放。本年支出</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万元，增加</w:t>
      </w:r>
      <w:r>
        <w:rPr>
          <w:rFonts w:hint="eastAsia" w:ascii="宋体" w:hAnsi="宋体" w:eastAsia="宋体" w:cs="宋体"/>
          <w:b w:val="0"/>
          <w:bCs w:val="0"/>
          <w:kern w:val="2"/>
          <w:sz w:val="32"/>
          <w:szCs w:val="32"/>
          <w:lang w:val="en-US" w:eastAsia="zh-CN" w:bidi="ar-SA"/>
        </w:rPr>
        <w:t>942.92</w:t>
      </w:r>
      <w:r>
        <w:rPr>
          <w:rFonts w:hint="eastAsia" w:ascii="仿宋_GB2312" w:eastAsia="仿宋_GB2312" w:cs="DengXian-Regular"/>
          <w:sz w:val="32"/>
          <w:szCs w:val="32"/>
        </w:rPr>
        <w:t>万元，增长</w:t>
      </w:r>
      <w:r>
        <w:rPr>
          <w:rFonts w:hint="eastAsia" w:ascii="宋体" w:hAnsi="宋体" w:eastAsia="宋体" w:cs="宋体"/>
          <w:b w:val="0"/>
          <w:bCs w:val="0"/>
          <w:kern w:val="2"/>
          <w:sz w:val="32"/>
          <w:szCs w:val="32"/>
          <w:lang w:val="en-US" w:eastAsia="zh-CN" w:bidi="ar-SA"/>
        </w:rPr>
        <w:t>194.29%</w:t>
      </w:r>
      <w:r>
        <w:rPr>
          <w:rFonts w:hint="eastAsia" w:ascii="仿宋_GB2312" w:eastAsia="仿宋_GB2312" w:cs="DengXian-Regular"/>
          <w:sz w:val="32"/>
          <w:szCs w:val="32"/>
        </w:rPr>
        <w:t>，主要是贫困村驻村工作队经费增加且由本部门发放。</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年度财政拨款本年收入</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年度增加</w:t>
      </w:r>
      <w:r>
        <w:rPr>
          <w:rFonts w:hint="eastAsia" w:ascii="宋体" w:hAnsi="宋体" w:eastAsia="宋体" w:cs="宋体"/>
          <w:b w:val="0"/>
          <w:bCs w:val="0"/>
          <w:kern w:val="2"/>
          <w:sz w:val="32"/>
          <w:szCs w:val="32"/>
          <w:lang w:val="en-US" w:eastAsia="zh-CN" w:bidi="ar-SA"/>
        </w:rPr>
        <w:t>942.92</w:t>
      </w:r>
      <w:r>
        <w:rPr>
          <w:rFonts w:hint="eastAsia" w:ascii="仿宋_GB2312" w:eastAsia="仿宋_GB2312" w:cs="DengXian-Regular"/>
          <w:sz w:val="32"/>
          <w:szCs w:val="32"/>
        </w:rPr>
        <w:t>万元，增长</w:t>
      </w:r>
      <w:r>
        <w:rPr>
          <w:rFonts w:hint="eastAsia" w:ascii="宋体" w:hAnsi="宋体" w:eastAsia="宋体" w:cs="宋体"/>
          <w:b w:val="0"/>
          <w:bCs w:val="0"/>
          <w:kern w:val="2"/>
          <w:sz w:val="32"/>
          <w:szCs w:val="32"/>
          <w:lang w:val="en-US" w:eastAsia="zh-CN" w:bidi="ar-SA"/>
        </w:rPr>
        <w:t>194.29%</w:t>
      </w:r>
      <w:r>
        <w:rPr>
          <w:rFonts w:hint="eastAsia" w:ascii="仿宋_GB2312" w:eastAsia="仿宋_GB2312" w:cs="DengXian-Regular"/>
          <w:sz w:val="32"/>
          <w:szCs w:val="32"/>
        </w:rPr>
        <w:t>，主要是贫困村驻村工作队经费增加且由本部门发放；本年支出</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万元，增加</w:t>
      </w:r>
      <w:r>
        <w:rPr>
          <w:rFonts w:hint="eastAsia" w:ascii="宋体" w:hAnsi="宋体" w:eastAsia="宋体" w:cs="宋体"/>
          <w:b w:val="0"/>
          <w:bCs w:val="0"/>
          <w:kern w:val="2"/>
          <w:sz w:val="32"/>
          <w:szCs w:val="32"/>
          <w:lang w:val="en-US" w:eastAsia="zh-CN" w:bidi="ar-SA"/>
        </w:rPr>
        <w:t>942.92</w:t>
      </w:r>
      <w:r>
        <w:rPr>
          <w:rFonts w:hint="eastAsia" w:ascii="仿宋_GB2312" w:eastAsia="仿宋_GB2312" w:cs="DengXian-Regular"/>
          <w:sz w:val="32"/>
          <w:szCs w:val="32"/>
        </w:rPr>
        <w:t>万元，增长</w:t>
      </w:r>
      <w:r>
        <w:rPr>
          <w:rFonts w:hint="eastAsia" w:ascii="宋体" w:hAnsi="宋体" w:eastAsia="宋体" w:cs="宋体"/>
          <w:b w:val="0"/>
          <w:bCs w:val="0"/>
          <w:kern w:val="2"/>
          <w:sz w:val="32"/>
          <w:szCs w:val="32"/>
          <w:lang w:val="en-US" w:eastAsia="zh-CN" w:bidi="ar-SA"/>
        </w:rPr>
        <w:t>194.29%</w:t>
      </w:r>
      <w:r>
        <w:rPr>
          <w:rFonts w:hint="eastAsia" w:ascii="仿宋_GB2312" w:eastAsia="仿宋_GB2312" w:cs="DengXian-Regular"/>
          <w:sz w:val="32"/>
          <w:szCs w:val="32"/>
        </w:rPr>
        <w:t>，主要是贫困村驻村工作队经费增加且由本部门发放。</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其中：一般公共预算财政拨款本年收入</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万元，比上年增加</w:t>
      </w:r>
      <w:r>
        <w:rPr>
          <w:rFonts w:hint="eastAsia" w:ascii="宋体" w:hAnsi="宋体" w:eastAsia="宋体" w:cs="宋体"/>
          <w:b w:val="0"/>
          <w:bCs w:val="0"/>
          <w:kern w:val="2"/>
          <w:sz w:val="32"/>
          <w:szCs w:val="32"/>
          <w:lang w:val="en-US" w:eastAsia="zh-CN" w:bidi="ar-SA"/>
        </w:rPr>
        <w:t>942.92</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w:t>
      </w:r>
      <w:r>
        <w:rPr>
          <w:rFonts w:hint="eastAsia" w:ascii="仿宋_GB2312" w:eastAsia="仿宋_GB2312" w:cs="DengXian-Regular"/>
          <w:sz w:val="32"/>
          <w:szCs w:val="32"/>
        </w:rPr>
        <w:t>增长</w:t>
      </w:r>
      <w:r>
        <w:rPr>
          <w:rFonts w:hint="eastAsia" w:ascii="宋体" w:hAnsi="宋体" w:eastAsia="宋体" w:cs="宋体"/>
          <w:b w:val="0"/>
          <w:bCs w:val="0"/>
          <w:kern w:val="2"/>
          <w:sz w:val="32"/>
          <w:szCs w:val="32"/>
          <w:lang w:val="en-US" w:eastAsia="zh-CN" w:bidi="ar-SA"/>
        </w:rPr>
        <w:t>194.29%</w:t>
      </w:r>
      <w:r>
        <w:rPr>
          <w:rFonts w:hint="eastAsia" w:ascii="仿宋_GB2312" w:eastAsia="仿宋_GB2312" w:cs="DengXian-Regular"/>
          <w:sz w:val="32"/>
          <w:szCs w:val="32"/>
        </w:rPr>
        <w:t>；主要是贫困村驻村工作队经费增加且由本部门发放；本年支出</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万元，比上年增加</w:t>
      </w:r>
      <w:r>
        <w:rPr>
          <w:rFonts w:hint="eastAsia" w:ascii="宋体" w:hAnsi="宋体" w:eastAsia="宋体" w:cs="宋体"/>
          <w:b w:val="0"/>
          <w:bCs w:val="0"/>
          <w:kern w:val="2"/>
          <w:sz w:val="32"/>
          <w:szCs w:val="32"/>
          <w:lang w:val="en-US" w:eastAsia="zh-CN" w:bidi="ar-SA"/>
        </w:rPr>
        <w:t>942.92</w:t>
      </w:r>
      <w:r>
        <w:rPr>
          <w:rFonts w:hint="eastAsia" w:ascii="仿宋_GB2312" w:eastAsia="仿宋_GB2312" w:cs="DengXian-Regular"/>
          <w:sz w:val="32"/>
          <w:szCs w:val="32"/>
        </w:rPr>
        <w:t>万元，增长</w:t>
      </w:r>
      <w:r>
        <w:rPr>
          <w:rFonts w:hint="eastAsia" w:ascii="宋体" w:hAnsi="宋体" w:eastAsia="宋体" w:cs="宋体"/>
          <w:b w:val="0"/>
          <w:bCs w:val="0"/>
          <w:kern w:val="2"/>
          <w:sz w:val="32"/>
          <w:szCs w:val="32"/>
          <w:lang w:val="en-US" w:eastAsia="zh-CN" w:bidi="ar-SA"/>
        </w:rPr>
        <w:t>194.29%</w:t>
      </w:r>
      <w:r>
        <w:rPr>
          <w:rFonts w:hint="eastAsia" w:ascii="仿宋_GB2312" w:eastAsia="仿宋_GB2312" w:cs="DengXian-Regular"/>
          <w:sz w:val="32"/>
          <w:szCs w:val="32"/>
        </w:rPr>
        <w:t>，主要是贫困村驻村工作队经费增加且由本部门发放。政府性基金预算财政拨款本年收入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_GB2312" w:eastAsia="仿宋_GB2312" w:cs="DengXian-Regular"/>
          <w:sz w:val="32"/>
          <w:szCs w:val="32"/>
          <w:lang w:val="en-US" w:eastAsia="zh-CN"/>
        </w:rPr>
        <w:t>本部门无</w:t>
      </w:r>
      <w:r>
        <w:rPr>
          <w:rFonts w:hint="eastAsia" w:ascii="仿宋_GB2312" w:eastAsia="仿宋_GB2312" w:cs="DengXian-Regular"/>
          <w:sz w:val="32"/>
          <w:szCs w:val="32"/>
        </w:rPr>
        <w:t>政府性基金</w:t>
      </w:r>
      <w:r>
        <w:rPr>
          <w:rFonts w:hint="eastAsia" w:ascii="仿宋_GB2312" w:eastAsia="仿宋_GB2312" w:cs="DengXian-Regular"/>
          <w:sz w:val="32"/>
          <w:szCs w:val="32"/>
          <w:lang w:val="en-US" w:eastAsia="zh-CN"/>
        </w:rPr>
        <w:t>预算</w:t>
      </w:r>
      <w:r>
        <w:rPr>
          <w:rFonts w:hint="eastAsia" w:ascii="仿宋_GB2312" w:eastAsia="仿宋_GB2312" w:cs="DengXian-Regular"/>
          <w:sz w:val="32"/>
          <w:szCs w:val="32"/>
        </w:rPr>
        <w:t>；本年支出</w:t>
      </w:r>
      <w:r>
        <w:rPr>
          <w:rFonts w:hint="eastAsia" w:ascii="宋体" w:hAnsi="宋体" w:cs="宋体"/>
          <w:b w:val="0"/>
          <w:bCs w:val="0"/>
          <w:sz w:val="32"/>
          <w:szCs w:val="32"/>
          <w:lang w:val="en-US" w:eastAsia="zh-CN"/>
        </w:rPr>
        <w:t>0</w:t>
      </w:r>
      <w:r>
        <w:rPr>
          <w:rFonts w:hint="eastAsia" w:ascii="仿宋_GB2312" w:eastAsia="仿宋_GB2312" w:cs="DengXian-Regular"/>
          <w:sz w:val="32"/>
          <w:szCs w:val="32"/>
        </w:rPr>
        <w:t>万元，比上年增加</w:t>
      </w:r>
      <w:r>
        <w:rPr>
          <w:rFonts w:hint="eastAsia" w:ascii="宋体" w:hAnsi="宋体" w:cs="宋体"/>
          <w:b w:val="0"/>
          <w:bCs w:val="0"/>
          <w:kern w:val="2"/>
          <w:sz w:val="32"/>
          <w:szCs w:val="32"/>
          <w:lang w:val="en-US" w:eastAsia="zh-CN" w:bidi="ar-SA"/>
        </w:rPr>
        <w:t>0</w:t>
      </w:r>
      <w:r>
        <w:rPr>
          <w:rFonts w:hint="eastAsia" w:ascii="仿宋_GB2312" w:eastAsia="仿宋_GB2312" w:cs="DengXian-Regular"/>
          <w:sz w:val="32"/>
          <w:szCs w:val="32"/>
        </w:rPr>
        <w:t>万元，增长</w:t>
      </w:r>
      <w:r>
        <w:rPr>
          <w:rFonts w:hint="eastAsia" w:ascii="宋体" w:hAnsi="宋体" w:cs="宋体"/>
          <w:b w:val="0"/>
          <w:bCs w:val="0"/>
          <w:kern w:val="2"/>
          <w:sz w:val="32"/>
          <w:szCs w:val="32"/>
          <w:lang w:val="en-US" w:eastAsia="zh-CN" w:bidi="ar-SA"/>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本部门无</w:t>
      </w:r>
      <w:r>
        <w:rPr>
          <w:rFonts w:hint="eastAsia" w:ascii="仿宋_GB2312" w:eastAsia="仿宋_GB2312" w:cs="DengXian-Regular"/>
          <w:sz w:val="32"/>
          <w:szCs w:val="32"/>
        </w:rPr>
        <w:t>政府性基金</w:t>
      </w:r>
      <w:r>
        <w:rPr>
          <w:rFonts w:hint="eastAsia" w:ascii="仿宋_GB2312" w:eastAsia="仿宋_GB2312" w:cs="DengXian-Regular"/>
          <w:sz w:val="32"/>
          <w:szCs w:val="32"/>
          <w:lang w:val="en-US" w:eastAsia="zh-CN"/>
        </w:rPr>
        <w:t>预算</w:t>
      </w:r>
      <w:r>
        <w:rPr>
          <w:rFonts w:hint="eastAsia" w:ascii="仿宋_GB2312" w:eastAsia="仿宋_GB2312" w:cs="DengXian-Regular"/>
          <w:sz w:val="32"/>
          <w:szCs w:val="32"/>
        </w:rPr>
        <w:t>。</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年度一般公共预算财政拨款收入</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22.2</w:t>
      </w:r>
      <w:r>
        <w:rPr>
          <w:rFonts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_GB2312" w:eastAsia="仿宋_GB2312" w:cs="DengXian-Regular"/>
          <w:sz w:val="32"/>
          <w:szCs w:val="32"/>
          <w:lang w:val="en-US" w:eastAsia="zh-CN"/>
        </w:rPr>
        <w:t>减少</w:t>
      </w:r>
      <w:r>
        <w:rPr>
          <w:rFonts w:hint="eastAsia" w:ascii="宋体" w:hAnsi="宋体" w:eastAsia="宋体" w:cs="宋体"/>
          <w:b w:val="0"/>
          <w:bCs w:val="0"/>
          <w:sz w:val="32"/>
          <w:szCs w:val="32"/>
          <w:lang w:val="en-US" w:eastAsia="zh-CN"/>
        </w:rPr>
        <w:t>5005.76</w:t>
      </w:r>
      <w:r>
        <w:rPr>
          <w:rFonts w:hint="eastAsia" w:ascii="仿宋_GB2312" w:eastAsia="仿宋_GB2312" w:cs="DengXian-Regular"/>
          <w:sz w:val="32"/>
          <w:szCs w:val="32"/>
        </w:rPr>
        <w:t>万元，决算数小于预算数主要原因</w:t>
      </w:r>
      <w:r>
        <w:rPr>
          <w:rFonts w:hint="eastAsia" w:ascii="仿宋_GB2312" w:eastAsia="仿宋_GB2312" w:cs="DengXian-Regular"/>
          <w:sz w:val="32"/>
          <w:szCs w:val="32"/>
          <w:lang w:val="en-US" w:eastAsia="zh-CN"/>
        </w:rPr>
        <w:t>是</w:t>
      </w:r>
      <w:r>
        <w:rPr>
          <w:rFonts w:hint="eastAsia" w:ascii="仿宋_GB2312" w:eastAsia="仿宋_GB2312" w:cs="DengXian-Regular"/>
          <w:sz w:val="32"/>
          <w:szCs w:val="32"/>
        </w:rPr>
        <w:t>2018年村干部工资、村级办公经费和驻村工作组工作经费预算在组织部做由乡镇执行发放；本年支出</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22.20</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宋体" w:hAnsi="宋体" w:eastAsia="宋体" w:cs="宋体"/>
          <w:b w:val="0"/>
          <w:bCs w:val="0"/>
          <w:sz w:val="32"/>
          <w:szCs w:val="32"/>
          <w:lang w:val="en-US" w:eastAsia="zh-CN"/>
        </w:rPr>
        <w:t>5005.76</w:t>
      </w:r>
      <w:r>
        <w:rPr>
          <w:rFonts w:hint="eastAsia" w:ascii="仿宋_GB2312" w:eastAsia="仿宋_GB2312" w:cs="DengXian-Regular"/>
          <w:sz w:val="32"/>
          <w:szCs w:val="32"/>
        </w:rPr>
        <w:t>万元，决算数小</w:t>
      </w:r>
      <w:r>
        <w:pict>
          <v:group id="组合 76" o:spid="_x0000_s1091" o:spt="203" style="position:absolute;left:0pt;margin-left:-79.5pt;margin-top:29.3pt;height:43.95pt;width:301.85pt;mso-position-vertical-relative:page;z-index:251684864;mso-width-relative:page;mso-height-relative:page;" coordorigin="4551,52615" coordsize="8546,1398">
            <o:lock v:ext="edit"/>
            <v:rect id="矩形 13" o:spid="_x0000_s1092" o:spt="1" style="position:absolute;left:4551;top:52615;height:1175;width:8546;v-text-anchor:middle;" fillcolor="#96DA9D" filled="t" stroked="f" coordsize="21600,21600">
              <v:path/>
              <v:fill on="t" focussize="0,0"/>
              <v:stroke on="f" weight="2pt"/>
              <v:imagedata o:title=""/>
              <o:lock v:ext="edit"/>
            </v:rect>
            <v:rect id="矩形 14" o:spid="_x0000_s109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于预算数主要原因</w:t>
      </w:r>
      <w:r>
        <w:rPr>
          <w:rFonts w:hint="eastAsia" w:ascii="仿宋_GB2312" w:eastAsia="仿宋_GB2312" w:cs="DengXian-Regular"/>
          <w:sz w:val="32"/>
          <w:szCs w:val="32"/>
          <w:lang w:val="en-US" w:eastAsia="zh-CN"/>
        </w:rPr>
        <w:t>是</w:t>
      </w:r>
      <w:r>
        <w:rPr>
          <w:rFonts w:hint="eastAsia" w:ascii="仿宋_GB2312" w:eastAsia="仿宋_GB2312" w:cs="DengXian-Regular"/>
          <w:sz w:val="32"/>
          <w:szCs w:val="32"/>
        </w:rPr>
        <w:t>2018年村干部工资、村级办公经费和驻村工作组工作经费预算在组织部做由乡镇执行发放。</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年度财政拨款本年收入</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22.20</w:t>
      </w:r>
      <w:r>
        <w:rPr>
          <w:rFonts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_GB2312" w:eastAsia="仿宋_GB2312" w:cs="DengXian-Regular"/>
          <w:sz w:val="32"/>
          <w:szCs w:val="32"/>
          <w:lang w:val="en-US" w:eastAsia="zh-CN"/>
        </w:rPr>
        <w:t>减少</w:t>
      </w:r>
      <w:r>
        <w:rPr>
          <w:rFonts w:hint="eastAsia" w:ascii="宋体" w:hAnsi="宋体" w:eastAsia="宋体" w:cs="宋体"/>
          <w:b w:val="0"/>
          <w:bCs w:val="0"/>
          <w:sz w:val="32"/>
          <w:szCs w:val="32"/>
          <w:lang w:val="en-US" w:eastAsia="zh-CN"/>
        </w:rPr>
        <w:t>5005.76</w:t>
      </w:r>
      <w:r>
        <w:rPr>
          <w:rFonts w:hint="eastAsia" w:ascii="仿宋_GB2312" w:eastAsia="仿宋_GB2312" w:cs="DengXian-Regular"/>
          <w:sz w:val="32"/>
          <w:szCs w:val="32"/>
        </w:rPr>
        <w:t>万元，决算数小于预算数主要原因</w:t>
      </w:r>
      <w:r>
        <w:rPr>
          <w:rFonts w:hint="eastAsia" w:ascii="仿宋_GB2312" w:eastAsia="仿宋_GB2312" w:cs="DengXian-Regular"/>
          <w:sz w:val="32"/>
          <w:szCs w:val="32"/>
          <w:lang w:val="en-US" w:eastAsia="zh-CN"/>
        </w:rPr>
        <w:t>是</w:t>
      </w:r>
      <w:r>
        <w:rPr>
          <w:rFonts w:hint="eastAsia" w:ascii="仿宋_GB2312" w:eastAsia="仿宋_GB2312" w:cs="DengXian-Regular"/>
          <w:sz w:val="32"/>
          <w:szCs w:val="32"/>
        </w:rPr>
        <w:t>2018年村干部工资、村级办公经费和驻村工作组工作经费预算在组织部做由乡镇执行发放；本年支出</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22.20</w:t>
      </w:r>
      <w:r>
        <w:rPr>
          <w:rFonts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_GB2312" w:eastAsia="仿宋_GB2312" w:cs="DengXian-Regular"/>
          <w:sz w:val="32"/>
          <w:szCs w:val="32"/>
          <w:lang w:val="en-US" w:eastAsia="zh-CN"/>
        </w:rPr>
        <w:t>减少</w:t>
      </w:r>
      <w:r>
        <w:rPr>
          <w:rFonts w:hint="eastAsia" w:ascii="宋体" w:hAnsi="宋体" w:eastAsia="宋体" w:cs="宋体"/>
          <w:b w:val="0"/>
          <w:bCs w:val="0"/>
          <w:sz w:val="32"/>
          <w:szCs w:val="32"/>
          <w:lang w:val="en-US" w:eastAsia="zh-CN"/>
        </w:rPr>
        <w:t>5005.76</w:t>
      </w:r>
      <w:r>
        <w:rPr>
          <w:rFonts w:hint="eastAsia" w:ascii="仿宋_GB2312" w:eastAsia="仿宋_GB2312" w:cs="DengXian-Regular"/>
          <w:sz w:val="32"/>
          <w:szCs w:val="32"/>
        </w:rPr>
        <w:t>万元，决算数小于预算数主要原因</w:t>
      </w:r>
      <w:r>
        <w:rPr>
          <w:rFonts w:hint="eastAsia" w:ascii="仿宋_GB2312" w:eastAsia="仿宋_GB2312" w:cs="DengXian-Regular"/>
          <w:sz w:val="32"/>
          <w:szCs w:val="32"/>
          <w:lang w:val="en-US" w:eastAsia="zh-CN"/>
        </w:rPr>
        <w:t>是</w:t>
      </w:r>
      <w:r>
        <w:rPr>
          <w:rFonts w:hint="eastAsia" w:ascii="仿宋_GB2312" w:eastAsia="仿宋_GB2312" w:cs="DengXian-Regular"/>
          <w:sz w:val="32"/>
          <w:szCs w:val="32"/>
        </w:rPr>
        <w:t>2018年村干部工资、村级办公经费和驻村工作组工作经费预算在组织部做由乡镇执行发放。</w:t>
      </w:r>
    </w:p>
    <w:p>
      <w:pPr>
        <w:adjustRightInd w:val="0"/>
        <w:snapToGrid w:val="0"/>
        <w:spacing w:after="0" w:line="580" w:lineRule="exact"/>
        <w:ind w:firstLine="640" w:firstLineChars="200"/>
        <w:rPr>
          <w:rFonts w:ascii="仿宋_GB2312" w:eastAsia="仿宋_GB2312" w:cs="DengXian-Regular"/>
          <w:sz w:val="32"/>
          <w:szCs w:val="32"/>
          <w:highlight w:val="yellow"/>
        </w:rPr>
      </w:pPr>
      <w:r>
        <w:rPr>
          <w:rFonts w:hint="eastAsia" w:ascii="仿宋_GB2312" w:eastAsia="仿宋_GB2312" w:cs="DengXian-Regular"/>
          <w:sz w:val="32"/>
          <w:szCs w:val="32"/>
        </w:rPr>
        <w:t>其中，一般公共预算财政拨款本年收入完成年初预算</w:t>
      </w:r>
      <w:r>
        <w:rPr>
          <w:rFonts w:hint="eastAsia" w:ascii="仿宋_GB2312" w:eastAsia="仿宋_GB2312" w:cs="DengXian-Regular"/>
          <w:sz w:val="32"/>
          <w:szCs w:val="32"/>
          <w:lang w:val="en-US" w:eastAsia="zh-CN"/>
        </w:rPr>
        <w:t>22.20</w:t>
      </w:r>
      <w:r>
        <w:rPr>
          <w:rFonts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_GB2312" w:eastAsia="仿宋_GB2312" w:cs="DengXian-Regular"/>
          <w:sz w:val="32"/>
          <w:szCs w:val="32"/>
          <w:lang w:val="en-US" w:eastAsia="zh-CN"/>
        </w:rPr>
        <w:t>减少</w:t>
      </w:r>
      <w:r>
        <w:rPr>
          <w:rFonts w:hint="eastAsia" w:ascii="宋体" w:hAnsi="宋体" w:eastAsia="宋体" w:cs="宋体"/>
          <w:b w:val="0"/>
          <w:bCs w:val="0"/>
          <w:sz w:val="32"/>
          <w:szCs w:val="32"/>
          <w:lang w:val="en-US" w:eastAsia="zh-CN"/>
        </w:rPr>
        <w:t>5005.76</w:t>
      </w:r>
      <w:r>
        <w:rPr>
          <w:rFonts w:hint="eastAsia" w:ascii="仿宋_GB2312" w:eastAsia="仿宋_GB2312" w:cs="DengXian-Regular"/>
          <w:sz w:val="32"/>
          <w:szCs w:val="32"/>
        </w:rPr>
        <w:t>万元，主要是2018年村干部工资、村级办公经费和驻村工作组工作经费预算在组织部做由乡镇执行发放；支出完成年初预算</w:t>
      </w:r>
      <w:r>
        <w:rPr>
          <w:rFonts w:hint="eastAsia" w:ascii="仿宋_GB2312" w:eastAsia="仿宋_GB2312" w:cs="DengXian-Regular"/>
          <w:sz w:val="32"/>
          <w:szCs w:val="32"/>
          <w:lang w:val="en-US" w:eastAsia="zh-CN"/>
        </w:rPr>
        <w:t>22.20</w:t>
      </w:r>
      <w:r>
        <w:rPr>
          <w:rFonts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_GB2312" w:eastAsia="仿宋_GB2312" w:cs="DengXian-Regular"/>
          <w:sz w:val="32"/>
          <w:szCs w:val="32"/>
          <w:lang w:val="en-US" w:eastAsia="zh-CN"/>
        </w:rPr>
        <w:t>减少</w:t>
      </w:r>
      <w:r>
        <w:rPr>
          <w:rFonts w:hint="eastAsia" w:ascii="宋体" w:hAnsi="宋体" w:eastAsia="宋体" w:cs="宋体"/>
          <w:b w:val="0"/>
          <w:bCs w:val="0"/>
          <w:sz w:val="32"/>
          <w:szCs w:val="32"/>
          <w:lang w:val="en-US" w:eastAsia="zh-CN"/>
        </w:rPr>
        <w:t>5005.76</w:t>
      </w:r>
      <w:r>
        <w:rPr>
          <w:rFonts w:hint="eastAsia" w:ascii="仿宋_GB2312" w:eastAsia="仿宋_GB2312" w:cs="DengXian-Regular"/>
          <w:sz w:val="32"/>
          <w:szCs w:val="32"/>
        </w:rPr>
        <w:t>万元，主要是2018年村干部工资、村级办公经费和驻村工作组工作经费预算在组织部做由乡镇执行发放。政府性基金预算财政拨款本年收入完成年初预算</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，比年初预算增加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万元，主要是</w:t>
      </w:r>
      <w:r>
        <w:rPr>
          <w:rFonts w:hint="eastAsia" w:ascii="仿宋_GB2312" w:eastAsia="仿宋_GB2312" w:cs="DengXian-Regular"/>
          <w:sz w:val="32"/>
          <w:szCs w:val="32"/>
          <w:lang w:val="en-US" w:eastAsia="zh-CN"/>
        </w:rPr>
        <w:t>本部门无</w:t>
      </w:r>
      <w:r>
        <w:rPr>
          <w:rFonts w:hint="eastAsia" w:ascii="仿宋_GB2312" w:eastAsia="仿宋_GB2312" w:cs="DengXian-Regular"/>
          <w:sz w:val="32"/>
          <w:szCs w:val="32"/>
        </w:rPr>
        <w:t>政府性基金</w:t>
      </w:r>
      <w:r>
        <w:rPr>
          <w:rFonts w:hint="eastAsia" w:ascii="仿宋_GB2312" w:eastAsia="仿宋_GB2312" w:cs="DengXian-Regular"/>
          <w:sz w:val="32"/>
          <w:szCs w:val="32"/>
          <w:lang w:val="en-US" w:eastAsia="zh-CN"/>
        </w:rPr>
        <w:t>预算</w:t>
      </w:r>
      <w:r>
        <w:rPr>
          <w:rFonts w:hint="eastAsia" w:ascii="仿宋_GB2312" w:eastAsia="仿宋_GB2312" w:cs="DengXian-Regular"/>
          <w:sz w:val="32"/>
          <w:szCs w:val="32"/>
        </w:rPr>
        <w:t>；支出完成年初预算</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，比年初预算增加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万元，主要是</w:t>
      </w:r>
      <w:r>
        <w:rPr>
          <w:rFonts w:hint="eastAsia" w:ascii="仿宋_GB2312" w:eastAsia="仿宋_GB2312" w:cs="DengXian-Regular"/>
          <w:sz w:val="32"/>
          <w:szCs w:val="32"/>
          <w:lang w:val="en-US" w:eastAsia="zh-CN"/>
        </w:rPr>
        <w:t>本部门无</w:t>
      </w:r>
      <w:r>
        <w:rPr>
          <w:rFonts w:hint="eastAsia" w:ascii="仿宋_GB2312" w:eastAsia="仿宋_GB2312" w:cs="DengXian-Regular"/>
          <w:sz w:val="32"/>
          <w:szCs w:val="32"/>
        </w:rPr>
        <w:t>政府性基金</w:t>
      </w:r>
      <w:r>
        <w:rPr>
          <w:rFonts w:hint="eastAsia" w:ascii="仿宋_GB2312" w:eastAsia="仿宋_GB2312" w:cs="DengXian-Regular"/>
          <w:sz w:val="32"/>
          <w:szCs w:val="32"/>
          <w:lang w:val="en-US" w:eastAsia="zh-CN"/>
        </w:rPr>
        <w:t>预算</w:t>
      </w:r>
      <w:r>
        <w:rPr>
          <w:rFonts w:hint="eastAsia" w:ascii="仿宋_GB2312" w:eastAsia="仿宋_GB2312" w:cs="DengXian-Regular"/>
          <w:sz w:val="32"/>
          <w:szCs w:val="32"/>
        </w:rPr>
        <w:t>。</w:t>
      </w:r>
    </w:p>
    <w:p>
      <w:pPr>
        <w:numPr>
          <w:ilvl w:val="0"/>
          <w:numId w:val="1"/>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djustRightInd w:val="0"/>
        <w:snapToGrid w:val="0"/>
        <w:spacing w:after="0" w:line="580" w:lineRule="exact"/>
        <w:ind w:firstLine="640" w:firstLineChars="200"/>
        <w:rPr>
          <w:rFonts w:ascii="楷体_GB2312" w:eastAsia="楷体_GB2312" w:cs="DengXian-Bold"/>
          <w:b/>
          <w:bCs/>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w:t>
      </w:r>
      <w:r>
        <w:rPr>
          <w:rFonts w:hint="eastAsia" w:ascii="宋体" w:hAnsi="宋体" w:eastAsia="宋体" w:cs="宋体"/>
          <w:b w:val="0"/>
          <w:bCs w:val="0"/>
          <w:sz w:val="32"/>
          <w:szCs w:val="32"/>
          <w:lang w:val="en-US" w:eastAsia="zh-CN"/>
        </w:rPr>
        <w:t>1428.24</w:t>
      </w:r>
      <w:r>
        <w:rPr>
          <w:rFonts w:hint="eastAsia" w:ascii="仿宋_GB2312" w:eastAsia="仿宋_GB2312" w:cs="DengXian-Regular"/>
          <w:sz w:val="32"/>
          <w:szCs w:val="32"/>
        </w:rPr>
        <w:t>万元，主要用于以下方面</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一般公共服务支出</w:t>
      </w:r>
      <w:r>
        <w:rPr>
          <w:rFonts w:hint="eastAsia" w:ascii="宋体" w:hAnsi="宋体" w:eastAsia="宋体" w:cs="宋体"/>
          <w:b w:val="0"/>
          <w:bCs w:val="0"/>
          <w:sz w:val="32"/>
          <w:szCs w:val="32"/>
          <w:lang w:val="en-US" w:eastAsia="zh-CN"/>
        </w:rPr>
        <w:t>286.53</w:t>
      </w:r>
      <w:r>
        <w:rPr>
          <w:rFonts w:hint="eastAsia" w:ascii="仿宋_GB2312" w:eastAsia="仿宋_GB2312" w:cs="DengXian-Regular"/>
          <w:sz w:val="32"/>
          <w:szCs w:val="32"/>
        </w:rPr>
        <w:t>万元，占</w:t>
      </w:r>
      <w:r>
        <w:rPr>
          <w:rFonts w:hint="eastAsia" w:ascii="宋体" w:hAnsi="宋体" w:eastAsia="宋体" w:cs="宋体"/>
          <w:b w:val="0"/>
          <w:bCs w:val="0"/>
          <w:sz w:val="32"/>
          <w:szCs w:val="32"/>
          <w:lang w:val="en-US" w:eastAsia="zh-CN"/>
        </w:rPr>
        <w:t>20.06</w:t>
      </w:r>
      <w:r>
        <w:rPr>
          <w:rFonts w:ascii="仿宋_GB2312" w:eastAsia="仿宋_GB2312" w:cs="DengXian-Regular"/>
          <w:sz w:val="32"/>
          <w:szCs w:val="32"/>
        </w:rPr>
        <w:t>%</w:t>
      </w:r>
      <w:r>
        <w:rPr>
          <w:rFonts w:hint="eastAsia" w:ascii="仿宋_GB2312" w:eastAsia="仿宋_GB2312" w:cs="DengXian-Regular"/>
          <w:sz w:val="32"/>
          <w:szCs w:val="32"/>
        </w:rPr>
        <w:t>；社会保障和就业支出159.64万元，占</w:t>
      </w:r>
      <w:r>
        <w:rPr>
          <w:rFonts w:hint="eastAsia" w:ascii="仿宋_GB2312" w:eastAsia="仿宋_GB2312" w:cs="DengXian-Regular"/>
          <w:sz w:val="32"/>
          <w:szCs w:val="32"/>
          <w:lang w:val="en-US" w:eastAsia="zh-CN"/>
        </w:rPr>
        <w:t>13.75</w:t>
      </w:r>
      <w:r>
        <w:rPr>
          <w:rFonts w:ascii="仿宋_GB2312" w:eastAsia="仿宋_GB2312" w:cs="DengXian-Regular"/>
          <w:sz w:val="32"/>
          <w:szCs w:val="32"/>
        </w:rPr>
        <w:t>%</w:t>
      </w:r>
      <w:r>
        <w:rPr>
          <w:rFonts w:hint="eastAsia" w:ascii="仿宋_GB2312" w:eastAsia="仿宋_GB2312" w:cs="DengXian-Regular"/>
          <w:sz w:val="32"/>
          <w:szCs w:val="32"/>
        </w:rPr>
        <w:t>；医疗卫生和计划生育支出6.49万元，占</w:t>
      </w:r>
      <w:r>
        <w:rPr>
          <w:rFonts w:hint="eastAsia" w:ascii="仿宋_GB2312" w:eastAsia="仿宋_GB2312" w:cs="DengXian-Regular"/>
          <w:sz w:val="32"/>
          <w:szCs w:val="32"/>
          <w:lang w:val="en-US" w:eastAsia="zh-CN"/>
        </w:rPr>
        <w:t>4.54</w:t>
      </w:r>
      <w:r>
        <w:rPr>
          <w:rFonts w:ascii="仿宋_GB2312" w:eastAsia="仿宋_GB2312" w:cs="DengXian-Regular"/>
          <w:sz w:val="32"/>
          <w:szCs w:val="32"/>
        </w:rPr>
        <w:t>%</w:t>
      </w:r>
      <w:r>
        <w:rPr>
          <w:rFonts w:hint="eastAsia" w:ascii="仿宋_GB2312" w:eastAsia="仿宋_GB2312" w:cs="DengXian-Regular"/>
          <w:sz w:val="32"/>
          <w:szCs w:val="32"/>
        </w:rPr>
        <w:t>；住房保障支出10.6</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ascii="仿宋_GB2312" w:eastAsia="仿宋_GB2312" w:cs="DengXian-Regular"/>
          <w:sz w:val="32"/>
          <w:szCs w:val="32"/>
        </w:rPr>
        <w:t xml:space="preserve"> </w:t>
      </w:r>
      <w:r>
        <w:rPr>
          <w:rFonts w:hint="eastAsia" w:ascii="仿宋_GB2312" w:eastAsia="仿宋_GB2312" w:cs="DengXian-Regular"/>
          <w:sz w:val="32"/>
          <w:szCs w:val="32"/>
          <w:lang w:val="en-US" w:eastAsia="zh-CN"/>
        </w:rPr>
        <w:t>7.42</w:t>
      </w:r>
      <w:r>
        <w:rPr>
          <w:rFonts w:ascii="仿宋_GB2312" w:eastAsia="仿宋_GB2312" w:cs="DengXian-Regular"/>
          <w:sz w:val="32"/>
          <w:szCs w:val="32"/>
        </w:rPr>
        <w:t>%</w:t>
      </w:r>
      <w:r>
        <w:rPr>
          <w:rFonts w:hint="eastAsia" w:ascii="仿宋_GB2312" w:eastAsia="仿宋_GB2312" w:cs="DengXian-Regular"/>
          <w:sz w:val="32"/>
          <w:szCs w:val="32"/>
        </w:rPr>
        <w:t>；农林水支出964.97万元，占</w:t>
      </w:r>
      <w:r>
        <w:rPr>
          <w:rFonts w:hint="eastAsia" w:ascii="仿宋_GB2312" w:eastAsia="仿宋_GB2312" w:cs="DengXian-Regular"/>
          <w:sz w:val="32"/>
          <w:szCs w:val="32"/>
          <w:lang w:val="en-US" w:eastAsia="zh-CN"/>
        </w:rPr>
        <w:t>67.56</w:t>
      </w:r>
      <w:r>
        <w:rPr>
          <w:rFonts w:ascii="仿宋_GB2312" w:eastAsia="仿宋_GB2312" w:cs="DengXian-Regular"/>
          <w:sz w:val="32"/>
          <w:szCs w:val="32"/>
        </w:rPr>
        <w:t>%</w:t>
      </w:r>
      <w:r>
        <w:rPr>
          <w:rFonts w:hint="eastAsia" w:ascii="仿宋_GB2312" w:eastAsia="仿宋_GB2312" w:cs="DengXian-Regular"/>
          <w:sz w:val="32"/>
          <w:szCs w:val="32"/>
          <w:lang w:eastAsia="zh-CN"/>
        </w:rPr>
        <w:t>。</w:t>
      </w:r>
    </w:p>
    <w:p>
      <w:pPr>
        <w:adjustRightInd w:val="0"/>
        <w:snapToGrid w:val="0"/>
        <w:spacing w:after="0" w:line="580" w:lineRule="exact"/>
        <w:ind w:left="420" w:leftChars="200"/>
        <w:rPr>
          <w:rFonts w:ascii="仿宋_GB2312" w:eastAsia="仿宋_GB2312" w:cs="DengXian-Regular"/>
          <w:sz w:val="32"/>
          <w:szCs w:val="32"/>
          <w:highlight w:val="yellow"/>
        </w:rPr>
      </w:pPr>
      <w:r>
        <w:pict>
          <v:group id="组合 79" o:spid="_x0000_s1100" o:spt="203" style="position:absolute;left:0pt;margin-left:-79.5pt;margin-top:29.3pt;height:43.95pt;width:301.85pt;mso-position-vertical-relative:page;z-index:251685888;mso-width-relative:page;mso-height-relative:page;" coordorigin="4551,52615" coordsize="8546,1398">
            <o:lock v:ext="edit"/>
            <v:rect id="矩形 13" o:spid="_x0000_s1101" o:spt="1" style="position:absolute;left:4551;top:52615;height:1175;width:8546;v-text-anchor:middle;" fillcolor="#96DA9D" filled="t" stroked="f" coordsize="21600,21600">
              <v:path/>
              <v:fill on="t" focussize="0,0"/>
              <v:stroke on="f" weight="2pt"/>
              <v:imagedata o:title=""/>
              <o:lock v:ext="edit"/>
            </v:rect>
            <v:rect id="矩形 14" o:spid="_x0000_s110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r>
        <w:pict>
          <v:group id="组合 23" o:spid="_x0000_s1103" o:spt="203" style="position:absolute;left:0pt;margin-left:-79.5pt;margin-top:29.3pt;height:43.95pt;width:301.85pt;mso-position-vertical-relative:page;z-index:251693056;mso-width-relative:page;mso-height-relative:page;" coordorigin="4551,52615" coordsize="8546,1398">
            <o:lock v:ext="edit"/>
            <v:rect id="矩形 13" o:spid="_x0000_s1104" o:spt="1" style="position:absolute;left:4551;top:52615;height:1175;width:8546;v-text-anchor:middle;" fillcolor="#96DA9D" filled="t" stroked="f" coordsize="21600,21600">
              <v:path/>
              <v:fill on="t" focussize="0,0"/>
              <v:stroke on="f" weight="2pt"/>
              <v:imagedata o:title=""/>
              <o:lock v:ext="edit"/>
            </v:rect>
            <v:rect id="矩形 14" o:spid="_x0000_s110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2</w:t>
      </w:r>
      <w:r>
        <w:rPr>
          <w:rFonts w:hint="eastAsia" w:ascii="仿宋_GB2312" w:hAnsi="Times New Roman" w:eastAsia="仿宋_GB2312" w:cs="DengXian-Regular"/>
          <w:sz w:val="32"/>
          <w:szCs w:val="32"/>
        </w:rPr>
        <w:t>018 年度一般公共预算财政拨款基本支出</w:t>
      </w:r>
      <w:r>
        <w:rPr>
          <w:rFonts w:hint="eastAsia" w:ascii="仿宋_GB2312" w:hAnsi="Times New Roman" w:eastAsia="仿宋_GB2312" w:cs="DengXian-Regular"/>
          <w:sz w:val="32"/>
          <w:szCs w:val="32"/>
          <w:lang w:val="en-US" w:eastAsia="zh-CN"/>
        </w:rPr>
        <w:t>188.28</w:t>
      </w:r>
      <w:r>
        <w:rPr>
          <w:rFonts w:hint="eastAsia" w:ascii="仿宋_GB2312" w:hAnsi="Times New Roman" w:eastAsia="仿宋_GB2312" w:cs="DengXian-Regular"/>
          <w:sz w:val="32"/>
          <w:szCs w:val="32"/>
        </w:rPr>
        <w:t>万元，其中：人员经费 153.72万元，主要包括基本工资67.93万元、津贴补贴34.93万元、奖金6.00万元、其他社会保险缴费0.43万元、绩效工资9.58万元、机关事业单位基本养老保险缴费17.74万元、对个人和家庭补助5.81万元、退休费5.26万元、奖励金0.55万元、住房公积金10.60万元</w:t>
      </w:r>
      <w:r>
        <w:rPr>
          <w:rFonts w:hint="eastAsia" w:ascii="仿宋_GB2312" w:eastAsia="仿宋_GB2312" w:cs="DengXian-Regular"/>
          <w:sz w:val="32"/>
          <w:szCs w:val="32"/>
        </w:rPr>
        <w:t>；公用经费</w:t>
      </w:r>
      <w:r>
        <w:rPr>
          <w:rFonts w:hint="eastAsia" w:ascii="宋体" w:hAnsi="宋体" w:eastAsia="宋体" w:cs="宋体"/>
          <w:b w:val="0"/>
          <w:bCs w:val="0"/>
          <w:sz w:val="32"/>
          <w:szCs w:val="32"/>
          <w:lang w:val="en-US" w:eastAsia="zh-CN"/>
        </w:rPr>
        <w:t>28.74</w:t>
      </w:r>
      <w:r>
        <w:rPr>
          <w:rFonts w:hint="eastAsia" w:ascii="仿宋_GB2312" w:eastAsia="仿宋_GB2312" w:cs="DengXian-Regular"/>
          <w:sz w:val="32"/>
          <w:szCs w:val="32"/>
        </w:rPr>
        <w:t>万元，主要包括办公费 5.48万元、印刷费3.65万元、邮电费6.48万元、差旅费1.30万元、维修（护）费0.3</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万元、公务接待费0.25万元、公务用车运行维护费3.97万元、其他交通费用7.32万元。</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w:t>
      </w:r>
      <w:r>
        <w:rPr>
          <w:rFonts w:hint="eastAsia" w:ascii="宋体" w:hAnsi="宋体" w:eastAsia="宋体" w:cs="宋体"/>
          <w:b w:val="0"/>
          <w:bCs w:val="0"/>
          <w:sz w:val="32"/>
          <w:szCs w:val="32"/>
          <w:lang w:val="en-US" w:eastAsia="zh-CN"/>
        </w:rPr>
        <w:t>5.00</w:t>
      </w:r>
      <w:r>
        <w:rPr>
          <w:rFonts w:hint="eastAsia" w:ascii="仿宋_GB2312" w:eastAsia="仿宋_GB2312" w:cs="DengXian-Regular"/>
          <w:sz w:val="32"/>
          <w:szCs w:val="32"/>
        </w:rPr>
        <w:t>万元，</w:t>
      </w:r>
      <w:r>
        <w:rPr>
          <w:rFonts w:hint="eastAsia" w:ascii="仿宋_GB2312" w:eastAsia="仿宋_GB2312" w:cs="DengXian-Regular"/>
          <w:b/>
          <w:bCs/>
          <w:sz w:val="32"/>
          <w:szCs w:val="32"/>
        </w:rPr>
        <w:t>较年初预算减少0.</w:t>
      </w:r>
      <w:r>
        <w:rPr>
          <w:rFonts w:hint="eastAsia" w:ascii="仿宋_GB2312" w:eastAsia="仿宋_GB2312" w:cs="DengXian-Regular"/>
          <w:b/>
          <w:bCs/>
          <w:sz w:val="32"/>
          <w:szCs w:val="32"/>
          <w:lang w:val="en-US" w:eastAsia="zh-CN"/>
        </w:rPr>
        <w:t>65</w:t>
      </w:r>
      <w:r>
        <w:rPr>
          <w:rFonts w:hint="eastAsia" w:ascii="仿宋_GB2312" w:eastAsia="仿宋_GB2312" w:cs="DengXian-Regular"/>
          <w:b/>
          <w:bCs/>
          <w:sz w:val="32"/>
          <w:szCs w:val="32"/>
        </w:rPr>
        <w:t>万元，降低</w:t>
      </w:r>
      <w:r>
        <w:rPr>
          <w:rFonts w:hint="eastAsia" w:ascii="仿宋_GB2312" w:eastAsia="仿宋_GB2312" w:cs="DengXian-Regular"/>
          <w:b/>
          <w:bCs/>
          <w:sz w:val="32"/>
          <w:szCs w:val="32"/>
          <w:lang w:val="en-US" w:eastAsia="zh-CN"/>
        </w:rPr>
        <w:t>13.00</w:t>
      </w:r>
      <w:r>
        <w:rPr>
          <w:rFonts w:ascii="仿宋_GB2312" w:eastAsia="仿宋_GB2312" w:cs="DengXian-Regular"/>
          <w:b/>
          <w:bCs/>
          <w:sz w:val="32"/>
          <w:szCs w:val="32"/>
        </w:rPr>
        <w:t>%</w:t>
      </w:r>
      <w:r>
        <w:rPr>
          <w:rFonts w:hint="eastAsia" w:ascii="仿宋_GB2312" w:eastAsia="仿宋_GB2312" w:cs="DengXian-Regular"/>
          <w:b/>
          <w:bCs/>
          <w:sz w:val="32"/>
          <w:szCs w:val="32"/>
        </w:rPr>
        <w:t>，</w:t>
      </w:r>
      <w:r>
        <w:rPr>
          <w:rFonts w:hint="eastAsia" w:ascii="仿宋_GB2312" w:eastAsia="仿宋_GB2312" w:cs="DengXian-Regular"/>
          <w:sz w:val="32"/>
          <w:szCs w:val="32"/>
        </w:rPr>
        <w:t>主要是认真贯彻落实中央“八项规定”精神和厉行节约要求，从严控制“三公”经费开支，全年实际支出比预算有所节约</w:t>
      </w:r>
      <w:r>
        <w:rPr>
          <w:rFonts w:hint="eastAsia" w:ascii="仿宋_GB2312" w:eastAsia="仿宋_GB2312" w:cs="DengXian-Regular"/>
          <w:sz w:val="32"/>
          <w:szCs w:val="32"/>
          <w:lang w:eastAsia="zh-CN"/>
        </w:rPr>
        <w:t>；</w:t>
      </w:r>
      <w:r>
        <w:rPr>
          <w:rFonts w:hint="eastAsia" w:ascii="仿宋_GB2312" w:eastAsia="仿宋_GB2312" w:cs="DengXian-Regular"/>
          <w:b/>
          <w:bCs/>
          <w:sz w:val="32"/>
          <w:szCs w:val="32"/>
        </w:rPr>
        <w:t>较2017年决算减少1.11万元，降低18.16%</w:t>
      </w:r>
      <w:r>
        <w:rPr>
          <w:rFonts w:hint="eastAsia" w:ascii="仿宋_GB2312" w:eastAsia="仿宋_GB2312" w:cs="DengXian-Regular"/>
          <w:b/>
          <w:bCs/>
          <w:sz w:val="32"/>
          <w:szCs w:val="32"/>
          <w:lang w:eastAsia="zh-CN"/>
        </w:rPr>
        <w:t>，</w:t>
      </w:r>
      <w:r>
        <w:rPr>
          <w:rFonts w:hint="eastAsia" w:ascii="仿宋_GB2312" w:eastAsia="仿宋_GB2312" w:cs="DengXian-Regular"/>
          <w:sz w:val="32"/>
          <w:szCs w:val="32"/>
          <w:lang w:val="en-US" w:eastAsia="zh-CN"/>
        </w:rPr>
        <w:t>主要是</w:t>
      </w:r>
      <w:r>
        <w:rPr>
          <w:rFonts w:hint="eastAsia" w:ascii="仿宋_GB2312" w:eastAsia="仿宋_GB2312" w:cs="DengXian-Regular"/>
          <w:sz w:val="32"/>
          <w:szCs w:val="32"/>
        </w:rPr>
        <w:t>认真落实中央“八项规定”精神和厉行节约要求，管理制度不断完善，“三公”经费支出得到了有效控制，实现了只减不增的目标。具体情况如下：</w:t>
      </w:r>
    </w:p>
    <w:p>
      <w:pPr>
        <w:adjustRightInd w:val="0"/>
        <w:snapToGrid w:val="0"/>
        <w:spacing w:after="0" w:line="580" w:lineRule="exact"/>
        <w:ind w:firstLine="643" w:firstLineChars="200"/>
        <w:rPr>
          <w:rFonts w:hint="eastAsia" w:ascii="仿宋_GB2312" w:eastAsia="仿宋_GB2312" w:cs="DengXian-Regular"/>
          <w:sz w:val="32"/>
          <w:szCs w:val="32"/>
          <w:lang w:val="en-US" w:eastAsia="zh-CN"/>
        </w:rPr>
      </w:pPr>
      <w:r>
        <w:rPr>
          <w:rFonts w:hint="eastAsia" w:ascii="楷体_GB2312" w:eastAsia="楷体_GB2312" w:cs="DengXian-Bold"/>
          <w:b/>
          <w:bCs/>
          <w:sz w:val="32"/>
          <w:szCs w:val="32"/>
        </w:rPr>
        <w:t>（</w:t>
      </w:r>
      <w:r>
        <w:pict>
          <v:group id="_x0000_s1106" o:spid="_x0000_s1106" o:spt="203" style="position:absolute;left:0pt;margin-left:-79.5pt;margin-top:29.3pt;height:43.95pt;width:301.85pt;mso-position-vertical-relative:page;z-index:251686912;mso-width-relative:page;mso-height-relative:page;" coordorigin="4551,52615" coordsize="8546,1398">
            <o:lock v:ext="edit"/>
            <v:rect id="矩形 13" o:spid="_x0000_s1107" o:spt="1" style="position:absolute;left:4551;top:52615;height:1175;width:8546;v-text-anchor:middle;" fillcolor="#96DA9D" filled="t" stroked="f" coordsize="21600,21600">
              <v:path/>
              <v:fill on="t" focussize="0,0"/>
              <v:stroke on="f" weight="2pt"/>
              <v:imagedata o:title=""/>
              <o:lock v:ext="edit"/>
            </v:rect>
            <v:rect id="矩形 14" o:spid="_x0000_s110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一）因公出国（境）费支出</w:t>
      </w:r>
      <w:r>
        <w:rPr>
          <w:rFonts w:hint="eastAsia" w:ascii="楷体_GB2312" w:eastAsia="楷体_GB2312" w:cs="DengXian-Bold"/>
          <w:b/>
          <w:bCs/>
          <w:sz w:val="32"/>
          <w:szCs w:val="32"/>
          <w:lang w:val="en-US" w:eastAsia="zh-CN"/>
        </w:rPr>
        <w:t>0</w:t>
      </w:r>
      <w:r>
        <w:rPr>
          <w:rFonts w:hint="eastAsia" w:ascii="楷体_GB2312" w:eastAsia="楷体_GB2312" w:cs="DengXian-Bold"/>
          <w:b/>
          <w:bCs/>
          <w:sz w:val="32"/>
          <w:szCs w:val="32"/>
        </w:rPr>
        <w:t>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人参加其他单位组织的因公出国（境）团组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w:t>
      </w:r>
      <w:r>
        <w:rPr>
          <w:rFonts w:hint="eastAsia" w:ascii="仿宋_GB2312" w:eastAsia="仿宋_GB2312" w:cs="DengXian-Regular"/>
          <w:sz w:val="32"/>
          <w:szCs w:val="32"/>
          <w:lang w:eastAsia="zh-CN"/>
        </w:rPr>
        <w:t>，</w:t>
      </w:r>
      <w:r>
        <w:rPr>
          <w:rFonts w:hint="eastAsia" w:ascii="仿宋_GB2312" w:eastAsia="仿宋_GB2312" w:cs="DengXian-Regular"/>
          <w:sz w:val="32"/>
          <w:szCs w:val="32"/>
        </w:rPr>
        <w:t>无本单位组织的出国（境）团组。因公出国（境）费支出较年初预算增加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本单位无出国（境）费用</w:t>
      </w:r>
      <w:r>
        <w:rPr>
          <w:rFonts w:hint="eastAsia" w:ascii="仿宋_GB2312" w:eastAsia="仿宋_GB2312" w:cs="DengXian-Regular"/>
          <w:sz w:val="32"/>
          <w:szCs w:val="32"/>
        </w:rPr>
        <w:t>。较2017年决算无变化，主要原因是</w:t>
      </w:r>
      <w:r>
        <w:rPr>
          <w:rFonts w:hint="eastAsia" w:ascii="仿宋_GB2312" w:eastAsia="仿宋_GB2312" w:cs="DengXian-Regular"/>
          <w:sz w:val="32"/>
          <w:szCs w:val="32"/>
          <w:lang w:val="en-US" w:eastAsia="zh-CN"/>
        </w:rPr>
        <w:t>本单位无出国（境）费用。</w:t>
      </w:r>
    </w:p>
    <w:p>
      <w:pPr>
        <w:numPr>
          <w:ilvl w:val="0"/>
          <w:numId w:val="2"/>
        </w:numPr>
        <w:adjustRightInd w:val="0"/>
        <w:snapToGrid w:val="0"/>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公务用车购置及运行维护费支出</w:t>
      </w:r>
      <w:r>
        <w:rPr>
          <w:rFonts w:hint="eastAsia" w:ascii="宋体" w:hAnsi="宋体" w:eastAsia="宋体" w:cs="宋体"/>
          <w:b w:val="0"/>
          <w:bCs w:val="0"/>
          <w:sz w:val="32"/>
          <w:szCs w:val="32"/>
          <w:lang w:val="en-US" w:eastAsia="zh-CN"/>
        </w:rPr>
        <w:t>3.97</w:t>
      </w:r>
      <w:r>
        <w:rPr>
          <w:rFonts w:hint="eastAsia" w:ascii="楷体_GB2312" w:eastAsia="楷体_GB2312" w:cs="DengXian-Bold"/>
          <w:b/>
          <w:bCs/>
          <w:sz w:val="32"/>
          <w:szCs w:val="32"/>
        </w:rPr>
        <w:t>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年度公务用车购置及运行维护费较年初预算减少</w:t>
      </w:r>
      <w:r>
        <w:rPr>
          <w:rFonts w:hint="eastAsia" w:ascii="仿宋_GB2312" w:eastAsia="仿宋_GB2312" w:cs="DengXian-Regular"/>
          <w:sz w:val="32"/>
          <w:szCs w:val="32"/>
          <w:lang w:val="en-US" w:eastAsia="zh-CN"/>
        </w:rPr>
        <w:t>1.43</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26.48</w:t>
      </w:r>
      <w:r>
        <w:rPr>
          <w:rFonts w:ascii="仿宋_GB2312" w:eastAsia="仿宋_GB2312" w:cs="DengXian-Regular"/>
          <w:sz w:val="32"/>
          <w:szCs w:val="32"/>
        </w:rPr>
        <w:t>%,</w:t>
      </w:r>
      <w:r>
        <w:rPr>
          <w:rFonts w:hint="eastAsia" w:ascii="仿宋_GB2312" w:eastAsia="仿宋_GB2312" w:cs="DengXian-Regular"/>
          <w:sz w:val="32"/>
          <w:szCs w:val="32"/>
        </w:rPr>
        <w:t>主要是单位切实压缩公务用车费用支出，相应减少公务用车运行费用支出</w:t>
      </w:r>
      <w:r>
        <w:rPr>
          <w:rFonts w:hint="eastAsia" w:ascii="仿宋_GB2312" w:eastAsia="仿宋_GB2312" w:cs="DengXian-Regular"/>
          <w:sz w:val="32"/>
          <w:szCs w:val="32"/>
          <w:lang w:eastAsia="zh-CN"/>
        </w:rPr>
        <w:t>；</w:t>
      </w:r>
      <w:r>
        <w:rPr>
          <w:rFonts w:hint="eastAsia" w:ascii="仿宋_GB2312" w:eastAsia="仿宋_GB2312" w:cs="DengXian-Regular"/>
          <w:sz w:val="32"/>
          <w:szCs w:val="32"/>
          <w:lang w:val="en-US" w:eastAsia="zh-CN"/>
        </w:rPr>
        <w:t>较2017年决算5.46万元相比减少1.49万元，降低27.29%，</w:t>
      </w:r>
      <w:r>
        <w:rPr>
          <w:rFonts w:hint="eastAsia" w:ascii="仿宋_GB2312" w:eastAsia="仿宋_GB2312" w:cs="DengXian-Regular"/>
          <w:sz w:val="32"/>
          <w:szCs w:val="32"/>
        </w:rPr>
        <w:t>主要是单位切实压缩公务用车费用支出，相应减少公务用车运行费用支出</w:t>
      </w:r>
      <w:r>
        <w:rPr>
          <w:rFonts w:hint="eastAsia" w:ascii="仿宋_GB2312" w:eastAsia="仿宋_GB2312" w:cs="DengXian-Regular"/>
          <w:sz w:val="32"/>
          <w:szCs w:val="32"/>
          <w:lang w:eastAsia="zh-CN"/>
        </w:rPr>
        <w:t>。</w:t>
      </w:r>
      <w:r>
        <w:rPr>
          <w:rFonts w:hint="eastAsia" w:ascii="仿宋_GB2312" w:eastAsia="仿宋_GB2312" w:cs="DengXian-Bold"/>
          <w:b/>
          <w:bCs/>
          <w:sz w:val="32"/>
          <w:szCs w:val="32"/>
        </w:rPr>
        <w:t>其中：</w:t>
      </w:r>
    </w:p>
    <w:p>
      <w:pPr>
        <w:adjustRightInd w:val="0"/>
        <w:snapToGrid w:val="0"/>
        <w:spacing w:after="0" w:line="580" w:lineRule="exact"/>
        <w:ind w:firstLine="643" w:firstLineChars="200"/>
        <w:rPr>
          <w:rFonts w:hint="eastAsia" w:ascii="仿宋_GB2312" w:eastAsia="仿宋_GB2312" w:cs="DengXian-Regular"/>
          <w:sz w:val="32"/>
          <w:szCs w:val="32"/>
        </w:rPr>
      </w:pPr>
      <w:r>
        <w:rPr>
          <w:rFonts w:hint="eastAsia" w:ascii="仿宋_GB2312" w:eastAsia="仿宋_GB2312" w:cs="DengXian-Regular"/>
          <w:b/>
          <w:sz w:val="32"/>
          <w:szCs w:val="32"/>
        </w:rPr>
        <w:t>公务用车购置费</w:t>
      </w:r>
      <w:r>
        <w:rPr>
          <w:rFonts w:hint="eastAsia" w:ascii="仿宋_GB2312" w:eastAsia="仿宋_GB2312" w:cs="DengXian-Regular"/>
          <w:b/>
          <w:sz w:val="32"/>
          <w:szCs w:val="32"/>
          <w:lang w:val="en-US" w:eastAsia="zh-CN"/>
        </w:rPr>
        <w:t>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年度公务用车购置量</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辆，发生“公务用车购置”经费支出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万元。公务用车购置费支出较年初预算增加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本单位本年度未发生‘公务用车购置’经费支出，较2017年决算增加0万元，</w:t>
      </w:r>
      <w:r>
        <w:rPr>
          <w:rFonts w:hint="eastAsia" w:ascii="仿宋_GB2312" w:eastAsia="仿宋_GB2312" w:cs="DengXian-Regular"/>
          <w:sz w:val="32"/>
          <w:szCs w:val="32"/>
        </w:rPr>
        <w:t>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本单位本年度未发生‘公务用车购置’经费支出</w:t>
      </w:r>
      <w:r>
        <w:rPr>
          <w:rFonts w:hint="eastAsia" w:ascii="仿宋_GB2312" w:eastAsia="仿宋_GB2312" w:cs="DengXian-Regular"/>
          <w:sz w:val="32"/>
          <w:szCs w:val="32"/>
        </w:rPr>
        <w:t>。</w:t>
      </w:r>
    </w:p>
    <w:p>
      <w:pPr>
        <w:adjustRightInd w:val="0"/>
        <w:snapToGrid w:val="0"/>
        <w:spacing w:after="0" w:line="580" w:lineRule="exact"/>
        <w:ind w:firstLine="643" w:firstLineChars="200"/>
        <w:rPr>
          <w:rFonts w:hint="eastAsia" w:ascii="仿宋_GB2312" w:eastAsia="仿宋_GB2312" w:cs="DengXian-Regular"/>
          <w:sz w:val="32"/>
          <w:szCs w:val="32"/>
          <w:lang w:eastAsia="zh-CN"/>
        </w:rPr>
      </w:pPr>
      <w:r>
        <w:rPr>
          <w:rFonts w:hint="eastAsia" w:ascii="仿宋_GB2312" w:eastAsia="仿宋_GB2312" w:cs="DengXian-Regular"/>
          <w:b/>
          <w:sz w:val="32"/>
          <w:szCs w:val="32"/>
        </w:rPr>
        <w:t>公务用车运行维护费</w:t>
      </w:r>
      <w:r>
        <w:rPr>
          <w:rFonts w:hint="eastAsia" w:ascii="宋体" w:hAnsi="宋体" w:eastAsia="宋体" w:cs="宋体"/>
          <w:b w:val="0"/>
          <w:bCs w:val="0"/>
          <w:sz w:val="32"/>
          <w:szCs w:val="32"/>
          <w:lang w:val="en-US" w:eastAsia="zh-CN"/>
        </w:rPr>
        <w:t>3.97</w:t>
      </w:r>
      <w:r>
        <w:rPr>
          <w:rFonts w:hint="eastAsia" w:ascii="楷体_GB2312" w:eastAsia="楷体_GB2312" w:cs="DengXian-Bold"/>
          <w:b/>
          <w:bCs/>
          <w:sz w:val="32"/>
          <w:szCs w:val="32"/>
        </w:rPr>
        <w:t>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年度单位公务用车保有量</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辆。公车运行维护费支出较年初预算减少</w:t>
      </w:r>
      <w:r>
        <w:rPr>
          <w:rFonts w:hint="eastAsia" w:ascii="仿宋_GB2312" w:eastAsia="仿宋_GB2312" w:cs="DengXian-Regular"/>
          <w:sz w:val="32"/>
          <w:szCs w:val="32"/>
          <w:lang w:val="en-US" w:eastAsia="zh-CN"/>
        </w:rPr>
        <w:t>1.43万</w:t>
      </w:r>
      <w:r>
        <w:rPr>
          <w:rFonts w:hint="eastAsia" w:ascii="仿宋_GB2312" w:eastAsia="仿宋_GB2312" w:cs="DengXian-Regular"/>
          <w:sz w:val="32"/>
          <w:szCs w:val="32"/>
        </w:rPr>
        <w:t>元，降低</w:t>
      </w:r>
      <w:r>
        <w:rPr>
          <w:rFonts w:hint="eastAsia" w:ascii="仿宋_GB2312" w:eastAsia="仿宋_GB2312" w:cs="DengXian-Regular"/>
          <w:sz w:val="32"/>
          <w:szCs w:val="32"/>
          <w:lang w:val="en-US" w:eastAsia="zh-CN"/>
        </w:rPr>
        <w:t>26.48</w:t>
      </w:r>
      <w:r>
        <w:rPr>
          <w:rFonts w:ascii="仿宋_GB2312" w:eastAsia="仿宋_GB2312" w:cs="DengXian-Regular"/>
          <w:sz w:val="32"/>
          <w:szCs w:val="32"/>
        </w:rPr>
        <w:t>%,</w:t>
      </w:r>
      <w:r>
        <w:rPr>
          <w:rFonts w:hint="eastAsia" w:ascii="仿宋_GB2312" w:eastAsia="仿宋_GB2312" w:cs="DengXian-Regular"/>
          <w:sz w:val="32"/>
          <w:szCs w:val="32"/>
        </w:rPr>
        <w:t>主要是单位切实压缩公务用车费用支出，相应减少公务用车运行费用支出</w:t>
      </w:r>
      <w:r>
        <w:rPr>
          <w:rFonts w:hint="eastAsia" w:ascii="仿宋_GB2312" w:eastAsia="仿宋_GB2312" w:cs="DengXian-Regular"/>
          <w:sz w:val="32"/>
          <w:szCs w:val="32"/>
          <w:lang w:eastAsia="zh-CN"/>
        </w:rPr>
        <w:t>；</w:t>
      </w:r>
      <w:r>
        <w:rPr>
          <w:rFonts w:hint="eastAsia" w:ascii="仿宋_GB2312" w:eastAsia="仿宋_GB2312" w:cs="DengXian-Regular"/>
          <w:sz w:val="32"/>
          <w:szCs w:val="32"/>
          <w:lang w:val="en-US" w:eastAsia="zh-CN"/>
        </w:rPr>
        <w:t>较2017年决算5.46万元相比减少1.49万元，降低27.29%，</w:t>
      </w:r>
      <w:r>
        <w:rPr>
          <w:rFonts w:hint="eastAsia" w:ascii="仿宋_GB2312" w:eastAsia="仿宋_GB2312" w:cs="DengXian-Regular"/>
          <w:sz w:val="32"/>
          <w:szCs w:val="32"/>
        </w:rPr>
        <w:t>主要是单位切实压缩公务用车费用支出，相应减少公务用车运行费用支出</w:t>
      </w:r>
      <w:r>
        <w:rPr>
          <w:rFonts w:hint="eastAsia" w:ascii="仿宋_GB2312" w:eastAsia="仿宋_GB2312" w:cs="DengXian-Regular"/>
          <w:sz w:val="32"/>
          <w:szCs w:val="32"/>
          <w:lang w:eastAsia="zh-CN"/>
        </w:rPr>
        <w:t>。</w:t>
      </w:r>
    </w:p>
    <w:p>
      <w:pPr>
        <w:adjustRightInd w:val="0"/>
        <w:snapToGrid w:val="0"/>
        <w:spacing w:after="0" w:line="580" w:lineRule="exact"/>
        <w:ind w:firstLine="643" w:firstLineChars="200"/>
        <w:rPr>
          <w:rFonts w:ascii="仿宋_GB2312" w:eastAsia="仿宋_GB2312" w:cs="DengXian-Regular"/>
          <w:sz w:val="32"/>
          <w:szCs w:val="32"/>
          <w:highlight w:val="yellow"/>
        </w:rPr>
      </w:pPr>
      <w:r>
        <w:rPr>
          <w:rFonts w:hint="eastAsia" w:ascii="楷体_GB2312" w:eastAsia="楷体_GB2312" w:cs="DengXian-Bold"/>
          <w:b/>
          <w:bCs/>
          <w:sz w:val="32"/>
          <w:szCs w:val="32"/>
        </w:rPr>
        <w:t>（三）公务接待费支出 0.25万元。</w:t>
      </w:r>
      <w:r>
        <w:pict>
          <v:group id="_x0000_s1109" o:spid="_x0000_s1109" o:spt="203" style="position:absolute;left:0pt;margin-left:-79.5pt;margin-top:29.3pt;height:43.95pt;width:301.85pt;mso-position-vertical-relative:page;z-index:251687936;mso-width-relative:page;mso-height-relative:page;" coordorigin="4551,52615" coordsize="8546,1398">
            <o:lock v:ext="edit"/>
            <v:rect id="矩形 13" o:spid="_x0000_s1110" o:spt="1" style="position:absolute;left:4551;top:52615;height:1175;width:8546;v-text-anchor:middle;" fillcolor="#96DA9D" filled="t" stroked="f" coordsize="21600,21600">
              <v:path/>
              <v:fill on="t" focussize="0,0"/>
              <v:stroke on="f" weight="2pt"/>
              <v:imagedata o:title=""/>
              <o:lock v:ext="edit"/>
            </v:rect>
            <v:rect id="矩形 14" o:spid="_x0000_s111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w:t>
      </w:r>
      <w:r>
        <w:rPr>
          <w:rFonts w:hint="eastAsia" w:ascii="仿宋_GB2312" w:eastAsia="仿宋_GB2312" w:cs="DengXian-Regular"/>
          <w:sz w:val="32"/>
          <w:szCs w:val="32"/>
          <w:lang w:val="en-US" w:eastAsia="zh-CN"/>
        </w:rPr>
        <w:t>2</w:t>
      </w:r>
      <w:r>
        <w:rPr>
          <w:rFonts w:hint="eastAsia" w:ascii="仿宋_GB2312" w:eastAsia="仿宋_GB2312" w:cs="DengXian-Regular"/>
          <w:sz w:val="32"/>
          <w:szCs w:val="32"/>
        </w:rPr>
        <w:t>批次、</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人次。公务接待费支出较年初预算增加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与年初预算持平；比2017年决算减少0.40万元，降低61.69%，主要原因是认真贯彻落实党中央、国务院厉行节约精神，切实采取严格措施控制和压缩“三公”经费支出。</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（一）预算绩效管理工作开展情况。</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根据省财政预算绩效管理要求，阜平县委组织部以“部门职责—工作活动”为依据，确定部门预算项目和预算额度，清晰描述预算项目开支范围和内容，确定预算项目的绩效目标、绩效指标和评价标准，为预算绩效控制、绩效分析、绩效评价打下好的基础。</w:t>
      </w:r>
    </w:p>
    <w:p>
      <w:pPr>
        <w:numPr>
          <w:ilvl w:val="0"/>
          <w:numId w:val="3"/>
        </w:num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项目绩效自评结果。</w:t>
      </w:r>
    </w:p>
    <w:p>
      <w:pPr>
        <w:numPr>
          <w:ilvl w:val="0"/>
          <w:numId w:val="0"/>
        </w:numPr>
        <w:adjustRightInd w:val="0"/>
        <w:snapToGrid w:val="0"/>
        <w:spacing w:after="0" w:line="580" w:lineRule="exact"/>
        <w:rPr>
          <w:rFonts w:hint="eastAsia" w:ascii="仿宋_GB2312" w:eastAsia="仿宋_GB2312" w:cs="DengXian-Regular"/>
          <w:sz w:val="32"/>
          <w:szCs w:val="32"/>
        </w:rPr>
      </w:pPr>
      <w:r>
        <w:rPr>
          <w:rFonts w:hint="eastAsia" w:ascii="仿宋_GB2312" w:eastAsia="仿宋_GB2312" w:cs="DengXian-Regular"/>
          <w:sz w:val="32"/>
          <w:szCs w:val="32"/>
        </w:rPr>
        <w:t>按照省财政预算绩效管理要求，阜平县委组织部对 2018年初确定的一般公共预算支出专项项目全面开展了绩效自评。绩效自评覆盖率达到100%。</w:t>
      </w:r>
    </w:p>
    <w:p>
      <w:pPr>
        <w:numPr>
          <w:ilvl w:val="0"/>
          <w:numId w:val="3"/>
        </w:numPr>
        <w:adjustRightInd w:val="0"/>
        <w:snapToGrid w:val="0"/>
        <w:spacing w:after="0" w:line="580" w:lineRule="exact"/>
        <w:ind w:left="0" w:leftChars="0"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重点项目绩效评价结果。</w:t>
      </w:r>
    </w:p>
    <w:p>
      <w:pPr>
        <w:numPr>
          <w:ilvl w:val="0"/>
          <w:numId w:val="0"/>
        </w:numPr>
        <w:adjustRightInd w:val="0"/>
        <w:snapToGrid w:val="0"/>
        <w:spacing w:after="0" w:line="580" w:lineRule="exact"/>
        <w:ind w:leftChars="200"/>
        <w:rPr>
          <w:rFonts w:hint="default" w:ascii="仿宋_GB2312" w:eastAsia="仿宋_GB2312" w:cs="DengXian-Regular"/>
          <w:sz w:val="32"/>
          <w:szCs w:val="32"/>
          <w:lang w:val="en-US" w:eastAsia="zh-CN"/>
        </w:rPr>
      </w:pPr>
      <w:r>
        <w:rPr>
          <w:rFonts w:hint="eastAsia" w:ascii="仿宋_GB2312" w:eastAsia="仿宋_GB2312" w:cs="DengXian-Regular"/>
          <w:sz w:val="32"/>
          <w:szCs w:val="32"/>
          <w:lang w:val="en-US" w:eastAsia="zh-CN"/>
        </w:rPr>
        <w:t>本单位本年度无重点项目。</w:t>
      </w:r>
    </w:p>
    <w:p>
      <w:pPr>
        <w:pStyle w:val="3"/>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djustRightInd w:val="0"/>
        <w:snapToGrid w:val="0"/>
        <w:spacing w:after="0" w:line="580" w:lineRule="exact"/>
        <w:ind w:firstLine="640" w:firstLineChars="200"/>
        <w:rPr>
          <w:rFonts w:hint="eastAsia" w:ascii="仿宋_GB2312" w:eastAsia="仿宋_GB2312" w:cs="DengXian-Regular"/>
          <w:sz w:val="32"/>
          <w:szCs w:val="32"/>
          <w:lang w:eastAsia="zh-CN"/>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w:t>
      </w:r>
      <w:r>
        <w:rPr>
          <w:rFonts w:hint="eastAsia" w:ascii="宋体" w:hAnsi="宋体" w:eastAsia="宋体" w:cs="宋体"/>
          <w:b w:val="0"/>
          <w:bCs w:val="0"/>
          <w:sz w:val="32"/>
          <w:szCs w:val="32"/>
          <w:lang w:val="en-US" w:eastAsia="zh-CN"/>
        </w:rPr>
        <w:t>28.74</w:t>
      </w:r>
      <w:r>
        <w:rPr>
          <w:rFonts w:hint="eastAsia" w:ascii="仿宋_GB2312" w:eastAsia="仿宋_GB2312" w:cs="DengXian-Regular"/>
          <w:sz w:val="32"/>
          <w:szCs w:val="32"/>
        </w:rPr>
        <w:t>万元，比年初预算数减少3.78万元，降低</w:t>
      </w:r>
      <w:r>
        <w:rPr>
          <w:rFonts w:hint="eastAsia" w:ascii="仿宋_GB2312" w:eastAsia="仿宋_GB2312" w:cs="DengXian-Regular"/>
          <w:sz w:val="32"/>
          <w:szCs w:val="32"/>
          <w:lang w:val="en-US" w:eastAsia="zh-CN"/>
        </w:rPr>
        <w:t>11.62</w:t>
      </w:r>
      <w:r>
        <w:rPr>
          <w:rFonts w:ascii="仿宋_GB2312" w:eastAsia="仿宋_GB2312" w:cs="DengXian-Regular"/>
          <w:sz w:val="32"/>
          <w:szCs w:val="32"/>
        </w:rPr>
        <w:t>%</w:t>
      </w:r>
      <w:r>
        <w:rPr>
          <w:rFonts w:hint="eastAsia" w:ascii="仿宋_GB2312" w:eastAsia="仿宋_GB2312" w:cs="DengXian-Regular"/>
          <w:sz w:val="32"/>
          <w:szCs w:val="32"/>
        </w:rPr>
        <w:t>。主要原因是厉行节俭</w:t>
      </w:r>
      <w:r>
        <w:rPr>
          <w:rFonts w:hint="eastAsia" w:ascii="仿宋_GB2312" w:eastAsia="仿宋_GB2312" w:cs="DengXian-Regular"/>
          <w:sz w:val="32"/>
          <w:szCs w:val="32"/>
          <w:lang w:eastAsia="zh-CN"/>
        </w:rPr>
        <w:t>；比</w:t>
      </w:r>
      <w:r>
        <w:rPr>
          <w:rFonts w:hint="eastAsia" w:ascii="仿宋_GB2312" w:eastAsia="仿宋_GB2312" w:cs="DengXian-Regular"/>
          <w:sz w:val="32"/>
          <w:szCs w:val="32"/>
          <w:lang w:val="en-US" w:eastAsia="zh-CN"/>
        </w:rPr>
        <w:t>2017</w:t>
      </w:r>
      <w:r>
        <w:rPr>
          <w:rFonts w:hint="eastAsia" w:ascii="仿宋_GB2312" w:eastAsia="仿宋_GB2312" w:cs="DengXian-Regular"/>
          <w:sz w:val="32"/>
          <w:szCs w:val="32"/>
          <w:lang w:eastAsia="zh-CN"/>
        </w:rPr>
        <w:t>年决算</w:t>
      </w:r>
      <w:r>
        <w:rPr>
          <w:rFonts w:hint="eastAsia" w:ascii="仿宋_GB2312" w:eastAsia="仿宋_GB2312" w:cs="DengXian-Regular"/>
          <w:sz w:val="32"/>
          <w:szCs w:val="32"/>
          <w:lang w:val="en-US" w:eastAsia="zh-CN"/>
        </w:rPr>
        <w:t>增加0.94万</w:t>
      </w:r>
      <w:r>
        <w:rPr>
          <w:rFonts w:hint="eastAsia" w:ascii="仿宋_GB2312" w:eastAsia="仿宋_GB2312" w:cs="DengXian-Regular"/>
          <w:sz w:val="32"/>
          <w:szCs w:val="32"/>
          <w:lang w:eastAsia="zh-CN"/>
        </w:rPr>
        <w:t>元，</w:t>
      </w:r>
      <w:r>
        <w:rPr>
          <w:rFonts w:hint="eastAsia" w:ascii="仿宋_GB2312" w:eastAsia="仿宋_GB2312" w:cs="DengXian-Regular"/>
          <w:sz w:val="32"/>
          <w:szCs w:val="32"/>
          <w:lang w:val="en-US" w:eastAsia="zh-CN"/>
        </w:rPr>
        <w:t>增长3.39</w:t>
      </w:r>
      <w:r>
        <w:rPr>
          <w:rFonts w:hint="eastAsia" w:ascii="仿宋_GB2312" w:eastAsia="仿宋_GB2312" w:cs="DengXian-Regular"/>
          <w:sz w:val="32"/>
          <w:szCs w:val="32"/>
          <w:lang w:eastAsia="zh-CN"/>
        </w:rPr>
        <w:t>%，主要原因是</w:t>
      </w:r>
      <w:r>
        <w:rPr>
          <w:rFonts w:hint="eastAsia" w:ascii="仿宋_GB2312" w:eastAsia="仿宋_GB2312" w:cs="DengXian-Regular"/>
          <w:sz w:val="32"/>
          <w:szCs w:val="32"/>
          <w:lang w:val="en-US" w:eastAsia="zh-CN"/>
        </w:rPr>
        <w:t>2018年决算办公费、差旅费增加</w:t>
      </w:r>
      <w:r>
        <w:rPr>
          <w:rFonts w:hint="eastAsia" w:ascii="仿宋_GB2312" w:eastAsia="仿宋_GB2312" w:cs="DengXian-Regular"/>
          <w:sz w:val="32"/>
          <w:szCs w:val="32"/>
          <w:lang w:eastAsia="zh-CN"/>
        </w:rPr>
        <w:t>。</w:t>
      </w:r>
    </w:p>
    <w:p>
      <w:pPr>
        <w:adjustRightInd w:val="0"/>
        <w:snapToGrid w:val="0"/>
        <w:spacing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与2018年决算相比：主要包括201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年办公费支出5.48万元，与201</w:t>
      </w:r>
      <w:r>
        <w:rPr>
          <w:rFonts w:hint="eastAsia" w:ascii="仿宋_GB2312" w:eastAsia="仿宋_GB2312" w:cs="DengXian-Regular"/>
          <w:sz w:val="32"/>
          <w:szCs w:val="32"/>
          <w:lang w:val="en-US" w:eastAsia="zh-CN"/>
        </w:rPr>
        <w:t>7</w:t>
      </w:r>
      <w:r>
        <w:rPr>
          <w:rFonts w:hint="eastAsia" w:ascii="仿宋_GB2312" w:eastAsia="仿宋_GB2312" w:cs="DengXian-Regular"/>
          <w:sz w:val="32"/>
          <w:szCs w:val="32"/>
        </w:rPr>
        <w:t>年决算</w:t>
      </w:r>
      <w:r>
        <w:rPr>
          <w:rFonts w:hint="eastAsia" w:ascii="仿宋_GB2312" w:eastAsia="仿宋_GB2312" w:cs="DengXian-Regular"/>
          <w:sz w:val="32"/>
          <w:szCs w:val="32"/>
          <w:lang w:val="en-US" w:eastAsia="zh-CN"/>
        </w:rPr>
        <w:t>4.15</w:t>
      </w:r>
      <w:r>
        <w:rPr>
          <w:rFonts w:hint="eastAsia" w:ascii="仿宋_GB2312" w:eastAsia="仿宋_GB2312" w:cs="DengXian-Regular"/>
          <w:sz w:val="32"/>
          <w:szCs w:val="32"/>
        </w:rPr>
        <w:t>万元相比增加</w:t>
      </w:r>
      <w:r>
        <w:rPr>
          <w:rFonts w:hint="eastAsia" w:ascii="仿宋_GB2312" w:eastAsia="仿宋_GB2312" w:cs="DengXian-Regular"/>
          <w:sz w:val="32"/>
          <w:szCs w:val="32"/>
          <w:lang w:val="en-US" w:eastAsia="zh-CN"/>
        </w:rPr>
        <w:t>1.33</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增长32.05</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年印刷费支出</w:t>
      </w:r>
      <w:r>
        <w:rPr>
          <w:rFonts w:hint="eastAsia" w:ascii="仿宋_GB2312" w:eastAsia="仿宋_GB2312" w:cs="DengXian-Regular"/>
          <w:sz w:val="32"/>
          <w:szCs w:val="32"/>
          <w:lang w:val="en-US" w:eastAsia="zh-CN"/>
        </w:rPr>
        <w:t>3.65</w:t>
      </w:r>
      <w:r>
        <w:rPr>
          <w:rFonts w:hint="eastAsia" w:ascii="仿宋_GB2312" w:eastAsia="仿宋_GB2312" w:cs="DengXian-Regular"/>
          <w:sz w:val="32"/>
          <w:szCs w:val="32"/>
        </w:rPr>
        <w:t>万元，与201</w:t>
      </w:r>
      <w:r>
        <w:rPr>
          <w:rFonts w:hint="eastAsia" w:ascii="仿宋_GB2312" w:eastAsia="仿宋_GB2312" w:cs="DengXian-Regular"/>
          <w:sz w:val="32"/>
          <w:szCs w:val="32"/>
          <w:lang w:val="en-US" w:eastAsia="zh-CN"/>
        </w:rPr>
        <w:t>7</w:t>
      </w:r>
      <w:r>
        <w:rPr>
          <w:rFonts w:hint="eastAsia" w:ascii="仿宋_GB2312" w:eastAsia="仿宋_GB2312" w:cs="DengXian-Regular"/>
          <w:sz w:val="32"/>
          <w:szCs w:val="32"/>
        </w:rPr>
        <w:t>年决算</w:t>
      </w:r>
      <w:r>
        <w:rPr>
          <w:rFonts w:hint="eastAsia" w:ascii="仿宋_GB2312" w:eastAsia="仿宋_GB2312" w:cs="DengXian-Regular"/>
          <w:sz w:val="32"/>
          <w:szCs w:val="32"/>
          <w:lang w:val="en-US" w:eastAsia="zh-CN"/>
        </w:rPr>
        <w:t>3.37</w:t>
      </w:r>
      <w:r>
        <w:rPr>
          <w:rFonts w:hint="eastAsia" w:ascii="仿宋_GB2312" w:eastAsia="仿宋_GB2312" w:cs="DengXian-Regular"/>
          <w:sz w:val="32"/>
          <w:szCs w:val="32"/>
        </w:rPr>
        <w:t>万元相比</w:t>
      </w:r>
      <w:r>
        <w:rPr>
          <w:rFonts w:hint="eastAsia" w:ascii="仿宋_GB2312" w:eastAsia="仿宋_GB2312" w:cs="DengXian-Regular"/>
          <w:sz w:val="32"/>
          <w:szCs w:val="32"/>
          <w:lang w:val="en-US" w:eastAsia="zh-CN"/>
        </w:rPr>
        <w:t>增加0.28</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增长8.31</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年邮电费支出</w:t>
      </w:r>
      <w:r>
        <w:rPr>
          <w:rFonts w:hint="eastAsia" w:ascii="仿宋_GB2312" w:eastAsia="仿宋_GB2312" w:cs="DengXian-Regular"/>
          <w:sz w:val="32"/>
          <w:szCs w:val="32"/>
          <w:lang w:val="en-US" w:eastAsia="zh-CN"/>
        </w:rPr>
        <w:t>6.48</w:t>
      </w:r>
      <w:r>
        <w:rPr>
          <w:rFonts w:hint="eastAsia" w:ascii="仿宋_GB2312" w:eastAsia="仿宋_GB2312" w:cs="DengXian-Regular"/>
          <w:sz w:val="32"/>
          <w:szCs w:val="32"/>
        </w:rPr>
        <w:t>万元，与201</w:t>
      </w:r>
      <w:r>
        <w:rPr>
          <w:rFonts w:hint="eastAsia" w:ascii="仿宋_GB2312" w:eastAsia="仿宋_GB2312" w:cs="DengXian-Regular"/>
          <w:sz w:val="32"/>
          <w:szCs w:val="32"/>
          <w:lang w:val="en-US" w:eastAsia="zh-CN"/>
        </w:rPr>
        <w:t>7</w:t>
      </w:r>
      <w:r>
        <w:rPr>
          <w:rFonts w:hint="eastAsia" w:ascii="仿宋_GB2312" w:eastAsia="仿宋_GB2312" w:cs="DengXian-Regular"/>
          <w:sz w:val="32"/>
          <w:szCs w:val="32"/>
        </w:rPr>
        <w:t>年决算</w:t>
      </w:r>
      <w:r>
        <w:rPr>
          <w:rFonts w:hint="eastAsia" w:ascii="仿宋_GB2312" w:eastAsia="仿宋_GB2312" w:cs="DengXian-Regular"/>
          <w:sz w:val="32"/>
          <w:szCs w:val="32"/>
          <w:lang w:val="en-US" w:eastAsia="zh-CN"/>
        </w:rPr>
        <w:t>3.33</w:t>
      </w:r>
      <w:r>
        <w:rPr>
          <w:rFonts w:hint="eastAsia" w:ascii="仿宋_GB2312" w:eastAsia="仿宋_GB2312" w:cs="DengXian-Regular"/>
          <w:sz w:val="32"/>
          <w:szCs w:val="32"/>
        </w:rPr>
        <w:t>万元相比减少</w:t>
      </w:r>
      <w:r>
        <w:rPr>
          <w:rFonts w:hint="eastAsia" w:ascii="仿宋_GB2312" w:eastAsia="仿宋_GB2312" w:cs="DengXian-Regular"/>
          <w:sz w:val="32"/>
          <w:szCs w:val="32"/>
          <w:lang w:val="en-US" w:eastAsia="zh-CN"/>
        </w:rPr>
        <w:t>3.15</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降低94.6</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年差旅费</w:t>
      </w:r>
      <w:r>
        <w:rPr>
          <w:rFonts w:hint="eastAsia" w:ascii="仿宋_GB2312" w:eastAsia="仿宋_GB2312" w:cs="DengXian-Regular"/>
          <w:sz w:val="32"/>
          <w:szCs w:val="32"/>
          <w:lang w:val="en-US" w:eastAsia="zh-CN"/>
        </w:rPr>
        <w:t>1.31</w:t>
      </w:r>
      <w:r>
        <w:rPr>
          <w:rFonts w:hint="eastAsia" w:ascii="仿宋_GB2312" w:eastAsia="仿宋_GB2312" w:cs="DengXian-Regular"/>
          <w:sz w:val="32"/>
          <w:szCs w:val="32"/>
        </w:rPr>
        <w:t>万元，与201</w:t>
      </w:r>
      <w:r>
        <w:rPr>
          <w:rFonts w:hint="eastAsia" w:ascii="仿宋_GB2312" w:eastAsia="仿宋_GB2312" w:cs="DengXian-Regular"/>
          <w:sz w:val="32"/>
          <w:szCs w:val="32"/>
          <w:lang w:val="en-US" w:eastAsia="zh-CN"/>
        </w:rPr>
        <w:t>7</w:t>
      </w:r>
      <w:r>
        <w:rPr>
          <w:rFonts w:hint="eastAsia" w:ascii="仿宋_GB2312" w:eastAsia="仿宋_GB2312" w:cs="DengXian-Regular"/>
          <w:sz w:val="32"/>
          <w:szCs w:val="32"/>
        </w:rPr>
        <w:t>年决算</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万元相比增加</w:t>
      </w:r>
      <w:r>
        <w:rPr>
          <w:rFonts w:hint="eastAsia" w:ascii="仿宋_GB2312" w:eastAsia="仿宋_GB2312" w:cs="DengXian-Regular"/>
          <w:sz w:val="32"/>
          <w:szCs w:val="32"/>
          <w:lang w:val="en-US" w:eastAsia="zh-CN"/>
        </w:rPr>
        <w:t>0.31</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增长31.00</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年维修费支出0.3万元，与201</w:t>
      </w:r>
      <w:r>
        <w:rPr>
          <w:rFonts w:hint="eastAsia" w:ascii="仿宋_GB2312" w:eastAsia="仿宋_GB2312" w:cs="DengXian-Regular"/>
          <w:sz w:val="32"/>
          <w:szCs w:val="32"/>
          <w:lang w:val="en-US" w:eastAsia="zh-CN"/>
        </w:rPr>
        <w:t>7</w:t>
      </w:r>
      <w:r>
        <w:rPr>
          <w:rFonts w:hint="eastAsia" w:ascii="仿宋_GB2312" w:eastAsia="仿宋_GB2312" w:cs="DengXian-Regular"/>
          <w:sz w:val="32"/>
          <w:szCs w:val="32"/>
        </w:rPr>
        <w:t>年决算</w:t>
      </w:r>
      <w:r>
        <w:rPr>
          <w:rFonts w:hint="eastAsia" w:ascii="仿宋_GB2312" w:eastAsia="仿宋_GB2312" w:cs="DengXian-Regular"/>
          <w:sz w:val="32"/>
          <w:szCs w:val="32"/>
          <w:lang w:val="en-US" w:eastAsia="zh-CN"/>
        </w:rPr>
        <w:t>0.30</w:t>
      </w:r>
      <w:r>
        <w:rPr>
          <w:rFonts w:hint="eastAsia" w:ascii="仿宋_GB2312" w:eastAsia="仿宋_GB2312" w:cs="DengXian-Regular"/>
          <w:sz w:val="32"/>
          <w:szCs w:val="32"/>
        </w:rPr>
        <w:t>万元相比无变化。201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年培训费0万元，与</w:t>
      </w:r>
      <w:r>
        <w:rPr>
          <w:rFonts w:hint="eastAsia" w:ascii="仿宋_GB2312" w:eastAsia="仿宋_GB2312" w:cs="DengXian-Regular"/>
          <w:sz w:val="32"/>
          <w:szCs w:val="32"/>
          <w:lang w:val="en-US" w:eastAsia="zh-CN"/>
        </w:rPr>
        <w:t>2017年决算9.98</w:t>
      </w:r>
      <w:r>
        <w:rPr>
          <w:rFonts w:hint="eastAsia" w:ascii="仿宋_GB2312" w:eastAsia="仿宋_GB2312" w:cs="DengXian-Regular"/>
          <w:sz w:val="32"/>
          <w:szCs w:val="32"/>
        </w:rPr>
        <w:t>万元相比减少</w:t>
      </w:r>
      <w:r>
        <w:rPr>
          <w:rFonts w:hint="eastAsia" w:ascii="仿宋_GB2312" w:eastAsia="仿宋_GB2312" w:cs="DengXian-Regular"/>
          <w:sz w:val="32"/>
          <w:szCs w:val="32"/>
          <w:lang w:val="en-US" w:eastAsia="zh-CN"/>
        </w:rPr>
        <w:t>9.98</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降低100</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年公务车运行及维护</w:t>
      </w:r>
      <w:r>
        <w:rPr>
          <w:rFonts w:hint="eastAsia" w:ascii="仿宋_GB2312" w:eastAsia="仿宋_GB2312" w:cs="DengXian-Regular"/>
          <w:sz w:val="32"/>
          <w:szCs w:val="32"/>
          <w:lang w:val="en-US" w:eastAsia="zh-CN"/>
        </w:rPr>
        <w:t>3.97</w:t>
      </w:r>
      <w:r>
        <w:rPr>
          <w:rFonts w:hint="eastAsia" w:ascii="仿宋_GB2312" w:eastAsia="仿宋_GB2312" w:cs="DengXian-Regular"/>
          <w:sz w:val="32"/>
          <w:szCs w:val="32"/>
        </w:rPr>
        <w:t>万元，与201</w:t>
      </w:r>
      <w:r>
        <w:rPr>
          <w:rFonts w:hint="eastAsia" w:ascii="仿宋_GB2312" w:eastAsia="仿宋_GB2312" w:cs="DengXian-Regular"/>
          <w:sz w:val="32"/>
          <w:szCs w:val="32"/>
          <w:lang w:val="en-US" w:eastAsia="zh-CN"/>
        </w:rPr>
        <w:t>7</w:t>
      </w:r>
      <w:r>
        <w:rPr>
          <w:rFonts w:hint="eastAsia" w:ascii="仿宋_GB2312" w:eastAsia="仿宋_GB2312" w:cs="DengXian-Regular"/>
          <w:sz w:val="32"/>
          <w:szCs w:val="32"/>
        </w:rPr>
        <w:t>年决算</w:t>
      </w:r>
      <w:r>
        <w:rPr>
          <w:rFonts w:hint="eastAsia" w:ascii="仿宋_GB2312" w:eastAsia="仿宋_GB2312" w:cs="DengXian-Regular"/>
          <w:sz w:val="32"/>
          <w:szCs w:val="32"/>
          <w:lang w:val="en-US" w:eastAsia="zh-CN"/>
        </w:rPr>
        <w:t>4</w:t>
      </w:r>
      <w:r>
        <w:rPr>
          <w:rFonts w:hint="eastAsia" w:ascii="仿宋_GB2312" w:eastAsia="仿宋_GB2312" w:cs="DengXian-Regular"/>
          <w:sz w:val="32"/>
          <w:szCs w:val="32"/>
        </w:rPr>
        <w:t>万元减少</w:t>
      </w:r>
      <w:r>
        <w:rPr>
          <w:rFonts w:hint="eastAsia" w:ascii="仿宋_GB2312" w:eastAsia="仿宋_GB2312" w:cs="DengXian-Regular"/>
          <w:sz w:val="32"/>
          <w:szCs w:val="32"/>
          <w:lang w:val="en-US" w:eastAsia="zh-CN"/>
        </w:rPr>
        <w:t>0.03</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降低0.75</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年其他交通费支出7.32万元万元，与201</w:t>
      </w:r>
      <w:r>
        <w:rPr>
          <w:rFonts w:hint="eastAsia" w:ascii="仿宋_GB2312" w:eastAsia="仿宋_GB2312" w:cs="DengXian-Regular"/>
          <w:sz w:val="32"/>
          <w:szCs w:val="32"/>
          <w:lang w:val="en-US" w:eastAsia="zh-CN"/>
        </w:rPr>
        <w:t>7</w:t>
      </w:r>
      <w:r>
        <w:rPr>
          <w:rFonts w:hint="eastAsia" w:ascii="仿宋_GB2312" w:eastAsia="仿宋_GB2312" w:cs="DengXian-Regular"/>
          <w:sz w:val="32"/>
          <w:szCs w:val="32"/>
        </w:rPr>
        <w:t>年决算</w:t>
      </w:r>
      <w:r>
        <w:rPr>
          <w:rFonts w:hint="eastAsia" w:ascii="仿宋_GB2312" w:eastAsia="仿宋_GB2312" w:cs="DengXian-Regular"/>
          <w:sz w:val="32"/>
          <w:szCs w:val="32"/>
          <w:lang w:val="en-US" w:eastAsia="zh-CN"/>
        </w:rPr>
        <w:t>9.59</w:t>
      </w:r>
      <w:r>
        <w:rPr>
          <w:rFonts w:hint="eastAsia" w:ascii="仿宋_GB2312" w:eastAsia="仿宋_GB2312" w:cs="DengXian-Regular"/>
          <w:sz w:val="32"/>
          <w:szCs w:val="32"/>
        </w:rPr>
        <w:t>万元相比</w:t>
      </w:r>
      <w:r>
        <w:rPr>
          <w:rFonts w:hint="eastAsia" w:ascii="仿宋_GB2312" w:eastAsia="仿宋_GB2312" w:cs="DengXian-Regular"/>
          <w:sz w:val="32"/>
          <w:szCs w:val="32"/>
          <w:lang w:val="en-US" w:eastAsia="zh-CN"/>
        </w:rPr>
        <w:t>减少2.27</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降低23.67</w:t>
      </w:r>
      <w:r>
        <w:rPr>
          <w:rFonts w:hint="eastAsia" w:ascii="仿宋_GB2312" w:eastAsia="仿宋_GB2312" w:cs="DengXian-Regular"/>
          <w:sz w:val="32"/>
          <w:szCs w:val="32"/>
        </w:rPr>
        <w:t>%。</w:t>
      </w:r>
    </w:p>
    <w:p>
      <w:pPr>
        <w:adjustRightInd w:val="0"/>
        <w:snapToGrid w:val="0"/>
        <w:spacing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与年初预算相比： 主要包括201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年办公费支出</w:t>
      </w:r>
      <w:r>
        <w:rPr>
          <w:rFonts w:hint="eastAsia" w:ascii="仿宋_GB2312" w:eastAsia="仿宋_GB2312" w:cs="DengXian-Regular"/>
          <w:sz w:val="32"/>
          <w:szCs w:val="32"/>
          <w:lang w:val="en-US" w:eastAsia="zh-CN"/>
        </w:rPr>
        <w:t>5.48</w:t>
      </w:r>
      <w:r>
        <w:rPr>
          <w:rFonts w:hint="eastAsia" w:ascii="仿宋_GB2312" w:eastAsia="仿宋_GB2312" w:cs="DengXian-Regular"/>
          <w:sz w:val="32"/>
          <w:szCs w:val="32"/>
        </w:rPr>
        <w:t>万元，与年初预算4.</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5万元相比增加</w:t>
      </w:r>
      <w:r>
        <w:rPr>
          <w:rFonts w:hint="eastAsia" w:ascii="仿宋_GB2312" w:eastAsia="仿宋_GB2312" w:cs="DengXian-Regular"/>
          <w:sz w:val="32"/>
          <w:szCs w:val="32"/>
          <w:lang w:val="en-US" w:eastAsia="zh-CN"/>
        </w:rPr>
        <w:t>1.33</w:t>
      </w:r>
      <w:r>
        <w:rPr>
          <w:rFonts w:hint="eastAsia" w:ascii="仿宋_GB2312" w:eastAsia="仿宋_GB2312" w:cs="DengXian-Regular"/>
          <w:sz w:val="32"/>
          <w:szCs w:val="32"/>
        </w:rPr>
        <w:t>万元，增</w:t>
      </w:r>
      <w:r>
        <w:rPr>
          <w:rFonts w:hint="eastAsia" w:ascii="仿宋_GB2312" w:eastAsia="仿宋_GB2312" w:cs="DengXian-Regular"/>
          <w:sz w:val="32"/>
          <w:szCs w:val="32"/>
          <w:lang w:val="en-US" w:eastAsia="zh-CN"/>
        </w:rPr>
        <w:t>长32.05</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年印刷费</w:t>
      </w:r>
      <w:r>
        <w:rPr>
          <w:rFonts w:hint="eastAsia" w:ascii="仿宋_GB2312" w:eastAsia="仿宋_GB2312" w:cs="DengXian-Regular"/>
          <w:sz w:val="32"/>
          <w:szCs w:val="32"/>
          <w:lang w:val="en-US" w:eastAsia="zh-CN"/>
        </w:rPr>
        <w:t>3.65</w:t>
      </w:r>
      <w:r>
        <w:rPr>
          <w:rFonts w:hint="eastAsia" w:ascii="仿宋_GB2312" w:eastAsia="仿宋_GB2312" w:cs="DengXian-Regular"/>
          <w:sz w:val="32"/>
          <w:szCs w:val="32"/>
        </w:rPr>
        <w:t>万元，与年初预算</w:t>
      </w:r>
      <w:r>
        <w:rPr>
          <w:rFonts w:hint="eastAsia" w:ascii="仿宋_GB2312" w:eastAsia="仿宋_GB2312" w:cs="DengXian-Regular"/>
          <w:sz w:val="32"/>
          <w:szCs w:val="32"/>
          <w:lang w:val="en-US" w:eastAsia="zh-CN"/>
        </w:rPr>
        <w:t>3.37</w:t>
      </w:r>
      <w:r>
        <w:rPr>
          <w:rFonts w:hint="eastAsia" w:ascii="仿宋_GB2312" w:eastAsia="仿宋_GB2312" w:cs="DengXian-Regular"/>
          <w:sz w:val="32"/>
          <w:szCs w:val="32"/>
        </w:rPr>
        <w:t>万元相比</w:t>
      </w:r>
      <w:r>
        <w:rPr>
          <w:rFonts w:hint="eastAsia" w:ascii="仿宋_GB2312" w:eastAsia="仿宋_GB2312" w:cs="DengXian-Regular"/>
          <w:sz w:val="32"/>
          <w:szCs w:val="32"/>
          <w:lang w:val="en-US" w:eastAsia="zh-CN"/>
        </w:rPr>
        <w:t>增加0.28</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增长8.31</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年邮电费支出</w:t>
      </w:r>
      <w:r>
        <w:rPr>
          <w:rFonts w:hint="eastAsia" w:ascii="仿宋_GB2312" w:eastAsia="仿宋_GB2312" w:cs="DengXian-Regular"/>
          <w:sz w:val="32"/>
          <w:szCs w:val="32"/>
          <w:lang w:val="en-US" w:eastAsia="zh-CN"/>
        </w:rPr>
        <w:t>6.48</w:t>
      </w:r>
      <w:r>
        <w:rPr>
          <w:rFonts w:hint="eastAsia" w:ascii="仿宋_GB2312" w:eastAsia="仿宋_GB2312" w:cs="DengXian-Regular"/>
          <w:sz w:val="32"/>
          <w:szCs w:val="32"/>
        </w:rPr>
        <w:t>万元，与年初预算</w:t>
      </w:r>
      <w:r>
        <w:rPr>
          <w:rFonts w:hint="eastAsia" w:ascii="仿宋_GB2312" w:eastAsia="仿宋_GB2312" w:cs="DengXian-Regular"/>
          <w:sz w:val="32"/>
          <w:szCs w:val="32"/>
          <w:lang w:val="en-US" w:eastAsia="zh-CN"/>
        </w:rPr>
        <w:t>1.92</w:t>
      </w:r>
      <w:r>
        <w:rPr>
          <w:rFonts w:hint="eastAsia" w:ascii="仿宋_GB2312" w:eastAsia="仿宋_GB2312" w:cs="DengXian-Regular"/>
          <w:sz w:val="32"/>
          <w:szCs w:val="32"/>
        </w:rPr>
        <w:t>万元相比</w:t>
      </w:r>
      <w:r>
        <w:rPr>
          <w:rFonts w:hint="eastAsia" w:ascii="仿宋_GB2312" w:eastAsia="仿宋_GB2312" w:cs="DengXian-Regular"/>
          <w:sz w:val="32"/>
          <w:szCs w:val="32"/>
          <w:lang w:val="en-US" w:eastAsia="zh-CN"/>
        </w:rPr>
        <w:t>增加4.56</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w:t>
      </w:r>
      <w:r>
        <w:rPr>
          <w:rFonts w:hint="eastAsia" w:ascii="仿宋_GB2312" w:eastAsia="仿宋_GB2312" w:cs="DengXian-Regular"/>
          <w:sz w:val="32"/>
          <w:szCs w:val="32"/>
          <w:lang w:val="en-US" w:eastAsia="zh-CN"/>
        </w:rPr>
        <w:t>增长237.50</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年差旅费</w:t>
      </w:r>
      <w:r>
        <w:rPr>
          <w:rFonts w:hint="eastAsia" w:ascii="仿宋_GB2312" w:eastAsia="仿宋_GB2312" w:cs="DengXian-Regular"/>
          <w:sz w:val="32"/>
          <w:szCs w:val="32"/>
          <w:lang w:val="en-US" w:eastAsia="zh-CN"/>
        </w:rPr>
        <w:t>1.31</w:t>
      </w:r>
      <w:r>
        <w:rPr>
          <w:rFonts w:hint="eastAsia" w:ascii="仿宋_GB2312" w:eastAsia="仿宋_GB2312" w:cs="DengXian-Regular"/>
          <w:sz w:val="32"/>
          <w:szCs w:val="32"/>
        </w:rPr>
        <w:t>万元，与年初预算</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万元相比减少</w:t>
      </w:r>
      <w:r>
        <w:rPr>
          <w:rFonts w:hint="eastAsia" w:ascii="仿宋_GB2312" w:eastAsia="仿宋_GB2312" w:cs="DengXian-Regular"/>
          <w:sz w:val="32"/>
          <w:szCs w:val="32"/>
          <w:lang w:val="en-US" w:eastAsia="zh-CN"/>
        </w:rPr>
        <w:t>0.31</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了</w:t>
      </w:r>
      <w:r>
        <w:rPr>
          <w:rFonts w:hint="eastAsia" w:ascii="仿宋_GB2312" w:eastAsia="仿宋_GB2312" w:cs="DengXian-Regular"/>
          <w:sz w:val="32"/>
          <w:szCs w:val="32"/>
          <w:lang w:val="en-US" w:eastAsia="zh-CN"/>
        </w:rPr>
        <w:t>31.00</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年维修费支出0.3</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万元，与年初预算</w:t>
      </w:r>
      <w:r>
        <w:rPr>
          <w:rFonts w:hint="eastAsia" w:ascii="仿宋_GB2312" w:eastAsia="仿宋_GB2312" w:cs="DengXian-Regular"/>
          <w:sz w:val="32"/>
          <w:szCs w:val="32"/>
          <w:lang w:val="en-US" w:eastAsia="zh-CN"/>
        </w:rPr>
        <w:t>0.30</w:t>
      </w:r>
      <w:r>
        <w:rPr>
          <w:rFonts w:hint="eastAsia" w:ascii="仿宋_GB2312" w:eastAsia="仿宋_GB2312" w:cs="DengXian-Regular"/>
          <w:sz w:val="32"/>
          <w:szCs w:val="32"/>
        </w:rPr>
        <w:t>万元相比无变化。201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年培训费0万元，与年初预算</w:t>
      </w:r>
      <w:r>
        <w:rPr>
          <w:rFonts w:hint="eastAsia" w:ascii="仿宋_GB2312" w:eastAsia="仿宋_GB2312" w:cs="DengXian-Regular"/>
          <w:sz w:val="32"/>
          <w:szCs w:val="32"/>
          <w:lang w:val="en-US" w:eastAsia="zh-CN"/>
        </w:rPr>
        <w:t>1.00</w:t>
      </w:r>
      <w:r>
        <w:rPr>
          <w:rFonts w:hint="eastAsia" w:ascii="仿宋_GB2312" w:eastAsia="仿宋_GB2312" w:cs="DengXian-Regular"/>
          <w:sz w:val="32"/>
          <w:szCs w:val="32"/>
        </w:rPr>
        <w:t>万元相比减少</w:t>
      </w:r>
      <w:r>
        <w:rPr>
          <w:rFonts w:hint="eastAsia" w:ascii="仿宋_GB2312" w:eastAsia="仿宋_GB2312" w:cs="DengXian-Regular"/>
          <w:sz w:val="32"/>
          <w:szCs w:val="32"/>
          <w:lang w:val="en-US" w:eastAsia="zh-CN"/>
        </w:rPr>
        <w:t>1.00</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降低100</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2018年公务接待费0.25万元，与年初预算0.25万元相比无变化。</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年公务车运行及维护</w:t>
      </w:r>
      <w:r>
        <w:rPr>
          <w:rFonts w:hint="eastAsia" w:ascii="仿宋_GB2312" w:eastAsia="仿宋_GB2312" w:cs="DengXian-Regular"/>
          <w:sz w:val="32"/>
          <w:szCs w:val="32"/>
          <w:lang w:val="en-US" w:eastAsia="zh-CN"/>
        </w:rPr>
        <w:t>3.97</w:t>
      </w:r>
      <w:r>
        <w:rPr>
          <w:rFonts w:hint="eastAsia" w:ascii="仿宋_GB2312" w:eastAsia="仿宋_GB2312" w:cs="DengXian-Regular"/>
          <w:sz w:val="32"/>
          <w:szCs w:val="32"/>
        </w:rPr>
        <w:t>万元，与年初预算</w:t>
      </w:r>
      <w:r>
        <w:rPr>
          <w:rFonts w:hint="eastAsia" w:ascii="仿宋_GB2312" w:eastAsia="仿宋_GB2312" w:cs="DengXian-Regular"/>
          <w:sz w:val="32"/>
          <w:szCs w:val="32"/>
          <w:lang w:val="en-US" w:eastAsia="zh-CN"/>
        </w:rPr>
        <w:t>4</w:t>
      </w:r>
      <w:r>
        <w:rPr>
          <w:rFonts w:hint="eastAsia" w:ascii="仿宋_GB2312" w:eastAsia="仿宋_GB2312" w:cs="DengXian-Regular"/>
          <w:sz w:val="32"/>
          <w:szCs w:val="32"/>
        </w:rPr>
        <w:t>万元相比减少</w:t>
      </w:r>
      <w:r>
        <w:rPr>
          <w:rFonts w:hint="eastAsia" w:ascii="仿宋_GB2312" w:eastAsia="仿宋_GB2312" w:cs="DengXian-Regular"/>
          <w:sz w:val="32"/>
          <w:szCs w:val="32"/>
          <w:lang w:val="en-US" w:eastAsia="zh-CN"/>
        </w:rPr>
        <w:t>0.03</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降低0.75</w:t>
      </w: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年其他交通费支出</w:t>
      </w:r>
      <w:r>
        <w:rPr>
          <w:rFonts w:hint="eastAsia" w:ascii="仿宋_GB2312" w:eastAsia="仿宋_GB2312" w:cs="DengXian-Regular"/>
          <w:sz w:val="32"/>
          <w:szCs w:val="32"/>
          <w:lang w:val="en-US" w:eastAsia="zh-CN"/>
        </w:rPr>
        <w:t>7.32</w:t>
      </w:r>
      <w:r>
        <w:rPr>
          <w:rFonts w:hint="eastAsia" w:ascii="仿宋_GB2312" w:eastAsia="仿宋_GB2312" w:cs="DengXian-Regular"/>
          <w:sz w:val="32"/>
          <w:szCs w:val="32"/>
        </w:rPr>
        <w:t>万元，与年初预算</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万元相比增加</w:t>
      </w:r>
      <w:r>
        <w:rPr>
          <w:rFonts w:hint="eastAsia" w:ascii="仿宋_GB2312" w:eastAsia="仿宋_GB2312" w:cs="DengXian-Regular"/>
          <w:sz w:val="32"/>
          <w:szCs w:val="32"/>
          <w:lang w:val="en-US" w:eastAsia="zh-CN"/>
        </w:rPr>
        <w:t>7.32</w:t>
      </w:r>
      <w:r>
        <w:rPr>
          <w:rFonts w:hint="eastAsia" w:ascii="仿宋_GB2312" w:eastAsia="仿宋_GB2312" w:cs="DengXian-Regular"/>
          <w:sz w:val="32"/>
          <w:szCs w:val="32"/>
        </w:rPr>
        <w:t>万元，增</w:t>
      </w:r>
      <w:r>
        <w:rPr>
          <w:rFonts w:hint="eastAsia" w:ascii="仿宋_GB2312" w:eastAsia="仿宋_GB2312" w:cs="DengXian-Regular"/>
          <w:sz w:val="32"/>
          <w:szCs w:val="32"/>
          <w:lang w:val="en-US" w:eastAsia="zh-CN"/>
        </w:rPr>
        <w:t>长732.00</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辆，主要是</w:t>
      </w:r>
      <w:r>
        <w:rPr>
          <w:rFonts w:hint="eastAsia" w:ascii="仿宋_GB2312" w:eastAsia="仿宋_GB2312" w:cs="DengXian-Regular"/>
          <w:sz w:val="32"/>
          <w:szCs w:val="32"/>
          <w:lang w:val="en-US" w:eastAsia="zh-CN"/>
        </w:rPr>
        <w:t>本单位本年度无公务用车购置</w:t>
      </w:r>
      <w:r>
        <w:rPr>
          <w:rFonts w:hint="eastAsia" w:ascii="仿宋_GB2312" w:eastAsia="仿宋_GB2312" w:cs="DengXian-Regular"/>
          <w:sz w:val="32"/>
          <w:szCs w:val="32"/>
        </w:rPr>
        <w:t>。其中，副部（省）级及以上领导用车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辆，主要领导干部用车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辆，机要通信用车</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辆，应急保障用车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辆，执法执勤用车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辆，特种专业技术用车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辆，离退休干部用车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w:t>
      </w:r>
      <w:r>
        <w:rPr>
          <w:rFonts w:hint="eastAsia" w:ascii="仿宋_GB2312" w:eastAsia="仿宋_GB2312" w:cs="DengXian-Regular"/>
          <w:sz w:val="32"/>
          <w:szCs w:val="32"/>
          <w:lang w:val="en-US" w:eastAsia="zh-CN"/>
        </w:rPr>
        <w:t>本单位无</w:t>
      </w:r>
      <w:r>
        <w:rPr>
          <w:rFonts w:hint="eastAsia" w:ascii="仿宋_GB2312" w:eastAsia="仿宋_GB2312" w:cs="DengXian-Regular"/>
          <w:sz w:val="32"/>
          <w:szCs w:val="32"/>
        </w:rPr>
        <w:t>其他用车；单位价值</w:t>
      </w:r>
      <w:r>
        <w:rPr>
          <w:rFonts w:ascii="仿宋_GB2312" w:hAnsi="TimesNewRomanPSMT" w:eastAsia="仿宋_GB2312" w:cs="TimesNewRomanPSMT"/>
          <w:sz w:val="32"/>
          <w:szCs w:val="32"/>
        </w:rPr>
        <w:t>50</w:t>
      </w:r>
      <w:r>
        <w:rPr>
          <w:rFonts w:hint="eastAsia" w:ascii="仿宋_GB2312" w:eastAsia="仿宋_GB2312" w:cs="DengXian-Regular"/>
          <w:sz w:val="32"/>
          <w:szCs w:val="32"/>
        </w:rPr>
        <w:t>万元以上通用设备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套，主要是</w:t>
      </w:r>
      <w:r>
        <w:rPr>
          <w:rFonts w:hint="eastAsia" w:ascii="仿宋_GB2312" w:eastAsia="仿宋_GB2312" w:cs="DengXian-Regular"/>
          <w:sz w:val="32"/>
          <w:szCs w:val="32"/>
          <w:lang w:val="en-US" w:eastAsia="zh-CN"/>
        </w:rPr>
        <w:t>本单位无价值在50万元以上的通用设备</w:t>
      </w:r>
      <w:r>
        <w:rPr>
          <w:rFonts w:hint="eastAsia" w:ascii="仿宋_GB2312"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eastAsia="仿宋_GB2312" w:cs="DengXian-Regular"/>
          <w:sz w:val="32"/>
          <w:szCs w:val="32"/>
        </w:rPr>
        <w:t>万元以上专用设备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套</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本单位无价值在100万元以上的专用设备</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bookmarkStart w:id="0" w:name="_GoBack"/>
      <w:bookmarkEnd w:id="0"/>
    </w:p>
    <w:p>
      <w:pPr>
        <w:adjustRightInd w:val="0"/>
        <w:snapToGrid w:val="0"/>
        <w:spacing w:after="0" w:line="580" w:lineRule="exact"/>
        <w:ind w:firstLine="640" w:firstLineChars="200"/>
        <w:rPr>
          <w:rFonts w:hint="eastAsia" w:ascii="仿宋_GB2312" w:eastAsia="仿宋_GB2312" w:cs="DengXian-Regular"/>
          <w:sz w:val="32"/>
          <w:szCs w:val="32"/>
        </w:rPr>
      </w:pPr>
      <w:r>
        <w:rPr>
          <w:rFonts w:ascii="仿宋_GB2312" w:eastAsia="仿宋_GB2312" w:cs="DengXian-Regular"/>
          <w:sz w:val="32"/>
          <w:szCs w:val="32"/>
        </w:rPr>
        <w:t>1</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hint="eastAsia" w:ascii="仿宋_GB2312" w:hAnsi="Cambria" w:eastAsia="仿宋_GB2312" w:cs="ArialUnicodeMS"/>
          <w:kern w:val="0"/>
          <w:sz w:val="32"/>
          <w:szCs w:val="32"/>
          <w:lang w:eastAsia="zh-CN"/>
        </w:rPr>
        <w:t>无政府性基金财政拨款收入</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按照要求</w:t>
      </w:r>
      <w:r>
        <w:rPr>
          <w:rFonts w:hint="eastAsia" w:ascii="仿宋_GB2312" w:eastAsia="仿宋_GB2312" w:cs="DengXian-Regular"/>
          <w:sz w:val="32"/>
          <w:szCs w:val="32"/>
        </w:rPr>
        <w:t>以空表列示。</w:t>
      </w:r>
    </w:p>
    <w:p>
      <w:pPr>
        <w:adjustRightInd w:val="0"/>
        <w:snapToGrid w:val="0"/>
        <w:spacing w:after="0" w:line="580" w:lineRule="exact"/>
        <w:ind w:firstLine="640" w:firstLineChars="200"/>
        <w:rPr>
          <w:rFonts w:hint="eastAsia" w:ascii="仿宋_GB2312" w:eastAsia="仿宋_GB2312" w:cs="DengXian-Regular"/>
          <w:sz w:val="32"/>
          <w:szCs w:val="32"/>
          <w:lang w:eastAsia="zh-CN"/>
        </w:rPr>
      </w:pPr>
      <w:r>
        <w:rPr>
          <w:rFonts w:hint="eastAsia" w:ascii="仿宋_GB2312" w:eastAsia="仿宋_GB2312" w:cs="DengXian-Regular"/>
          <w:sz w:val="32"/>
          <w:szCs w:val="32"/>
          <w:lang w:val="en-US" w:eastAsia="zh-CN"/>
        </w:rPr>
        <w:t>2、本部门2018年度无</w:t>
      </w:r>
      <w:r>
        <w:rPr>
          <w:rFonts w:hint="eastAsia" w:ascii="仿宋_GB2312" w:hAnsi="Cambria" w:eastAsia="仿宋_GB2312" w:cs="ArialUnicodeMS"/>
          <w:kern w:val="0"/>
          <w:sz w:val="32"/>
          <w:szCs w:val="32"/>
          <w:lang w:eastAsia="zh-CN"/>
        </w:rPr>
        <w:t>国有资本经营预算财政拨款</w:t>
      </w:r>
      <w:r>
        <w:rPr>
          <w:rFonts w:hint="eastAsia" w:ascii="仿宋_GB2312" w:hAnsi="Cambria" w:eastAsia="仿宋_GB2312" w:cs="ArialUnicodeMS"/>
          <w:kern w:val="0"/>
          <w:sz w:val="32"/>
          <w:szCs w:val="32"/>
          <w:lang w:val="en-US" w:eastAsia="zh-CN"/>
        </w:rPr>
        <w:t>收入，按照要求</w:t>
      </w:r>
      <w:r>
        <w:rPr>
          <w:rFonts w:hint="eastAsia" w:ascii="仿宋_GB2312" w:eastAsia="仿宋_GB2312" w:cs="DengXian-Regular"/>
          <w:sz w:val="32"/>
          <w:szCs w:val="32"/>
        </w:rPr>
        <w:t>以空表列示</w:t>
      </w:r>
      <w:r>
        <w:rPr>
          <w:rFonts w:hint="eastAsia" w:ascii="仿宋_GB2312" w:eastAsia="仿宋_GB2312" w:cs="DengXian-Regular"/>
          <w:sz w:val="32"/>
          <w:szCs w:val="32"/>
          <w:lang w:eastAsia="zh-CN"/>
        </w:rPr>
        <w:t>。</w:t>
      </w:r>
    </w:p>
    <w:p>
      <w:pPr>
        <w:adjustRightInd w:val="0"/>
        <w:snapToGrid w:val="0"/>
        <w:spacing w:after="0" w:line="580" w:lineRule="exact"/>
        <w:ind w:firstLine="640" w:firstLineChars="200"/>
        <w:rPr>
          <w:rFonts w:hint="default" w:ascii="仿宋_GB2312" w:eastAsia="仿宋_GB2312" w:cs="DengXian-Regular"/>
          <w:sz w:val="32"/>
          <w:szCs w:val="32"/>
          <w:lang w:val="en-US" w:eastAsia="zh-CN"/>
        </w:rPr>
      </w:pPr>
      <w:r>
        <w:rPr>
          <w:rFonts w:hint="eastAsia" w:ascii="仿宋_GB2312" w:eastAsia="仿宋_GB2312" w:cs="DengXian-Regular"/>
          <w:sz w:val="32"/>
          <w:szCs w:val="32"/>
          <w:lang w:val="en-US" w:eastAsia="zh-CN"/>
        </w:rPr>
        <w:t>3、本部门2018年度</w:t>
      </w:r>
      <w:r>
        <w:rPr>
          <w:rFonts w:hint="eastAsia" w:ascii="仿宋_GB2312" w:hAnsi="Cambria" w:eastAsia="仿宋_GB2312" w:cs="ArialUnicodeMS"/>
          <w:kern w:val="0"/>
          <w:sz w:val="32"/>
          <w:szCs w:val="32"/>
          <w:lang w:eastAsia="zh-CN"/>
        </w:rPr>
        <w:t>无政府采购</w:t>
      </w:r>
      <w:r>
        <w:rPr>
          <w:rFonts w:hint="eastAsia" w:ascii="仿宋_GB2312" w:hAnsi="Cambria" w:eastAsia="仿宋_GB2312" w:cs="ArialUnicodeMS"/>
          <w:kern w:val="0"/>
          <w:sz w:val="32"/>
          <w:szCs w:val="32"/>
          <w:lang w:val="en-US" w:eastAsia="zh-CN"/>
        </w:rPr>
        <w:t>情况，</w:t>
      </w:r>
      <w:r>
        <w:rPr>
          <w:rFonts w:hint="eastAsia" w:ascii="仿宋_GB2312" w:eastAsia="仿宋_GB2312" w:cs="DengXian-Regular"/>
          <w:sz w:val="32"/>
          <w:szCs w:val="32"/>
          <w:lang w:val="en-US" w:eastAsia="zh-CN"/>
        </w:rPr>
        <w:t>按照要求</w:t>
      </w:r>
      <w:r>
        <w:rPr>
          <w:rFonts w:hint="eastAsia" w:ascii="仿宋_GB2312" w:eastAsia="仿宋_GB2312" w:cs="DengXian-Regular"/>
          <w:sz w:val="32"/>
          <w:szCs w:val="32"/>
        </w:rPr>
        <w:t>以空表列示。</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lang w:val="en-US" w:eastAsia="zh-CN"/>
        </w:rPr>
        <w:t>4</w:t>
      </w:r>
      <w:r>
        <w:rPr>
          <w:rFonts w:hint="eastAsia" w:ascii="仿宋_GB2312" w:eastAsia="仿宋_GB2312" w:cs="DengXian-Regular"/>
          <w:sz w:val="32"/>
          <w:szCs w:val="32"/>
        </w:rPr>
        <w:t>、由于决算公开表格中金额数值应当保留两位小数，公开数据为四舍五入计算结</w:t>
      </w:r>
      <w:r>
        <w:pict>
          <v:group id="_x0000_s1115" o:spid="_x0000_s1115" o:spt="203" style="position:absolute;left:0pt;margin-left:-79.5pt;margin-top:29.3pt;height:43.95pt;width:301.85pt;mso-position-vertical-relative:page;z-index:251688960;mso-width-relative:page;mso-height-relative:page;" coordorigin="4551,52615" coordsize="8546,1398">
            <o:lock v:ext="edit"/>
            <v:rect id="矩形 13" o:spid="_x0000_s1116" o:spt="1" style="position:absolute;left:4551;top:52615;height:1175;width:8546;v-text-anchor:middle;" fillcolor="#96DA9D" filled="t" stroked="f" coordsize="21600,21600">
              <v:path/>
              <v:fill on="t" focussize="0,0"/>
              <v:stroke on="f" weight="2pt"/>
              <v:imagedata o:title=""/>
              <o:lock v:ext="edit"/>
            </v:rect>
            <v:rect id="矩形 14" o:spid="_x0000_s111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21" o:spid="_x0000_s1118" o:spt="75" alt="2" type="#_x0000_t75" style="position:absolute;left:0pt;margin-left:-79.45pt;margin-top:-105.35pt;height:840.95pt;width:594.5pt;z-index:-251648000;mso-width-relative:page;mso-height-relative:page;" filled="f" o:preferrelative="t" stroked="f" coordsize="21600,21600">
            <v:path/>
            <v:fill on="f" focussize="0,0"/>
            <v:stroke on="f" joinstyle="miter"/>
            <v:imagedata r:id="rId7" o:title=""/>
            <o:lock v:ext="edit" aspectratio="t"/>
          </v:shape>
        </w:pict>
      </w:r>
      <w:r>
        <w:pict>
          <v:shape id="文本框 22" o:spid="_x0000_s1119" o:spt="202" type="#_x0000_t202" style="position:absolute;left:0pt;margin-left:-78.7pt;margin-top:232.8pt;height:159.1pt;width:596.2pt;z-index:251667456;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w:pict>
          <v:group id="组合 149" o:spid="_x0000_s1120" o:spt="203" style="position:absolute;left:0pt;margin-left:-81.05pt;margin-top:39.65pt;height:43.95pt;width:264.85pt;mso-position-vertical-relative:page;z-index:251671552;mso-width-relative:page;mso-height-relative:page;" coordorigin="4551,52615" coordsize="8546,1398">
            <o:lock v:ext="edit"/>
            <v:rect id="矩形 13" o:spid="_x0000_s1121" o:spt="1" style="position:absolute;left:4551;top:52615;height:1175;width:8546;v-text-anchor:middle;" fillcolor="#96DA9D" filled="t" stroked="f" coordsize="21600,21600">
              <v:path/>
              <v:fill on="t" focussize="0,0"/>
              <v:stroke on="f" weight="2pt"/>
              <v:imagedata o:title=""/>
              <o:lock v:ext="edit"/>
            </v:rect>
            <v:rect id="矩形 14" o:spid="_x0000_s112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pict>
          <v:group id="组合 94" o:spid="_x0000_s1123" o:spt="203" style="position:absolute;left:0pt;margin-left:-81.05pt;margin-top:39.65pt;height:43.95pt;width:264.85pt;mso-position-vertical-relative:page;z-index:251689984;mso-width-relative:page;mso-height-relative:page;" coordorigin="4551,52615" coordsize="8546,1398">
            <o:lock v:ext="edit"/>
            <v:rect id="矩形 13" o:spid="_x0000_s1124" o:spt="1" style="position:absolute;left:4551;top:52615;height:1175;width:8546;v-text-anchor:middle;" fillcolor="#96DA9D" filled="t" stroked="f" coordsize="21600,21600">
              <v:path/>
              <v:fill on="t" focussize="0,0"/>
              <v:stroke on="f" weight="2pt"/>
              <v:imagedata o:title=""/>
              <o:lock v:ext="edit"/>
            </v:rect>
            <v:rect id="矩形 14" o:spid="_x0000_s112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w:pict>
          <v:group id="组合 97" o:spid="_x0000_s1126" o:spt="203" style="position:absolute;left:0pt;margin-left:-81.05pt;margin-top:39.65pt;height:43.95pt;width:264.85pt;mso-position-vertical-relative:page;z-index:251691008;mso-width-relative:page;mso-height-relative:page;" coordorigin="4551,52615" coordsize="8546,1398">
            <o:lock v:ext="edit"/>
            <v:rect id="矩形 13" o:spid="_x0000_s1127" o:spt="1" style="position:absolute;left:4551;top:52615;height:1175;width:8546;v-text-anchor:middle;" fillcolor="#96DA9D" filled="t" stroked="f" coordsize="21600,21600">
              <v:path/>
              <v:fill on="t" focussize="0,0"/>
              <v:stroke on="f" weight="2pt"/>
              <v:imagedata o:title=""/>
              <o:lock v:ext="edit"/>
            </v:rect>
            <v:rect id="矩形 14" o:spid="_x0000_s112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hAnsi="Cambria" w:eastAsia="仿宋_GB2312" w:cs="ArialUnicodeMS"/>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Pr>
        <w:widowControl/>
        <w:spacing w:after="0" w:line="560" w:lineRule="exact"/>
        <w:ind w:firstLine="420" w:firstLineChars="200"/>
        <w:rPr>
          <w:rFonts w:ascii="仿宋_GB2312" w:hAnsi="Cambria" w:eastAsia="仿宋_GB2312" w:cs="ArialUnicodeMS"/>
          <w:kern w:val="0"/>
          <w:sz w:val="32"/>
          <w:szCs w:val="32"/>
        </w:rPr>
      </w:pPr>
      <w:r>
        <w:pict>
          <v:shape id="图片 101" o:spid="_x0000_s1129" o:spt="75" alt="3" type="#_x0000_t75" style="position:absolute;left:0pt;margin-left:-78pt;margin-top:-106.7pt;height:845.35pt;width:597.65pt;z-index:-251646976;mso-width-relative:page;mso-height-relative:page;" filled="f" o:preferrelative="t" stroked="f" coordsize="21600,21600">
            <v:path/>
            <v:fill on="f" focussize="0,0"/>
            <v:stroke on="f" joinstyle="miter"/>
            <v:imagedata r:id="rId8" o:title=""/>
            <o:lock v:ext="edit" aspectratio="t"/>
          </v:shape>
        </w:pict>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font>
  <w:font w:name="DengXian-Regular">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B9A8B1"/>
    <w:multiLevelType w:val="singleLevel"/>
    <w:tmpl w:val="82B9A8B1"/>
    <w:lvl w:ilvl="0" w:tentative="0">
      <w:start w:val="2"/>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2">
    <w:nsid w:val="5370CA9B"/>
    <w:multiLevelType w:val="singleLevel"/>
    <w:tmpl w:val="5370CA9B"/>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4E7F"/>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23803"/>
    <w:rsid w:val="00641318"/>
    <w:rsid w:val="0064405D"/>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09D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C12630"/>
    <w:rsid w:val="00C12A97"/>
    <w:rsid w:val="00C34562"/>
    <w:rsid w:val="00C3774E"/>
    <w:rsid w:val="00C57456"/>
    <w:rsid w:val="00C65387"/>
    <w:rsid w:val="00C87FAB"/>
    <w:rsid w:val="00C91FF7"/>
    <w:rsid w:val="00C94E53"/>
    <w:rsid w:val="00CC46BD"/>
    <w:rsid w:val="00D0048E"/>
    <w:rsid w:val="00D23E7A"/>
    <w:rsid w:val="00D61063"/>
    <w:rsid w:val="00DB35AF"/>
    <w:rsid w:val="00DB73C3"/>
    <w:rsid w:val="00DD72D7"/>
    <w:rsid w:val="00DF5B88"/>
    <w:rsid w:val="00E0589E"/>
    <w:rsid w:val="00E241FA"/>
    <w:rsid w:val="00E2595E"/>
    <w:rsid w:val="00E35374"/>
    <w:rsid w:val="00E50C19"/>
    <w:rsid w:val="00E64655"/>
    <w:rsid w:val="00E73081"/>
    <w:rsid w:val="00E856C9"/>
    <w:rsid w:val="00EB6A8B"/>
    <w:rsid w:val="00EC3B45"/>
    <w:rsid w:val="00EF38C6"/>
    <w:rsid w:val="00F679C7"/>
    <w:rsid w:val="00F7711A"/>
    <w:rsid w:val="00FA0D58"/>
    <w:rsid w:val="00FA56F4"/>
    <w:rsid w:val="00FB4EDA"/>
    <w:rsid w:val="00FC4766"/>
    <w:rsid w:val="00FD3BD5"/>
    <w:rsid w:val="00FE3DC8"/>
    <w:rsid w:val="022E659F"/>
    <w:rsid w:val="032B2E36"/>
    <w:rsid w:val="034D64B9"/>
    <w:rsid w:val="04073F84"/>
    <w:rsid w:val="04B97569"/>
    <w:rsid w:val="06B73930"/>
    <w:rsid w:val="077258DC"/>
    <w:rsid w:val="08F327AC"/>
    <w:rsid w:val="098F3312"/>
    <w:rsid w:val="0B2B5F2C"/>
    <w:rsid w:val="0B383911"/>
    <w:rsid w:val="0B60750A"/>
    <w:rsid w:val="0BBF2141"/>
    <w:rsid w:val="0C3635DE"/>
    <w:rsid w:val="0D022E55"/>
    <w:rsid w:val="0DBF205B"/>
    <w:rsid w:val="10686488"/>
    <w:rsid w:val="10DF728A"/>
    <w:rsid w:val="1107795A"/>
    <w:rsid w:val="11BF340A"/>
    <w:rsid w:val="11C147C0"/>
    <w:rsid w:val="1264200E"/>
    <w:rsid w:val="1390047A"/>
    <w:rsid w:val="141C5B77"/>
    <w:rsid w:val="14BD558B"/>
    <w:rsid w:val="14D86769"/>
    <w:rsid w:val="153D55D6"/>
    <w:rsid w:val="15DC2405"/>
    <w:rsid w:val="18076C28"/>
    <w:rsid w:val="18902DFB"/>
    <w:rsid w:val="18D8339D"/>
    <w:rsid w:val="1A21388F"/>
    <w:rsid w:val="1A516A7D"/>
    <w:rsid w:val="1A570D2F"/>
    <w:rsid w:val="1A92120E"/>
    <w:rsid w:val="1B401E0C"/>
    <w:rsid w:val="1C857B4E"/>
    <w:rsid w:val="1D4F4AE3"/>
    <w:rsid w:val="1EB45207"/>
    <w:rsid w:val="1EE441A7"/>
    <w:rsid w:val="204C6988"/>
    <w:rsid w:val="21F00B44"/>
    <w:rsid w:val="22757A65"/>
    <w:rsid w:val="23002AFC"/>
    <w:rsid w:val="24B36067"/>
    <w:rsid w:val="253D4A81"/>
    <w:rsid w:val="27AA3F00"/>
    <w:rsid w:val="27EC5A7D"/>
    <w:rsid w:val="2825038A"/>
    <w:rsid w:val="282D6BE5"/>
    <w:rsid w:val="28FB0B8D"/>
    <w:rsid w:val="2A234E4A"/>
    <w:rsid w:val="2BC71C65"/>
    <w:rsid w:val="2C627E5E"/>
    <w:rsid w:val="2D2B7942"/>
    <w:rsid w:val="2D46481D"/>
    <w:rsid w:val="2D731CE8"/>
    <w:rsid w:val="2DC0504D"/>
    <w:rsid w:val="2E733B28"/>
    <w:rsid w:val="2F0E14B5"/>
    <w:rsid w:val="2FC92D8C"/>
    <w:rsid w:val="308E6CE2"/>
    <w:rsid w:val="31852B5A"/>
    <w:rsid w:val="32D01238"/>
    <w:rsid w:val="32ED666D"/>
    <w:rsid w:val="339C5A1D"/>
    <w:rsid w:val="349011C6"/>
    <w:rsid w:val="34FF1A4A"/>
    <w:rsid w:val="36BF3654"/>
    <w:rsid w:val="36E30F4D"/>
    <w:rsid w:val="37336349"/>
    <w:rsid w:val="37AD7642"/>
    <w:rsid w:val="37C4543F"/>
    <w:rsid w:val="397B6C78"/>
    <w:rsid w:val="39825198"/>
    <w:rsid w:val="39F40951"/>
    <w:rsid w:val="3A1C7C89"/>
    <w:rsid w:val="3C126B48"/>
    <w:rsid w:val="3CB56D25"/>
    <w:rsid w:val="3CC11C71"/>
    <w:rsid w:val="3DFC59A8"/>
    <w:rsid w:val="3ECF245E"/>
    <w:rsid w:val="3FB96314"/>
    <w:rsid w:val="41162D0E"/>
    <w:rsid w:val="41804BDC"/>
    <w:rsid w:val="41F45F81"/>
    <w:rsid w:val="431234D2"/>
    <w:rsid w:val="43EE76C3"/>
    <w:rsid w:val="43F41D94"/>
    <w:rsid w:val="440C2774"/>
    <w:rsid w:val="45322CFD"/>
    <w:rsid w:val="470063E6"/>
    <w:rsid w:val="47E51226"/>
    <w:rsid w:val="48807A20"/>
    <w:rsid w:val="4AA21A9D"/>
    <w:rsid w:val="4B1D3BE4"/>
    <w:rsid w:val="4B8A14FD"/>
    <w:rsid w:val="4C067066"/>
    <w:rsid w:val="4CC0186C"/>
    <w:rsid w:val="4D685BDB"/>
    <w:rsid w:val="4DEA4AD3"/>
    <w:rsid w:val="4E210876"/>
    <w:rsid w:val="4EE90882"/>
    <w:rsid w:val="4EEB5105"/>
    <w:rsid w:val="4F0C49B5"/>
    <w:rsid w:val="4F640A40"/>
    <w:rsid w:val="4FB71F9A"/>
    <w:rsid w:val="513F0880"/>
    <w:rsid w:val="516B357A"/>
    <w:rsid w:val="51825BBC"/>
    <w:rsid w:val="52F31C13"/>
    <w:rsid w:val="5343076F"/>
    <w:rsid w:val="53A44FAF"/>
    <w:rsid w:val="54517935"/>
    <w:rsid w:val="54F900BC"/>
    <w:rsid w:val="56524011"/>
    <w:rsid w:val="5847181C"/>
    <w:rsid w:val="58B6614E"/>
    <w:rsid w:val="594329EC"/>
    <w:rsid w:val="5BEE1540"/>
    <w:rsid w:val="5C32595F"/>
    <w:rsid w:val="5CC2083A"/>
    <w:rsid w:val="5DE61A5D"/>
    <w:rsid w:val="5EFD6915"/>
    <w:rsid w:val="5F974ECD"/>
    <w:rsid w:val="5FEF62FC"/>
    <w:rsid w:val="60081946"/>
    <w:rsid w:val="63C04243"/>
    <w:rsid w:val="647E443F"/>
    <w:rsid w:val="649C01C7"/>
    <w:rsid w:val="66887CCA"/>
    <w:rsid w:val="67615C1C"/>
    <w:rsid w:val="67837559"/>
    <w:rsid w:val="678B05B7"/>
    <w:rsid w:val="68B05C5D"/>
    <w:rsid w:val="699A3F60"/>
    <w:rsid w:val="6B2A3C3A"/>
    <w:rsid w:val="6B9A6AB1"/>
    <w:rsid w:val="6BD5756E"/>
    <w:rsid w:val="6C0B3740"/>
    <w:rsid w:val="6CC70C09"/>
    <w:rsid w:val="6DF26F22"/>
    <w:rsid w:val="6F77004B"/>
    <w:rsid w:val="6F9E1535"/>
    <w:rsid w:val="708375E6"/>
    <w:rsid w:val="70995B03"/>
    <w:rsid w:val="710B2A91"/>
    <w:rsid w:val="72902E62"/>
    <w:rsid w:val="735B1974"/>
    <w:rsid w:val="73786022"/>
    <w:rsid w:val="73BA6382"/>
    <w:rsid w:val="73C61104"/>
    <w:rsid w:val="740A2647"/>
    <w:rsid w:val="74612AE1"/>
    <w:rsid w:val="75177843"/>
    <w:rsid w:val="76C82690"/>
    <w:rsid w:val="776452EA"/>
    <w:rsid w:val="77FE224B"/>
    <w:rsid w:val="78205CF5"/>
    <w:rsid w:val="785400BE"/>
    <w:rsid w:val="78831665"/>
    <w:rsid w:val="79B20C9B"/>
    <w:rsid w:val="7BB41DB5"/>
    <w:rsid w:val="7DC663B9"/>
    <w:rsid w:val="7DCE2DB5"/>
    <w:rsid w:val="7E0E7C38"/>
    <w:rsid w:val="7EC86561"/>
    <w:rsid w:val="7FD2103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7"/>
    <w:qFormat/>
    <w:uiPriority w:val="99"/>
    <w:pPr>
      <w:keepNext/>
      <w:keepLines/>
      <w:spacing w:before="260" w:after="260" w:line="416" w:lineRule="auto"/>
      <w:outlineLvl w:val="2"/>
    </w:pPr>
    <w:rPr>
      <w:b/>
      <w:bCs/>
      <w:sz w:val="32"/>
      <w:szCs w:val="32"/>
    </w:rPr>
  </w:style>
  <w:style w:type="paragraph" w:styleId="5">
    <w:name w:val="heading 4"/>
    <w:basedOn w:val="1"/>
    <w:next w:val="1"/>
    <w:link w:val="18"/>
    <w:qFormat/>
    <w:uiPriority w:val="99"/>
    <w:pPr>
      <w:keepNext/>
      <w:keepLines/>
      <w:spacing w:before="280" w:after="290" w:line="376" w:lineRule="auto"/>
      <w:outlineLvl w:val="3"/>
    </w:pPr>
    <w:rPr>
      <w:rFonts w:ascii="Calibri" w:hAnsi="Calibri"/>
      <w:b/>
      <w:bCs/>
      <w:sz w:val="28"/>
      <w:szCs w:val="28"/>
    </w:rPr>
  </w:style>
  <w:style w:type="character" w:default="1" w:styleId="14">
    <w:name w:val="Default Paragraph Font"/>
    <w:semiHidden/>
    <w:qFormat/>
    <w:uiPriority w:val="99"/>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19"/>
    <w:semiHidden/>
    <w:qFormat/>
    <w:uiPriority w:val="99"/>
    <w:pPr>
      <w:ind w:left="100" w:leftChars="2500"/>
    </w:pPr>
  </w:style>
  <w:style w:type="paragraph" w:styleId="7">
    <w:name w:val="Balloon Text"/>
    <w:basedOn w:val="1"/>
    <w:link w:val="20"/>
    <w:semiHidden/>
    <w:qFormat/>
    <w:uiPriority w:val="99"/>
    <w:rPr>
      <w:sz w:val="18"/>
      <w:szCs w:val="18"/>
    </w:rPr>
  </w:style>
  <w:style w:type="paragraph" w:styleId="8">
    <w:name w:val="footer"/>
    <w:basedOn w:val="1"/>
    <w:link w:val="21"/>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2"/>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3"/>
    <w:qFormat/>
    <w:uiPriority w:val="99"/>
    <w:pPr>
      <w:widowControl/>
      <w:spacing w:after="200" w:line="276" w:lineRule="auto"/>
      <w:jc w:val="left"/>
    </w:pPr>
    <w:rPr>
      <w:rFonts w:ascii="Calibri" w:hAnsi="Calibri"/>
      <w:i/>
      <w:iCs/>
      <w:color w:val="F0A22E"/>
      <w:spacing w:val="15"/>
      <w:kern w:val="0"/>
      <w:sz w:val="24"/>
    </w:rPr>
  </w:style>
  <w:style w:type="paragraph" w:styleId="11">
    <w:name w:val="Title"/>
    <w:basedOn w:val="1"/>
    <w:next w:val="1"/>
    <w:link w:val="24"/>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3">
    <w:name w:val="Table Grid"/>
    <w:basedOn w:val="12"/>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
    <w:name w:val="Heading 1 Char"/>
    <w:basedOn w:val="14"/>
    <w:link w:val="2"/>
    <w:qFormat/>
    <w:locked/>
    <w:uiPriority w:val="99"/>
    <w:rPr>
      <w:rFonts w:ascii="Times New Roman" w:hAnsi="Times New Roman" w:eastAsia="宋体" w:cs="Times New Roman"/>
      <w:b/>
      <w:bCs/>
      <w:kern w:val="44"/>
      <w:sz w:val="44"/>
      <w:szCs w:val="44"/>
    </w:rPr>
  </w:style>
  <w:style w:type="character" w:customStyle="1" w:styleId="16">
    <w:name w:val="Heading 2 Char"/>
    <w:basedOn w:val="14"/>
    <w:link w:val="3"/>
    <w:qFormat/>
    <w:locked/>
    <w:uiPriority w:val="99"/>
    <w:rPr>
      <w:rFonts w:ascii="Calibri" w:hAnsi="Calibri" w:eastAsia="宋体" w:cs="Times New Roman"/>
      <w:b/>
      <w:bCs/>
      <w:sz w:val="32"/>
      <w:szCs w:val="32"/>
    </w:rPr>
  </w:style>
  <w:style w:type="character" w:customStyle="1" w:styleId="17">
    <w:name w:val="Heading 3 Char"/>
    <w:basedOn w:val="14"/>
    <w:link w:val="4"/>
    <w:qFormat/>
    <w:locked/>
    <w:uiPriority w:val="99"/>
    <w:rPr>
      <w:rFonts w:ascii="Times New Roman" w:hAnsi="Times New Roman" w:eastAsia="宋体" w:cs="Times New Roman"/>
      <w:b/>
      <w:bCs/>
      <w:sz w:val="32"/>
      <w:szCs w:val="32"/>
    </w:rPr>
  </w:style>
  <w:style w:type="character" w:customStyle="1" w:styleId="18">
    <w:name w:val="Heading 4 Char"/>
    <w:basedOn w:val="14"/>
    <w:link w:val="5"/>
    <w:qFormat/>
    <w:locked/>
    <w:uiPriority w:val="99"/>
    <w:rPr>
      <w:rFonts w:ascii="Calibri" w:hAnsi="Calibri" w:eastAsia="宋体" w:cs="Times New Roman"/>
      <w:b/>
      <w:bCs/>
      <w:sz w:val="28"/>
      <w:szCs w:val="28"/>
    </w:rPr>
  </w:style>
  <w:style w:type="character" w:customStyle="1" w:styleId="19">
    <w:name w:val="Date Char"/>
    <w:basedOn w:val="14"/>
    <w:link w:val="6"/>
    <w:semiHidden/>
    <w:qFormat/>
    <w:locked/>
    <w:uiPriority w:val="99"/>
    <w:rPr>
      <w:rFonts w:ascii="Times New Roman" w:hAnsi="Times New Roman" w:eastAsia="宋体" w:cs="Times New Roman"/>
      <w:sz w:val="24"/>
      <w:szCs w:val="24"/>
    </w:rPr>
  </w:style>
  <w:style w:type="character" w:customStyle="1" w:styleId="20">
    <w:name w:val="Balloon Text Char"/>
    <w:basedOn w:val="14"/>
    <w:link w:val="7"/>
    <w:semiHidden/>
    <w:qFormat/>
    <w:locked/>
    <w:uiPriority w:val="99"/>
    <w:rPr>
      <w:rFonts w:ascii="Times New Roman" w:hAnsi="Times New Roman" w:eastAsia="宋体" w:cs="Times New Roman"/>
      <w:sz w:val="18"/>
      <w:szCs w:val="18"/>
    </w:rPr>
  </w:style>
  <w:style w:type="character" w:customStyle="1" w:styleId="21">
    <w:name w:val="Footer Char"/>
    <w:basedOn w:val="14"/>
    <w:link w:val="8"/>
    <w:qFormat/>
    <w:locked/>
    <w:uiPriority w:val="99"/>
    <w:rPr>
      <w:rFonts w:cs="Times New Roman"/>
      <w:sz w:val="18"/>
      <w:szCs w:val="18"/>
    </w:rPr>
  </w:style>
  <w:style w:type="character" w:customStyle="1" w:styleId="22">
    <w:name w:val="Header Char"/>
    <w:basedOn w:val="14"/>
    <w:link w:val="9"/>
    <w:qFormat/>
    <w:locked/>
    <w:uiPriority w:val="99"/>
    <w:rPr>
      <w:rFonts w:cs="Times New Roman"/>
      <w:sz w:val="18"/>
      <w:szCs w:val="18"/>
    </w:rPr>
  </w:style>
  <w:style w:type="character" w:customStyle="1" w:styleId="23">
    <w:name w:val="Subtitle Char"/>
    <w:basedOn w:val="14"/>
    <w:link w:val="10"/>
    <w:qFormat/>
    <w:locked/>
    <w:uiPriority w:val="99"/>
    <w:rPr>
      <w:rFonts w:ascii="Calibri" w:hAnsi="Calibri" w:eastAsia="宋体" w:cs="Times New Roman"/>
      <w:i/>
      <w:iCs/>
      <w:color w:val="F0A22E"/>
      <w:spacing w:val="15"/>
      <w:kern w:val="0"/>
      <w:sz w:val="24"/>
      <w:szCs w:val="24"/>
    </w:rPr>
  </w:style>
  <w:style w:type="character" w:customStyle="1" w:styleId="24">
    <w:name w:val="Title Char"/>
    <w:basedOn w:val="14"/>
    <w:link w:val="11"/>
    <w:qFormat/>
    <w:locked/>
    <w:uiPriority w:val="99"/>
    <w:rPr>
      <w:rFonts w:ascii="Calibri" w:hAnsi="Calibri" w:eastAsia="宋体" w:cs="Times New Roman"/>
      <w:color w:val="3A2C24"/>
      <w:spacing w:val="5"/>
      <w:kern w:val="28"/>
      <w:sz w:val="52"/>
      <w:szCs w:val="52"/>
    </w:rPr>
  </w:style>
  <w:style w:type="paragraph" w:styleId="25">
    <w:name w:val="No Spacing"/>
    <w:link w:val="26"/>
    <w:qFormat/>
    <w:uiPriority w:val="99"/>
    <w:pPr>
      <w:spacing w:after="160" w:line="480" w:lineRule="auto"/>
    </w:pPr>
    <w:rPr>
      <w:rFonts w:ascii="Cambria" w:hAnsi="Cambria" w:eastAsia="黑体" w:cs="Times New Roman"/>
      <w:kern w:val="0"/>
      <w:sz w:val="22"/>
      <w:szCs w:val="22"/>
      <w:lang w:val="en-US" w:eastAsia="zh-CN" w:bidi="ar-SA"/>
    </w:rPr>
  </w:style>
  <w:style w:type="character" w:customStyle="1" w:styleId="26">
    <w:name w:val="No Spacing Char"/>
    <w:basedOn w:val="14"/>
    <w:link w:val="25"/>
    <w:qFormat/>
    <w:locked/>
    <w:uiPriority w:val="99"/>
    <w:rPr>
      <w:rFonts w:cs="Times New Roman"/>
      <w:sz w:val="22"/>
      <w:szCs w:val="22"/>
      <w:lang w:val="en-US" w:eastAsia="zh-CN" w:bidi="ar-SA"/>
    </w:rPr>
  </w:style>
  <w:style w:type="character" w:customStyle="1" w:styleId="27">
    <w:name w:val="Style1"/>
    <w:basedOn w:val="14"/>
    <w:qFormat/>
    <w:uiPriority w:val="99"/>
    <w:rPr>
      <w:rFonts w:ascii="Cambria" w:hAnsi="黑体" w:eastAsia="黑体" w:cs="Times New Roman"/>
      <w:sz w:val="22"/>
      <w:szCs w:val="22"/>
      <w:lang w:eastAsia="zh-CN"/>
    </w:rPr>
  </w:style>
  <w:style w:type="character" w:customStyle="1" w:styleId="28">
    <w:name w:val="Style2"/>
    <w:basedOn w:val="14"/>
    <w:qFormat/>
    <w:uiPriority w:val="99"/>
    <w:rPr>
      <w:rFonts w:ascii="Cambria" w:hAnsi="黑体" w:eastAsia="黑体" w:cs="Times New Roman"/>
      <w:sz w:val="22"/>
      <w:szCs w:val="22"/>
      <w:lang w:eastAsia="zh-CN"/>
    </w:rPr>
  </w:style>
  <w:style w:type="character" w:customStyle="1" w:styleId="29">
    <w:name w:val="Style3"/>
    <w:basedOn w:val="14"/>
    <w:qFormat/>
    <w:uiPriority w:val="99"/>
    <w:rPr>
      <w:rFonts w:ascii="Cambria" w:hAnsi="黑体" w:eastAsia="黑体" w:cs="Times New Roman"/>
      <w:sz w:val="22"/>
      <w:szCs w:val="22"/>
      <w:lang w:eastAsia="zh-CN"/>
    </w:rPr>
  </w:style>
  <w:style w:type="character" w:customStyle="1" w:styleId="30">
    <w:name w:val="Style4"/>
    <w:basedOn w:val="14"/>
    <w:qFormat/>
    <w:uiPriority w:val="99"/>
    <w:rPr>
      <w:rFonts w:ascii="Cambria" w:hAnsi="黑体" w:eastAsia="黑体" w:cs="Times New Roman"/>
      <w:sz w:val="22"/>
      <w:szCs w:val="22"/>
      <w:lang w:eastAsia="zh-CN"/>
    </w:rPr>
  </w:style>
  <w:style w:type="character" w:customStyle="1" w:styleId="31">
    <w:name w:val="Style5"/>
    <w:basedOn w:val="14"/>
    <w:qFormat/>
    <w:uiPriority w:val="99"/>
    <w:rPr>
      <w:rFonts w:ascii="Cambria" w:hAnsi="黑体" w:eastAsia="黑体" w:cs="Times New Roman"/>
      <w:sz w:val="22"/>
      <w:szCs w:val="22"/>
      <w:lang w:eastAsia="zh-CN"/>
    </w:rPr>
  </w:style>
  <w:style w:type="paragraph" w:styleId="3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9"/>
    <customShpInfo spid="_x0000_s1030"/>
    <customShpInfo spid="_x0000_s1028"/>
    <customShpInfo spid="_x0000_s1034"/>
    <customShpInfo spid="_x0000_s1035"/>
    <customShpInfo spid="_x0000_s1037"/>
    <customShpInfo spid="_x0000_s1038"/>
    <customShpInfo spid="_x0000_s1036"/>
    <customShpInfo spid="_x0000_s1039"/>
    <customShpInfo spid="_x0000_s1040"/>
    <customShpInfo spid="_x0000_s1042"/>
    <customShpInfo spid="_x0000_s1043"/>
    <customShpInfo spid="_x0000_s1041"/>
    <customShpInfo spid="_x0000_s1045"/>
    <customShpInfo spid="_x0000_s1046"/>
    <customShpInfo spid="_x0000_s1044"/>
    <customShpInfo spid="_x0000_s1048"/>
    <customShpInfo spid="_x0000_s1049"/>
    <customShpInfo spid="_x0000_s1047"/>
    <customShpInfo spid="_x0000_s1051"/>
    <customShpInfo spid="_x0000_s1052"/>
    <customShpInfo spid="_x0000_s1050"/>
    <customShpInfo spid="_x0000_s1054"/>
    <customShpInfo spid="_x0000_s1055"/>
    <customShpInfo spid="_x0000_s1053"/>
    <customShpInfo spid="_x0000_s1057"/>
    <customShpInfo spid="_x0000_s1058"/>
    <customShpInfo spid="_x0000_s1056"/>
    <customShpInfo spid="_x0000_s1060"/>
    <customShpInfo spid="_x0000_s1061"/>
    <customShpInfo spid="_x0000_s1059"/>
    <customShpInfo spid="_x0000_s1063"/>
    <customShpInfo spid="_x0000_s1064"/>
    <customShpInfo spid="_x0000_s1062"/>
    <customShpInfo spid="_x0000_s1066"/>
    <customShpInfo spid="_x0000_s1067"/>
    <customShpInfo spid="_x0000_s1065"/>
    <customShpInfo spid="_x0000_s1069"/>
    <customShpInfo spid="_x0000_s1070"/>
    <customShpInfo spid="_x0000_s1068"/>
    <customShpInfo spid="_x0000_s1071"/>
    <customShpInfo spid="_x0000_s1072"/>
    <customShpInfo spid="_x0000_s1074"/>
    <customShpInfo spid="_x0000_s1075"/>
    <customShpInfo spid="_x0000_s1073"/>
    <customShpInfo spid="_x0000_s1083"/>
    <customShpInfo spid="_x0000_s1084"/>
    <customShpInfo spid="_x0000_s1082"/>
    <customShpInfo spid="_x0000_s1092"/>
    <customShpInfo spid="_x0000_s1093"/>
    <customShpInfo spid="_x0000_s1091"/>
    <customShpInfo spid="_x0000_s1101"/>
    <customShpInfo spid="_x0000_s1102"/>
    <customShpInfo spid="_x0000_s1100"/>
    <customShpInfo spid="_x0000_s1104"/>
    <customShpInfo spid="_x0000_s1105"/>
    <customShpInfo spid="_x0000_s1103"/>
    <customShpInfo spid="_x0000_s1107"/>
    <customShpInfo spid="_x0000_s1108"/>
    <customShpInfo spid="_x0000_s1106"/>
    <customShpInfo spid="_x0000_s1110"/>
    <customShpInfo spid="_x0000_s1111"/>
    <customShpInfo spid="_x0000_s1109"/>
    <customShpInfo spid="_x0000_s1116"/>
    <customShpInfo spid="_x0000_s1117"/>
    <customShpInfo spid="_x0000_s1115"/>
    <customShpInfo spid="_x0000_s1118"/>
    <customShpInfo spid="_x0000_s1119"/>
    <customShpInfo spid="_x0000_s1121"/>
    <customShpInfo spid="_x0000_s1122"/>
    <customShpInfo spid="_x0000_s1120"/>
    <customShpInfo spid="_x0000_s1124"/>
    <customShpInfo spid="_x0000_s1125"/>
    <customShpInfo spid="_x0000_s1123"/>
    <customShpInfo spid="_x0000_s1127"/>
    <customShpInfo spid="_x0000_s1128"/>
    <customShpInfo spid="_x0000_s1126"/>
    <customShpInfo spid="_x0000_s11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33</Pages>
  <Words>1623</Words>
  <Characters>9257</Characters>
  <Lines>0</Lines>
  <Paragraphs>0</Paragraphs>
  <TotalTime>8</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2019-08-02T01:01:00Z</cp:lastPrinted>
  <dcterms:modified xsi:type="dcterms:W3CDTF">2021-06-23T06:06:44Z</dcterms:modified>
  <dc:subject>石家庄市xxx部门</dc:subject>
  <dc:title>2017年度部门决算</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4768F2A7885B40A585FED5E71FC2D9D5</vt:lpwstr>
  </property>
</Properties>
</file>