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72"/>
          <w:szCs w:val="96"/>
        </w:rPr>
      </w:pPr>
      <w:r>
        <w:rPr>
          <w:rFonts w:hint="eastAsia" w:ascii="黑体" w:hAnsi="黑体" w:eastAsia="黑体" w:cs="黑体"/>
          <w:sz w:val="72"/>
          <w:szCs w:val="96"/>
        </w:rPr>
        <w:t>部门整体支出绩效自评报告</w:t>
      </w:r>
    </w:p>
    <w:p>
      <w:pPr>
        <w:jc w:val="center"/>
        <w:rPr>
          <w:rFonts w:ascii="黑体" w:hAnsi="黑体" w:eastAsia="黑体" w:cs="黑体"/>
          <w:sz w:val="72"/>
          <w:szCs w:val="96"/>
        </w:rPr>
      </w:pPr>
      <w:r>
        <w:rPr>
          <w:rFonts w:hint="eastAsia" w:ascii="黑体" w:hAnsi="黑体" w:eastAsia="黑体" w:cs="黑体"/>
          <w:sz w:val="72"/>
          <w:szCs w:val="96"/>
        </w:rPr>
        <w:t>2020年度</w:t>
      </w: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36"/>
          <w:szCs w:val="36"/>
        </w:rPr>
      </w:pPr>
    </w:p>
    <w:p>
      <w:pPr>
        <w:spacing w:line="480" w:lineRule="auto"/>
        <w:jc w:val="center"/>
        <w:rPr>
          <w:rFonts w:ascii="黑体" w:hAnsi="黑体" w:eastAsia="黑体" w:cs="黑体"/>
          <w:sz w:val="36"/>
          <w:szCs w:val="36"/>
        </w:rPr>
      </w:pPr>
    </w:p>
    <w:p>
      <w:pPr>
        <w:spacing w:line="480" w:lineRule="auto"/>
        <w:jc w:val="center"/>
        <w:rPr>
          <w:rFonts w:ascii="黑体" w:hAnsi="黑体" w:eastAsia="黑体" w:cs="黑体"/>
          <w:sz w:val="36"/>
          <w:szCs w:val="36"/>
        </w:rPr>
      </w:pPr>
    </w:p>
    <w:p>
      <w:pPr>
        <w:jc w:val="center"/>
        <w:rPr>
          <w:rFonts w:ascii="楷体_GB2312" w:hAnsi="楷体_GB2312" w:eastAsia="楷体_GB2312" w:cs="楷体_GB2312"/>
          <w:color w:val="000000" w:themeColor="text1"/>
          <w:sz w:val="36"/>
          <w:szCs w:val="36"/>
        </w:rPr>
      </w:pPr>
      <w:r>
        <w:rPr>
          <w:rFonts w:hint="eastAsia" w:ascii="楷体_GB2312" w:hAnsi="楷体_GB2312" w:eastAsia="楷体_GB2312" w:cs="楷体_GB2312"/>
          <w:color w:val="000000" w:themeColor="text1"/>
          <w:sz w:val="36"/>
          <w:szCs w:val="36"/>
        </w:rPr>
        <w:t>阜平县财政局</w:t>
      </w:r>
    </w:p>
    <w:p>
      <w:pPr>
        <w:jc w:val="center"/>
        <w:rPr>
          <w:rFonts w:ascii="楷体_GB2312" w:hAnsi="楷体_GB2312" w:eastAsia="楷体_GB2312" w:cs="楷体_GB2312"/>
          <w:color w:val="000000" w:themeColor="text1"/>
          <w:sz w:val="36"/>
          <w:szCs w:val="36"/>
        </w:rPr>
      </w:pPr>
      <w:r>
        <w:rPr>
          <w:rFonts w:hint="eastAsia" w:ascii="楷体_GB2312" w:hAnsi="楷体_GB2312" w:eastAsia="楷体_GB2312" w:cs="楷体_GB2312"/>
          <w:color w:val="000000" w:themeColor="text1"/>
          <w:sz w:val="36"/>
          <w:szCs w:val="36"/>
        </w:rPr>
        <w:t>2021年3月</w:t>
      </w:r>
    </w:p>
    <w:p>
      <w:pPr>
        <w:jc w:val="center"/>
        <w:rPr>
          <w:rFonts w:ascii="楷体_GB2312" w:hAnsi="楷体_GB2312" w:eastAsia="楷体_GB2312" w:cs="楷体_GB2312"/>
          <w:color w:val="000000" w:themeColor="text1"/>
          <w:sz w:val="40"/>
          <w:szCs w:val="40"/>
        </w:rPr>
        <w:sectPr>
          <w:pgSz w:w="11906" w:h="16838"/>
          <w:pgMar w:top="2098" w:right="1531" w:bottom="1984" w:left="1531" w:header="851" w:footer="992" w:gutter="0"/>
          <w:cols w:space="0" w:num="1"/>
          <w:titlePg/>
          <w:docGrid w:type="lines" w:linePitch="312" w:charSpace="0"/>
        </w:sectPr>
      </w:pPr>
    </w:p>
    <w:sdt>
      <w:sdtPr>
        <w:rPr>
          <w:rFonts w:ascii="Tahoma" w:hAnsi="Tahoma" w:eastAsia="微软雅黑" w:cstheme="minorBidi"/>
          <w:b w:val="0"/>
          <w:bCs w:val="0"/>
          <w:color w:val="auto"/>
          <w:sz w:val="22"/>
          <w:szCs w:val="22"/>
          <w:lang w:val="zh-CN"/>
        </w:rPr>
        <w:id w:val="8905895"/>
        <w:docPartObj>
          <w:docPartGallery w:val="Table of Contents"/>
          <w:docPartUnique/>
        </w:docPartObj>
      </w:sdtPr>
      <w:sdtEndPr>
        <w:rPr>
          <w:rFonts w:ascii="Tahoma" w:hAnsi="Tahoma" w:eastAsia="微软雅黑" w:cstheme="minorBidi"/>
          <w:b w:val="0"/>
          <w:bCs w:val="0"/>
          <w:color w:val="auto"/>
          <w:sz w:val="22"/>
          <w:szCs w:val="22"/>
          <w:lang w:val="en-US"/>
        </w:rPr>
      </w:sdtEndPr>
      <w:sdtContent>
        <w:p>
          <w:pPr>
            <w:pStyle w:val="71"/>
            <w:ind w:firstLine="440" w:firstLineChars="200"/>
            <w:jc w:val="center"/>
            <w:rPr>
              <w:color w:val="auto"/>
              <w:sz w:val="44"/>
              <w:szCs w:val="44"/>
              <w:lang w:val="zh-CN"/>
            </w:rPr>
          </w:pPr>
          <w:r>
            <w:rPr>
              <w:color w:val="auto"/>
              <w:sz w:val="44"/>
              <w:szCs w:val="44"/>
              <w:lang w:val="zh-CN"/>
            </w:rPr>
            <w:t>目录</w:t>
          </w:r>
        </w:p>
        <w:p>
          <w:pPr>
            <w:pStyle w:val="18"/>
            <w:tabs>
              <w:tab w:val="right" w:leader="dot" w:pos="8312"/>
            </w:tabs>
            <w:spacing w:line="312" w:lineRule="auto"/>
            <w:ind w:left="0" w:leftChars="0"/>
            <w:rPr>
              <w:rFonts w:asciiTheme="majorEastAsia" w:hAnsiTheme="majorEastAsia" w:eastAsiaTheme="majorEastAsia" w:cstheme="majorEastAsia"/>
              <w:b/>
              <w:bCs/>
              <w:sz w:val="24"/>
            </w:rPr>
          </w:pPr>
          <w:r>
            <w:rPr>
              <w:rFonts w:asciiTheme="minorEastAsia" w:hAnsiTheme="minorEastAsia" w:eastAsiaTheme="minorEastAsia"/>
              <w:sz w:val="24"/>
            </w:rPr>
            <w:fldChar w:fldCharType="begin"/>
          </w:r>
          <w:r>
            <w:rPr>
              <w:rFonts w:asciiTheme="minorEastAsia" w:hAnsiTheme="minorEastAsia" w:eastAsiaTheme="minorEastAsia"/>
              <w:sz w:val="24"/>
            </w:rPr>
            <w:instrText xml:space="preserve"> TOC \o "1-3" \h \z \u </w:instrText>
          </w:r>
          <w:r>
            <w:rPr>
              <w:rFonts w:asciiTheme="minorEastAsia" w:hAnsiTheme="minorEastAsia" w:eastAsiaTheme="minorEastAsia"/>
              <w:sz w:val="24"/>
            </w:rPr>
            <w:fldChar w:fldCharType="separate"/>
          </w:r>
          <w:r>
            <w:fldChar w:fldCharType="begin"/>
          </w:r>
          <w:r>
            <w:instrText xml:space="preserve"> HYPERLINK \l "_Toc25184" </w:instrText>
          </w:r>
          <w:r>
            <w:fldChar w:fldCharType="separate"/>
          </w:r>
          <w:r>
            <w:rPr>
              <w:rFonts w:hint="eastAsia" w:asciiTheme="majorEastAsia" w:hAnsiTheme="majorEastAsia" w:eastAsiaTheme="majorEastAsia" w:cstheme="majorEastAsia"/>
              <w:b/>
              <w:bCs/>
              <w:sz w:val="24"/>
            </w:rPr>
            <w:t>第一部分   摘  要</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_Toc25184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1</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sz w:val="24"/>
            </w:rPr>
          </w:pPr>
          <w:r>
            <w:fldChar w:fldCharType="begin"/>
          </w:r>
          <w:r>
            <w:instrText xml:space="preserve"> HYPERLINK \l "_Toc4346" </w:instrText>
          </w:r>
          <w:r>
            <w:fldChar w:fldCharType="separate"/>
          </w:r>
          <w:r>
            <w:rPr>
              <w:rFonts w:hint="eastAsia" w:asciiTheme="majorEastAsia" w:hAnsiTheme="majorEastAsia" w:eastAsiaTheme="majorEastAsia" w:cstheme="majorEastAsia"/>
              <w:b/>
              <w:bCs/>
              <w:sz w:val="24"/>
            </w:rPr>
            <w:t>第二部分   整体支出绩效自评报告</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_Toc4346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5</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b/>
              <w:bCs/>
              <w:sz w:val="24"/>
            </w:rPr>
          </w:pPr>
          <w:r>
            <w:fldChar w:fldCharType="begin"/>
          </w:r>
          <w:r>
            <w:instrText xml:space="preserve"> HYPERLINK \l "_Toc427" </w:instrText>
          </w:r>
          <w:r>
            <w:fldChar w:fldCharType="separate"/>
          </w:r>
          <w:r>
            <w:rPr>
              <w:rFonts w:hint="eastAsia" w:asciiTheme="majorEastAsia" w:hAnsiTheme="majorEastAsia" w:eastAsiaTheme="majorEastAsia" w:cstheme="majorEastAsia"/>
              <w:b/>
              <w:bCs/>
              <w:sz w:val="24"/>
            </w:rPr>
            <w:t>一、阜平县财政局基本情况</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_Toc427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6</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"_Toc11473" </w:instrText>
          </w:r>
          <w:r>
            <w:fldChar w:fldCharType="separate"/>
          </w:r>
          <w:r>
            <w:rPr>
              <w:rFonts w:hint="eastAsia" w:asciiTheme="majorEastAsia" w:hAnsiTheme="majorEastAsia" w:eastAsiaTheme="majorEastAsia" w:cstheme="majorEastAsia"/>
              <w:sz w:val="24"/>
            </w:rPr>
            <w:t>（一）部门职责和工作活动</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_Toc11473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6</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"_Toc7075" </w:instrText>
          </w:r>
          <w:r>
            <w:fldChar w:fldCharType="separate"/>
          </w:r>
          <w:r>
            <w:rPr>
              <w:rFonts w:hint="eastAsia" w:asciiTheme="majorEastAsia" w:hAnsiTheme="majorEastAsia" w:eastAsiaTheme="majorEastAsia" w:cstheme="majorEastAsia"/>
              <w:sz w:val="24"/>
            </w:rPr>
            <w:t>（二）部门年度发展规划总体目标和职责分类绩效目标</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_Toc7075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8</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"_Toc1678" </w:instrText>
          </w:r>
          <w:r>
            <w:fldChar w:fldCharType="separate"/>
          </w:r>
          <w:r>
            <w:rPr>
              <w:rFonts w:hint="eastAsia" w:asciiTheme="majorEastAsia" w:hAnsiTheme="majorEastAsia" w:eastAsiaTheme="majorEastAsia" w:cstheme="majorEastAsia"/>
              <w:sz w:val="24"/>
            </w:rPr>
            <w:t>（三）</w:t>
          </w:r>
          <w:bookmarkStart w:id="78" w:name="_GoBack"/>
          <w:r>
            <w:rPr>
              <w:rFonts w:hint="eastAsia" w:asciiTheme="majorEastAsia" w:hAnsiTheme="majorEastAsia" w:eastAsiaTheme="majorEastAsia" w:cstheme="majorEastAsia"/>
              <w:sz w:val="24"/>
            </w:rPr>
            <w:t>部门</w:t>
          </w:r>
          <w:bookmarkEnd w:id="78"/>
          <w:r>
            <w:rPr>
              <w:rFonts w:hint="eastAsia" w:asciiTheme="majorEastAsia" w:hAnsiTheme="majorEastAsia" w:eastAsiaTheme="majorEastAsia" w:cstheme="majorEastAsia"/>
              <w:sz w:val="24"/>
            </w:rPr>
            <w:t>预算收入及决算收入</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_Toc1678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11</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"_Toc18197" </w:instrText>
          </w:r>
          <w:r>
            <w:fldChar w:fldCharType="separate"/>
          </w:r>
          <w:r>
            <w:rPr>
              <w:rFonts w:hint="eastAsia" w:asciiTheme="majorEastAsia" w:hAnsiTheme="majorEastAsia" w:eastAsiaTheme="majorEastAsia" w:cstheme="majorEastAsia"/>
              <w:sz w:val="24"/>
            </w:rPr>
            <w:t>（四）预算支出及决算支出</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_Toc18197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12</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"_Toc19291" </w:instrText>
          </w:r>
          <w:r>
            <w:fldChar w:fldCharType="separate"/>
          </w:r>
          <w:r>
            <w:rPr>
              <w:rFonts w:hint="eastAsia" w:asciiTheme="majorEastAsia" w:hAnsiTheme="majorEastAsia" w:eastAsiaTheme="majorEastAsia" w:cstheme="majorEastAsia"/>
              <w:sz w:val="24"/>
            </w:rPr>
            <w:t>（五）“三公”经费预算安排及支出情况</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_Toc19291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13</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b/>
              <w:bCs/>
              <w:sz w:val="24"/>
            </w:rPr>
          </w:pPr>
          <w:r>
            <w:fldChar w:fldCharType="begin"/>
          </w:r>
          <w:r>
            <w:instrText xml:space="preserve"> HYPERLINK \l "_Toc20454" </w:instrText>
          </w:r>
          <w:r>
            <w:fldChar w:fldCharType="separate"/>
          </w:r>
          <w:r>
            <w:rPr>
              <w:rFonts w:hint="eastAsia" w:asciiTheme="majorEastAsia" w:hAnsiTheme="majorEastAsia" w:eastAsiaTheme="majorEastAsia" w:cstheme="majorEastAsia"/>
              <w:b/>
              <w:bCs/>
              <w:sz w:val="24"/>
            </w:rPr>
            <w:t>二、部门整体支出绩效自评指标体系设定情况</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_Toc20454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14</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8"/>
            <w:tabs>
              <w:tab w:val="right" w:leader="dot" w:pos="8312"/>
            </w:tabs>
            <w:spacing w:line="312" w:lineRule="auto"/>
            <w:ind w:left="0" w:leftChars="0" w:firstLine="300" w:firstLineChars="100"/>
            <w:rPr>
              <w:rFonts w:asciiTheme="majorEastAsia" w:hAnsiTheme="majorEastAsia" w:eastAsiaTheme="majorEastAsia" w:cstheme="majorEastAsia"/>
              <w:sz w:val="24"/>
            </w:rPr>
          </w:pPr>
          <w:r>
            <w:fldChar w:fldCharType="begin"/>
          </w:r>
          <w:r>
            <w:instrText xml:space="preserve"> HYPERLINK \l "_Toc9569" </w:instrText>
          </w:r>
          <w:r>
            <w:fldChar w:fldCharType="separate"/>
          </w:r>
          <w:r>
            <w:rPr>
              <w:rFonts w:hint="eastAsia" w:asciiTheme="majorEastAsia" w:hAnsiTheme="majorEastAsia" w:eastAsiaTheme="majorEastAsia" w:cstheme="majorEastAsia"/>
              <w:sz w:val="24"/>
            </w:rPr>
            <w:t>（一）投入</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_Toc9569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14</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"_Toc30221" </w:instrText>
          </w:r>
          <w:r>
            <w:fldChar w:fldCharType="separate"/>
          </w:r>
          <w:r>
            <w:rPr>
              <w:rFonts w:hint="eastAsia" w:asciiTheme="majorEastAsia" w:hAnsiTheme="majorEastAsia" w:eastAsiaTheme="majorEastAsia" w:cstheme="majorEastAsia"/>
              <w:sz w:val="24"/>
            </w:rPr>
            <w:t>（二）过程</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_Toc30221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15</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"_Toc24932" </w:instrText>
          </w:r>
          <w:r>
            <w:fldChar w:fldCharType="separate"/>
          </w:r>
          <w:r>
            <w:rPr>
              <w:rFonts w:hint="eastAsia" w:asciiTheme="majorEastAsia" w:hAnsiTheme="majorEastAsia" w:eastAsiaTheme="majorEastAsia" w:cstheme="majorEastAsia"/>
              <w:sz w:val="24"/>
            </w:rPr>
            <w:t>（三）产出</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_Toc24932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15</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"_Toc21821" </w:instrText>
          </w:r>
          <w:r>
            <w:fldChar w:fldCharType="separate"/>
          </w:r>
          <w:r>
            <w:rPr>
              <w:rFonts w:hint="eastAsia" w:asciiTheme="majorEastAsia" w:hAnsiTheme="majorEastAsia" w:eastAsiaTheme="majorEastAsia" w:cstheme="majorEastAsia"/>
              <w:sz w:val="24"/>
            </w:rPr>
            <w:t>（四）效果</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_Toc21821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16</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b/>
              <w:bCs/>
              <w:sz w:val="24"/>
            </w:rPr>
          </w:pPr>
          <w:r>
            <w:fldChar w:fldCharType="begin"/>
          </w:r>
          <w:r>
            <w:instrText xml:space="preserve"> HYPERLINK \l "_Toc11842" </w:instrText>
          </w:r>
          <w:r>
            <w:fldChar w:fldCharType="separate"/>
          </w:r>
          <w:r>
            <w:rPr>
              <w:rFonts w:hint="eastAsia" w:asciiTheme="majorEastAsia" w:hAnsiTheme="majorEastAsia" w:eastAsiaTheme="majorEastAsia" w:cstheme="majorEastAsia"/>
              <w:b/>
              <w:bCs/>
              <w:sz w:val="24"/>
            </w:rPr>
            <w:t>三、绩效自评开展情况</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_Toc11842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16</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"_Toc17138" </w:instrText>
          </w:r>
          <w:r>
            <w:fldChar w:fldCharType="separate"/>
          </w:r>
          <w:r>
            <w:rPr>
              <w:rFonts w:hint="eastAsia" w:asciiTheme="majorEastAsia" w:hAnsiTheme="majorEastAsia" w:eastAsiaTheme="majorEastAsia" w:cstheme="majorEastAsia"/>
              <w:sz w:val="24"/>
            </w:rPr>
            <w:t>（一）绩效</w:t>
          </w:r>
          <w:r>
            <w:rPr>
              <w:rFonts w:hint="eastAsia"/>
            </w:rPr>
            <w:t>自评</w:t>
          </w:r>
          <w:r>
            <w:rPr>
              <w:rFonts w:hint="eastAsia" w:asciiTheme="majorEastAsia" w:hAnsiTheme="majorEastAsia" w:eastAsiaTheme="majorEastAsia" w:cstheme="majorEastAsia"/>
              <w:sz w:val="24"/>
            </w:rPr>
            <w:t>目的</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_Toc17138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16</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"_Toc11607" </w:instrText>
          </w:r>
          <w:r>
            <w:fldChar w:fldCharType="separate"/>
          </w:r>
          <w:r>
            <w:rPr>
              <w:rFonts w:hint="eastAsia" w:asciiTheme="majorEastAsia" w:hAnsiTheme="majorEastAsia" w:eastAsiaTheme="majorEastAsia" w:cstheme="majorEastAsia"/>
              <w:sz w:val="24"/>
            </w:rPr>
            <w:t>（二）绩效</w:t>
          </w:r>
          <w:r>
            <w:rPr>
              <w:rFonts w:hint="eastAsia"/>
            </w:rPr>
            <w:t>自评</w:t>
          </w:r>
          <w:r>
            <w:rPr>
              <w:rFonts w:hint="eastAsia" w:asciiTheme="majorEastAsia" w:hAnsiTheme="majorEastAsia" w:eastAsiaTheme="majorEastAsia" w:cstheme="majorEastAsia"/>
              <w:sz w:val="24"/>
            </w:rPr>
            <w:t>依据</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_Toc11607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16</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"_Toc7609" </w:instrText>
          </w:r>
          <w:r>
            <w:fldChar w:fldCharType="separate"/>
          </w:r>
          <w:r>
            <w:rPr>
              <w:rFonts w:hint="eastAsia" w:asciiTheme="majorEastAsia" w:hAnsiTheme="majorEastAsia" w:eastAsiaTheme="majorEastAsia" w:cstheme="majorEastAsia"/>
              <w:sz w:val="24"/>
            </w:rPr>
            <w:t>（三）绩效</w:t>
          </w:r>
          <w:r>
            <w:rPr>
              <w:rFonts w:hint="eastAsia"/>
            </w:rPr>
            <w:t>自评</w:t>
          </w:r>
          <w:r>
            <w:rPr>
              <w:rFonts w:hint="eastAsia" w:asciiTheme="majorEastAsia" w:hAnsiTheme="majorEastAsia" w:eastAsiaTheme="majorEastAsia" w:cstheme="majorEastAsia"/>
              <w:sz w:val="24"/>
            </w:rPr>
            <w:t>内容</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_Toc7609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17</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"_Toc789" </w:instrText>
          </w:r>
          <w:r>
            <w:fldChar w:fldCharType="separate"/>
          </w:r>
          <w:r>
            <w:rPr>
              <w:rFonts w:hint="eastAsia" w:asciiTheme="majorEastAsia" w:hAnsiTheme="majorEastAsia" w:eastAsiaTheme="majorEastAsia" w:cstheme="majorEastAsia"/>
              <w:sz w:val="24"/>
            </w:rPr>
            <w:t>（四）绩效</w:t>
          </w:r>
          <w:r>
            <w:rPr>
              <w:rFonts w:hint="eastAsia"/>
            </w:rPr>
            <w:t>自评</w:t>
          </w:r>
          <w:r>
            <w:rPr>
              <w:rFonts w:hint="eastAsia" w:asciiTheme="majorEastAsia" w:hAnsiTheme="majorEastAsia" w:eastAsiaTheme="majorEastAsia" w:cstheme="majorEastAsia"/>
              <w:sz w:val="24"/>
            </w:rPr>
            <w:t>原则</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_Toc789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17</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"_Toc8171" </w:instrText>
          </w:r>
          <w:r>
            <w:fldChar w:fldCharType="separate"/>
          </w:r>
          <w:r>
            <w:rPr>
              <w:rFonts w:hint="eastAsia" w:asciiTheme="majorEastAsia" w:hAnsiTheme="majorEastAsia" w:eastAsiaTheme="majorEastAsia" w:cstheme="majorEastAsia"/>
              <w:sz w:val="24"/>
            </w:rPr>
            <w:t>（五）绩效</w:t>
          </w:r>
          <w:r>
            <w:rPr>
              <w:rFonts w:hint="eastAsia"/>
            </w:rPr>
            <w:t>自评</w:t>
          </w:r>
          <w:r>
            <w:rPr>
              <w:rFonts w:hint="eastAsia" w:asciiTheme="majorEastAsia" w:hAnsiTheme="majorEastAsia" w:eastAsiaTheme="majorEastAsia" w:cstheme="majorEastAsia"/>
              <w:sz w:val="24"/>
            </w:rPr>
            <w:t>方法</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_Toc8171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18</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"_Toc20821" </w:instrText>
          </w:r>
          <w:r>
            <w:fldChar w:fldCharType="separate"/>
          </w:r>
          <w:r>
            <w:rPr>
              <w:rFonts w:hint="eastAsia" w:asciiTheme="majorEastAsia" w:hAnsiTheme="majorEastAsia" w:eastAsiaTheme="majorEastAsia" w:cstheme="majorEastAsia"/>
              <w:sz w:val="24"/>
            </w:rPr>
            <w:t>（六）绩效</w:t>
          </w:r>
          <w:r>
            <w:rPr>
              <w:rFonts w:hint="eastAsia"/>
            </w:rPr>
            <w:t>自评</w:t>
          </w:r>
          <w:r>
            <w:rPr>
              <w:rFonts w:hint="eastAsia" w:asciiTheme="majorEastAsia" w:hAnsiTheme="majorEastAsia" w:eastAsiaTheme="majorEastAsia" w:cstheme="majorEastAsia"/>
              <w:sz w:val="24"/>
            </w:rPr>
            <w:t>过程</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_Toc20821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19</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b/>
              <w:bCs/>
              <w:sz w:val="24"/>
            </w:rPr>
          </w:pPr>
          <w:r>
            <w:fldChar w:fldCharType="begin"/>
          </w:r>
          <w:r>
            <w:instrText xml:space="preserve"> HYPERLINK \l "_Toc6467" </w:instrText>
          </w:r>
          <w:r>
            <w:fldChar w:fldCharType="separate"/>
          </w:r>
          <w:r>
            <w:rPr>
              <w:rFonts w:hint="eastAsia" w:asciiTheme="majorEastAsia" w:hAnsiTheme="majorEastAsia" w:eastAsiaTheme="majorEastAsia" w:cstheme="majorEastAsia"/>
              <w:b/>
              <w:bCs/>
              <w:sz w:val="24"/>
            </w:rPr>
            <w:t>四、绩效自评得分情况</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_Toc6467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20</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"_Toc4390" </w:instrText>
          </w:r>
          <w:r>
            <w:fldChar w:fldCharType="separate"/>
          </w:r>
          <w:r>
            <w:rPr>
              <w:rFonts w:hint="eastAsia" w:asciiTheme="majorEastAsia" w:hAnsiTheme="majorEastAsia" w:eastAsiaTheme="majorEastAsia" w:cstheme="majorEastAsia"/>
              <w:sz w:val="24"/>
            </w:rPr>
            <w:t>（一）投入</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_Toc4390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20</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"_Toc19940" </w:instrText>
          </w:r>
          <w:r>
            <w:fldChar w:fldCharType="separate"/>
          </w:r>
          <w:r>
            <w:rPr>
              <w:rFonts w:hint="eastAsia" w:asciiTheme="majorEastAsia" w:hAnsiTheme="majorEastAsia" w:eastAsiaTheme="majorEastAsia" w:cstheme="majorEastAsia"/>
              <w:sz w:val="24"/>
            </w:rPr>
            <w:t>（二）过程</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_Toc19940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23</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"_Toc12330" </w:instrText>
          </w:r>
          <w:r>
            <w:fldChar w:fldCharType="separate"/>
          </w:r>
          <w:r>
            <w:rPr>
              <w:rFonts w:hint="eastAsia" w:asciiTheme="majorEastAsia" w:hAnsiTheme="majorEastAsia" w:eastAsiaTheme="majorEastAsia" w:cstheme="majorEastAsia"/>
              <w:sz w:val="24"/>
            </w:rPr>
            <w:t>（三）产出</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_Toc12330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30</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1"/>
            <w:tabs>
              <w:tab w:val="right" w:leader="dot" w:pos="8312"/>
            </w:tabs>
            <w:spacing w:line="312" w:lineRule="auto"/>
            <w:ind w:left="0" w:leftChars="0" w:firstLine="280" w:firstLineChars="100"/>
            <w:rPr>
              <w:rFonts w:asciiTheme="majorEastAsia" w:hAnsiTheme="majorEastAsia" w:eastAsiaTheme="majorEastAsia" w:cstheme="majorEastAsia"/>
              <w:sz w:val="24"/>
            </w:rPr>
          </w:pPr>
          <w:r>
            <w:fldChar w:fldCharType="begin"/>
          </w:r>
          <w:r>
            <w:instrText xml:space="preserve"> HYPERLINK \l "_Toc28363" </w:instrText>
          </w:r>
          <w:r>
            <w:fldChar w:fldCharType="separate"/>
          </w:r>
          <w:r>
            <w:rPr>
              <w:rFonts w:hint="eastAsia" w:asciiTheme="majorEastAsia" w:hAnsiTheme="majorEastAsia" w:eastAsiaTheme="majorEastAsia" w:cstheme="majorEastAsia"/>
              <w:sz w:val="24"/>
            </w:rPr>
            <w:t>（四）效果</w:t>
          </w:r>
          <w:r>
            <w:rPr>
              <w:rFonts w:hint="eastAsia" w:asciiTheme="majorEastAsia" w:hAnsiTheme="majorEastAsia" w:eastAsiaTheme="majorEastAsia" w:cstheme="majorEastAsia"/>
              <w:sz w:val="24"/>
            </w:rPr>
            <w:tab/>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PAGEREF _Toc28363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32</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fldChar w:fldCharType="end"/>
          </w:r>
        </w:p>
        <w:p>
          <w:pPr>
            <w:pStyle w:val="18"/>
            <w:tabs>
              <w:tab w:val="right" w:leader="dot" w:pos="8312"/>
            </w:tabs>
            <w:spacing w:line="312" w:lineRule="auto"/>
            <w:ind w:left="0" w:leftChars="0"/>
            <w:rPr>
              <w:rFonts w:asciiTheme="majorEastAsia" w:hAnsiTheme="majorEastAsia" w:eastAsiaTheme="majorEastAsia" w:cstheme="majorEastAsia"/>
              <w:sz w:val="24"/>
            </w:rPr>
          </w:pPr>
          <w:r>
            <w:fldChar w:fldCharType="begin"/>
          </w:r>
          <w:r>
            <w:instrText xml:space="preserve"> HYPERLINK \l "_Toc13757" </w:instrText>
          </w:r>
          <w:r>
            <w:fldChar w:fldCharType="separate"/>
          </w:r>
          <w:r>
            <w:rPr>
              <w:rFonts w:hint="eastAsia" w:asciiTheme="majorEastAsia" w:hAnsiTheme="majorEastAsia" w:eastAsiaTheme="majorEastAsia" w:cstheme="majorEastAsia"/>
              <w:b/>
              <w:bCs/>
              <w:sz w:val="24"/>
            </w:rPr>
            <w:t>五、绩效自评发现的问题、意见及</w:t>
          </w:r>
          <w:r>
            <w:rPr>
              <w:rFonts w:asciiTheme="majorEastAsia" w:hAnsiTheme="majorEastAsia" w:eastAsiaTheme="majorEastAsia" w:cstheme="majorEastAsia"/>
              <w:b/>
              <w:bCs/>
              <w:sz w:val="24"/>
            </w:rPr>
            <w:t>建议</w:t>
          </w:r>
          <w:r>
            <w:rPr>
              <w:rFonts w:hint="eastAsia" w:asciiTheme="majorEastAsia" w:hAnsiTheme="majorEastAsia" w:eastAsiaTheme="majorEastAsia" w:cstheme="majorEastAsia"/>
              <w:b/>
              <w:bCs/>
              <w:sz w:val="24"/>
            </w:rPr>
            <w:tab/>
          </w: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 PAGEREF _Toc13757 </w:instrText>
          </w:r>
          <w:r>
            <w:rPr>
              <w:rFonts w:hint="eastAsia" w:asciiTheme="majorEastAsia" w:hAnsiTheme="majorEastAsia" w:eastAsiaTheme="majorEastAsia" w:cstheme="majorEastAsia"/>
              <w:b/>
              <w:bCs/>
              <w:sz w:val="24"/>
            </w:rPr>
            <w:fldChar w:fldCharType="separate"/>
          </w:r>
          <w:r>
            <w:rPr>
              <w:rFonts w:asciiTheme="majorEastAsia" w:hAnsiTheme="majorEastAsia" w:eastAsiaTheme="majorEastAsia" w:cstheme="majorEastAsia"/>
              <w:b/>
              <w:bCs/>
              <w:sz w:val="24"/>
            </w:rPr>
            <w:t>33</w:t>
          </w:r>
          <w:r>
            <w:rPr>
              <w:rFonts w:hint="eastAsia" w:asciiTheme="majorEastAsia" w:hAnsiTheme="majorEastAsia" w:eastAsiaTheme="majorEastAsia" w:cstheme="majorEastAsia"/>
              <w:b/>
              <w:bCs/>
              <w:sz w:val="24"/>
            </w:rPr>
            <w:fldChar w:fldCharType="end"/>
          </w:r>
          <w:r>
            <w:rPr>
              <w:rFonts w:hint="eastAsia" w:asciiTheme="majorEastAsia" w:hAnsiTheme="majorEastAsia" w:eastAsiaTheme="majorEastAsia" w:cstheme="majorEastAsia"/>
              <w:b/>
              <w:bCs/>
              <w:sz w:val="24"/>
            </w:rPr>
            <w:fldChar w:fldCharType="end"/>
          </w:r>
        </w:p>
        <w:p>
          <w:pPr>
            <w:spacing w:line="312" w:lineRule="auto"/>
            <w:ind w:firstLine="440" w:firstLineChars="200"/>
            <w:jc w:val="both"/>
            <w:sectPr>
              <w:footerReference r:id="rId4" w:type="default"/>
              <w:pgSz w:w="11906" w:h="16838"/>
              <w:pgMar w:top="1440" w:right="1797" w:bottom="1191" w:left="1797" w:header="709" w:footer="709" w:gutter="0"/>
              <w:pgNumType w:start="1"/>
              <w:cols w:space="708" w:num="1"/>
              <w:docGrid w:linePitch="360" w:charSpace="0"/>
            </w:sectPr>
          </w:pPr>
          <w:r>
            <w:rPr>
              <w:rFonts w:asciiTheme="minorEastAsia" w:hAnsiTheme="minorEastAsia" w:eastAsiaTheme="minorEastAsia"/>
              <w:szCs w:val="24"/>
            </w:rPr>
            <w:fldChar w:fldCharType="end"/>
          </w:r>
        </w:p>
      </w:sdtContent>
    </w:sdt>
    <w:p>
      <w:pPr>
        <w:pStyle w:val="3"/>
        <w:spacing w:line="540" w:lineRule="exact"/>
        <w:jc w:val="center"/>
        <w:rPr>
          <w:rFonts w:ascii="黑体" w:hAnsi="黑体"/>
          <w:b w:val="0"/>
        </w:rPr>
      </w:pPr>
      <w:bookmarkStart w:id="0" w:name="_Toc25184"/>
      <w:r>
        <w:rPr>
          <w:rFonts w:hint="eastAsia" w:ascii="黑体" w:hAnsi="黑体"/>
          <w:b w:val="0"/>
        </w:rPr>
        <w:t>第一部分   摘  要</w:t>
      </w:r>
      <w:bookmarkEnd w:id="0"/>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为深入贯彻落实中共中央国务院《关于全面实施预算绩效管理的意见》、中共河北省委河北省人民政府《关于全面实施预算绩效管理的实施意见》、河北省财政厅《全面实施预算绩效管理推进工作方案》的精神，进一步加强和规范预算绩效运行监控工作，确保绩效目标如期保质保量实现，提高预算执行效率和财政资金使用效益，我单位对2020年部门整体支出情况开展了绩效自评价工作。</w:t>
      </w:r>
    </w:p>
    <w:p>
      <w:pPr>
        <w:spacing w:line="60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阜平县财政局为</w:t>
      </w:r>
      <w:r>
        <w:rPr>
          <w:rFonts w:hint="eastAsia" w:ascii="仿宋_GB2312" w:eastAsia="仿宋_GB2312" w:cs="DengXian-Regular"/>
          <w:color w:val="000000" w:themeColor="text1"/>
          <w:sz w:val="32"/>
          <w:szCs w:val="32"/>
        </w:rPr>
        <w:t>正科</w:t>
      </w:r>
      <w:r>
        <w:rPr>
          <w:rFonts w:hint="eastAsia" w:ascii="仿宋_GB2312" w:eastAsia="仿宋_GB2312" w:cs="DengXian-Regular"/>
          <w:sz w:val="32"/>
          <w:szCs w:val="32"/>
        </w:rPr>
        <w:t>级行政单位，经费保障形式为财政拨款。</w:t>
      </w:r>
    </w:p>
    <w:p>
      <w:pPr>
        <w:spacing w:line="60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主要职责：</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（一）贯彻执行国家财税、税收的发展战略、方针、政策，组织财政收入，保证财政任务的完成，加强调控管理，统筹安排财政支出，支持生产建设和各项事业的发展，实现财政预算平衡。</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（三）承担财政国库管理的责任。指导和监督县本级国库业务，按规定开展国库现金管理；负责县级政府采购监督管理；承担财政投资评审管理。</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（四）负责政府非税收入和政府性基金管理，按规定管理行政事业性收费；管理财政票据。</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（五）负责管理全县的国有资产产权登记及年检，国有资产评估的审核、备案，清产核资，国有资产的产权纠纷和流失查处工作。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（六）承担县直机关事业单位公务车辆编制职责。</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（七）负责办理和监督县级财政的经济社会发展支出、县投资项目的财政拨款；负责有关政策性补贴和专项储备资金财政管理。</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（八）会同有关部门管理县级财政社会保障和就业及医疗卫生支出。</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（九）负责管理全县会计工作，监督和规范会计行为，指导和监督注册会计师和会计师事务所的业务，指导和管理社会审计。</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（十）监督检查财税法规、政策的执行情况，反映财政收支管理中的重大问题。贯彻监督执行《企业财务通则》和分行业的财务会计制度，负责地方金融企业财务监管工作。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（十一）正确处理上下级财政之间以及财政与企业事业单位，居民之间的分配关系。</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（十二）管理全县的国有资产产权登记及年检，国有资产评估的审核、备案，清产核资，国有资产的产权纠纷和流失查处工作。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（十三）承办县政府交办的其他事项。</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阜平县机构编制委员会关于设置阜平县农业综合开发办公室通知》的规定，农开办主要职责：贯彻执行国家农业综合开发方针、政策；指定全县农业综合开发规划和实施计划；对全县农业综合开发工作进行综合协调和服务；督促检查农业综合开发项目及其计划执行情况；管理全县农业综合开发资金；管理和组织实施国家立项的农业综合开发土地治理项目、多种经营项目、科技项目以及其他农业综合开发项目；承办县政府和上级主管部门交办的其他事项。</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绩效评价是制定科学合理的评价方法、评价标准和指标体系，对财政资金的使用及产生的效益进行客观、公正的评价。通过部门整体支出绩效评价工作了解部门绩效目标和指标的设置及完成情况；部门整体资金预算情况、实际收支及结转结余情况；部门履职对社会发展所带来的直接或间接影响及服务对象对部门履职效果的满意程度，促使相关部门根据绩效评价过程中发现的问题，及时整改并总结经验，提高部门管理水平，牢固树立预算绩效理念，强化部门支出责任，提高预算执行效率和财政资金使用效益。</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绩效自评工作经过了前期准备、拟定实施方案和设定指标体系制定、组织实施、绩效自评报告撰写四个阶段。</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按照中共河北省委河北省人民政府《关于全面实施预算绩效管理的实施意见》的相关规定，以河北省财政厅《全面实施预算绩效管理推进工作方案》、《2019年度绩效预算运行监控工作方案》中的相关工作要求作为评价标准，采取定量和定性评价相结合的方法，对资料进行审核、分析，实事求是、客观公正地完成了我单位2020年部门整体支出绩效评价工作。</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单位2020年部门整体支出绩效评价指标体系共设置4个一级指标、7个二级指标、27个三级指标，从投入、过程、产出、效果四个方面对部门整体支出情况评分定级。指标体系设定满分为100分，绩效评价分值≥90为“优”；80≤分值＜90为“良”；60≤分值＜80为“合格”；60分以下为“差”。</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我单位2020年部门整体支出综合评价得分为96分，评价等级为“优”。</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经评价，我</w:t>
      </w:r>
      <w:r>
        <w:rPr>
          <w:rFonts w:ascii="仿宋_GB2312" w:eastAsia="仿宋_GB2312" w:cs="DengXian-Regular"/>
          <w:sz w:val="32"/>
          <w:szCs w:val="32"/>
        </w:rPr>
        <w:t>部门</w:t>
      </w:r>
      <w:r>
        <w:rPr>
          <w:rFonts w:hint="eastAsia" w:ascii="仿宋_GB2312" w:eastAsia="仿宋_GB2312" w:cs="DengXian-Regular"/>
          <w:sz w:val="32"/>
          <w:szCs w:val="32"/>
        </w:rPr>
        <w:t>2020年部门预算编制完整性、项目预算细化率、在职人员控制率、收入完成率、财政拨款支出完成率、“三公经费”控制率、资金使用合规性、决算真实性、管理制度健全性、预决算信息公开、资产管理规范性、绩效自评覆盖率、绩效评价优等率、结转结余率、部门整体效益等指标完成情况较好。</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通过本次绩效评价工作，发现我单位在以下几个方面存在一些不足之处，具体如下：</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1.绩效指标方面：绩效</w:t>
      </w:r>
      <w:r>
        <w:rPr>
          <w:rFonts w:ascii="仿宋_GB2312" w:eastAsia="仿宋_GB2312" w:cs="DengXian-Regular"/>
          <w:sz w:val="32"/>
          <w:szCs w:val="32"/>
        </w:rPr>
        <w:t>指标</w:t>
      </w:r>
      <w:r>
        <w:rPr>
          <w:rFonts w:hint="eastAsia" w:ascii="仿宋_GB2312" w:eastAsia="仿宋_GB2312" w:cs="DengXian-Regular"/>
          <w:sz w:val="32"/>
          <w:szCs w:val="32"/>
        </w:rPr>
        <w:t>的</w:t>
      </w:r>
      <w:r>
        <w:rPr>
          <w:rFonts w:ascii="仿宋_GB2312" w:eastAsia="仿宋_GB2312" w:cs="DengXian-Regular"/>
          <w:sz w:val="32"/>
          <w:szCs w:val="32"/>
        </w:rPr>
        <w:t>设定</w:t>
      </w:r>
      <w:r>
        <w:rPr>
          <w:rFonts w:hint="eastAsia" w:ascii="仿宋_GB2312" w:eastAsia="仿宋_GB2312" w:cs="DengXian-Regular"/>
          <w:sz w:val="32"/>
          <w:szCs w:val="32"/>
        </w:rPr>
        <w:t>还</w:t>
      </w:r>
      <w:r>
        <w:rPr>
          <w:rFonts w:ascii="仿宋_GB2312" w:eastAsia="仿宋_GB2312" w:cs="DengXian-Regular"/>
          <w:sz w:val="32"/>
          <w:szCs w:val="32"/>
        </w:rPr>
        <w:t>有待于</w:t>
      </w:r>
      <w:r>
        <w:rPr>
          <w:rFonts w:hint="eastAsia" w:ascii="仿宋_GB2312" w:eastAsia="仿宋_GB2312" w:cs="DengXian-Regular"/>
          <w:sz w:val="32"/>
          <w:szCs w:val="32"/>
        </w:rPr>
        <w:t>进一步</w:t>
      </w:r>
      <w:r>
        <w:rPr>
          <w:rFonts w:ascii="仿宋_GB2312" w:eastAsia="仿宋_GB2312" w:cs="DengXian-Regular"/>
          <w:sz w:val="32"/>
          <w:szCs w:val="32"/>
        </w:rPr>
        <w:t>精细</w:t>
      </w:r>
      <w:r>
        <w:rPr>
          <w:rFonts w:hint="eastAsia" w:ascii="仿宋_GB2312" w:eastAsia="仿宋_GB2312" w:cs="DengXian-Regular"/>
          <w:sz w:val="32"/>
          <w:szCs w:val="32"/>
        </w:rPr>
        <w:t>化</w:t>
      </w:r>
      <w:r>
        <w:rPr>
          <w:rFonts w:ascii="仿宋_GB2312" w:eastAsia="仿宋_GB2312" w:cs="DengXian-Regular"/>
          <w:sz w:val="32"/>
          <w:szCs w:val="32"/>
        </w:rPr>
        <w:t>、科学</w:t>
      </w:r>
      <w:r>
        <w:rPr>
          <w:rFonts w:hint="eastAsia" w:ascii="仿宋_GB2312" w:eastAsia="仿宋_GB2312" w:cs="DengXian-Regular"/>
          <w:sz w:val="32"/>
          <w:szCs w:val="32"/>
        </w:rPr>
        <w:t>化</w:t>
      </w:r>
      <w:r>
        <w:rPr>
          <w:rFonts w:ascii="仿宋_GB2312" w:eastAsia="仿宋_GB2312" w:cs="DengXian-Regular"/>
          <w:sz w:val="32"/>
          <w:szCs w:val="32"/>
        </w:rPr>
        <w:t>，</w:t>
      </w:r>
      <w:r>
        <w:rPr>
          <w:rFonts w:hint="eastAsia" w:ascii="仿宋_GB2312" w:eastAsia="仿宋_GB2312" w:cs="DengXian-Regular"/>
          <w:sz w:val="32"/>
          <w:szCs w:val="32"/>
        </w:rPr>
        <w:t>以</w:t>
      </w:r>
      <w:r>
        <w:rPr>
          <w:rFonts w:ascii="仿宋_GB2312" w:eastAsia="仿宋_GB2312" w:cs="DengXian-Regular"/>
          <w:sz w:val="32"/>
          <w:szCs w:val="32"/>
        </w:rPr>
        <w:t>便于绩效评价与考核。</w:t>
      </w:r>
    </w:p>
    <w:p>
      <w:pPr>
        <w:spacing w:after="0" w:line="360" w:lineRule="auto"/>
        <w:ind w:firstLine="640" w:firstLineChars="200"/>
        <w:jc w:val="both"/>
        <w:textAlignment w:val="baseline"/>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.项目资金使用率：部分</w:t>
      </w:r>
      <w:r>
        <w:rPr>
          <w:rFonts w:ascii="仿宋_GB2312" w:eastAsia="仿宋_GB2312" w:cs="DengXian-Regular"/>
          <w:sz w:val="32"/>
          <w:szCs w:val="32"/>
        </w:rPr>
        <w:t>项目需要加强</w:t>
      </w:r>
      <w:r>
        <w:rPr>
          <w:rFonts w:hint="eastAsia" w:ascii="仿宋_GB2312" w:eastAsia="仿宋_GB2312" w:cs="DengXian-Regular"/>
          <w:sz w:val="32"/>
          <w:szCs w:val="32"/>
        </w:rPr>
        <w:t>监督</w:t>
      </w:r>
      <w:r>
        <w:rPr>
          <w:rFonts w:ascii="仿宋_GB2312" w:eastAsia="仿宋_GB2312" w:cs="DengXian-Regular"/>
          <w:sz w:val="32"/>
          <w:szCs w:val="32"/>
        </w:rPr>
        <w:t>与</w:t>
      </w:r>
      <w:r>
        <w:rPr>
          <w:rFonts w:hint="eastAsia" w:ascii="仿宋_GB2312" w:eastAsia="仿宋_GB2312" w:cs="DengXian-Regular"/>
          <w:sz w:val="32"/>
          <w:szCs w:val="32"/>
        </w:rPr>
        <w:t>管理，</w:t>
      </w:r>
      <w:r>
        <w:rPr>
          <w:rFonts w:ascii="仿宋_GB2312" w:eastAsia="仿宋_GB2312" w:cs="DengXian-Regular"/>
          <w:sz w:val="32"/>
          <w:szCs w:val="32"/>
        </w:rPr>
        <w:t>资金</w:t>
      </w:r>
      <w:r>
        <w:rPr>
          <w:rFonts w:hint="eastAsia" w:ascii="仿宋_GB2312" w:eastAsia="仿宋_GB2312" w:cs="DengXian-Regular"/>
          <w:sz w:val="32"/>
          <w:szCs w:val="32"/>
        </w:rPr>
        <w:t>支</w:t>
      </w:r>
      <w:r>
        <w:rPr>
          <w:rFonts w:ascii="仿宋_GB2312" w:eastAsia="仿宋_GB2312" w:cs="DengXian-Regular"/>
          <w:sz w:val="32"/>
          <w:szCs w:val="32"/>
        </w:rPr>
        <w:t>付进度有待</w:t>
      </w:r>
      <w:r>
        <w:rPr>
          <w:rFonts w:hint="eastAsia" w:ascii="仿宋_GB2312" w:eastAsia="仿宋_GB2312" w:cs="DengXian-Regular"/>
          <w:sz w:val="32"/>
          <w:szCs w:val="32"/>
        </w:rPr>
        <w:t>进一步提高</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针对此次绩效评价过程中发现的问题，我们提出</w:t>
      </w:r>
      <w:r>
        <w:rPr>
          <w:rFonts w:ascii="仿宋_GB2312" w:eastAsia="仿宋_GB2312" w:cs="DengXian-Regular"/>
          <w:sz w:val="32"/>
          <w:szCs w:val="32"/>
        </w:rPr>
        <w:t>了改进措施</w:t>
      </w:r>
      <w:r>
        <w:rPr>
          <w:rFonts w:hint="eastAsia"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1.增强绩效指标设置的明确性</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工作活动、预算项目绩效指标应当清晰、可评价、可衡量。建议在设置职责活动绩效指标时，将绩效目标细化分解为具体的工作任务数，从而使绩效目标可量化，便于对目标实现情况进行考核。</w:t>
      </w:r>
    </w:p>
    <w:p>
      <w:pPr>
        <w:spacing w:after="0" w:line="360" w:lineRule="auto"/>
        <w:ind w:firstLine="640" w:firstLineChars="200"/>
        <w:jc w:val="both"/>
        <w:textAlignment w:val="baseline"/>
        <w:rPr>
          <w:rFonts w:ascii="仿宋_GB2312" w:eastAsia="仿宋_GB2312" w:cs="DengXian-Regular"/>
          <w:sz w:val="32"/>
          <w:szCs w:val="32"/>
        </w:rPr>
      </w:pPr>
      <w:bookmarkStart w:id="1" w:name="_Toc4346"/>
      <w:r>
        <w:rPr>
          <w:rFonts w:ascii="仿宋_GB2312" w:eastAsia="仿宋_GB2312" w:cs="DengXian-Regular"/>
          <w:sz w:val="32"/>
          <w:szCs w:val="32"/>
        </w:rPr>
        <w:t>2</w:t>
      </w:r>
      <w:r>
        <w:rPr>
          <w:rFonts w:hint="eastAsia" w:ascii="仿宋_GB2312" w:eastAsia="仿宋_GB2312" w:cs="DengXian-Regular"/>
          <w:sz w:val="32"/>
          <w:szCs w:val="32"/>
        </w:rPr>
        <w:t>.提高项目资金使用率</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对项目资金进行梳理，督促项目进度和资金拨付进度，应拨付的资金及时拨付，不具备条件的资金及时交回，同时，对于按规定可以结转至下年的省级项目资金，在下年的项目安排时优先考虑。</w:t>
      </w:r>
    </w:p>
    <w:p>
      <w:pPr>
        <w:pStyle w:val="3"/>
        <w:spacing w:line="540" w:lineRule="exact"/>
        <w:jc w:val="center"/>
        <w:rPr>
          <w:rFonts w:ascii="黑体" w:hAnsi="黑体"/>
        </w:rPr>
      </w:pPr>
      <w:r>
        <w:rPr>
          <w:rFonts w:hint="eastAsia" w:ascii="黑体" w:hAnsi="黑体"/>
          <w:b w:val="0"/>
        </w:rPr>
        <w:t xml:space="preserve">第二部分   </w:t>
      </w:r>
      <w:bookmarkEnd w:id="1"/>
      <w:bookmarkStart w:id="2" w:name="_Toc427"/>
      <w:bookmarkStart w:id="3" w:name="_Toc492652763"/>
      <w:r>
        <w:rPr>
          <w:rFonts w:hint="eastAsia" w:ascii="黑体" w:hAnsi="黑体"/>
          <w:b w:val="0"/>
        </w:rPr>
        <w:t>整体支出绩效自评</w:t>
      </w:r>
      <w:r>
        <w:rPr>
          <w:rFonts w:hint="eastAsia" w:ascii="黑体" w:hAnsi="黑体"/>
        </w:rPr>
        <w:t>报告</w:t>
      </w:r>
    </w:p>
    <w:p>
      <w:pPr>
        <w:pStyle w:val="3"/>
        <w:spacing w:line="540" w:lineRule="exact"/>
        <w:jc w:val="center"/>
        <w:rPr>
          <w:rFonts w:ascii="楷体" w:hAnsi="楷体" w:eastAsia="楷体" w:cs="楷体"/>
        </w:rPr>
      </w:pPr>
      <w:r>
        <w:rPr>
          <w:rFonts w:hint="eastAsia" w:ascii="楷体" w:hAnsi="楷体" w:eastAsia="楷体" w:cs="楷体"/>
        </w:rPr>
        <w:t>一、阜平县财政局单位基本情况</w:t>
      </w:r>
      <w:bookmarkEnd w:id="2"/>
      <w:bookmarkEnd w:id="3"/>
      <w:bookmarkStart w:id="4" w:name="_Toc492652764"/>
    </w:p>
    <w:p>
      <w:pPr>
        <w:pStyle w:val="4"/>
        <w:spacing w:before="0" w:after="0"/>
        <w:ind w:firstLine="643" w:firstLineChars="200"/>
        <w:jc w:val="both"/>
        <w:rPr>
          <w:rFonts w:ascii="仿宋_GB2312" w:hAnsi="Tahoma" w:cs="DengXian-Regular"/>
          <w:sz w:val="32"/>
        </w:rPr>
      </w:pPr>
      <w:bookmarkStart w:id="5" w:name="_Toc11473"/>
      <w:r>
        <w:rPr>
          <w:rFonts w:hint="eastAsia" w:ascii="仿宋_GB2312" w:hAnsi="Tahoma" w:cs="DengXian-Regular"/>
          <w:sz w:val="32"/>
        </w:rPr>
        <w:t>（一）部门职责和工作活动</w:t>
      </w:r>
      <w:bookmarkEnd w:id="4"/>
      <w:bookmarkEnd w:id="5"/>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阜平县委编制办公室《“三定”方案》，财政局局为县政府工作部门，一级预算单位。财政局根据绩效预算管理改革的相关要求，按照“部门职责—工作活动绩效目标”的层级设立了绩效预算架构，职责活动包括十三</w:t>
      </w:r>
      <w:r>
        <w:rPr>
          <w:rFonts w:ascii="仿宋_GB2312" w:eastAsia="仿宋_GB2312" w:cs="DengXian-Regular"/>
          <w:sz w:val="32"/>
          <w:szCs w:val="32"/>
        </w:rPr>
        <w:t>个</w:t>
      </w:r>
      <w:r>
        <w:rPr>
          <w:rFonts w:hint="eastAsia" w:ascii="仿宋_GB2312" w:eastAsia="仿宋_GB2312" w:cs="DengXian-Regular"/>
          <w:sz w:val="32"/>
          <w:szCs w:val="32"/>
        </w:rPr>
        <w:t>部分。</w:t>
      </w:r>
      <w:bookmarkStart w:id="6" w:name="_Toc465149499"/>
      <w:bookmarkStart w:id="7" w:name="_Toc492652765"/>
      <w:r>
        <w:rPr>
          <w:rFonts w:hint="eastAsia" w:ascii="仿宋_GB2312" w:eastAsia="仿宋_GB2312" w:cs="DengXian-Regular"/>
          <w:sz w:val="32"/>
          <w:szCs w:val="32"/>
        </w:rPr>
        <w:t xml:space="preserve"> 工作</w:t>
      </w:r>
      <w:r>
        <w:rPr>
          <w:rFonts w:ascii="仿宋_GB2312" w:eastAsia="仿宋_GB2312" w:cs="DengXian-Regular"/>
          <w:sz w:val="32"/>
          <w:szCs w:val="32"/>
        </w:rPr>
        <w:t>职责是：</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（一）贯彻执行国家财税、税收的发展战略、方针、政策，组织财政收入，保证财政任务的完成，加强调控管理，统筹安排财政支出，支持生产建设和各项事业的发展，实现财政预算平衡。</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（三）承担财政国库管理的责任。指导和监督县本级国库业务，按规定开展国库现金管理；负责县级政府采购监督管理；承担财政投资评审管理。</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（四）负责政府非税收入和政府性基金管理，按规定管理行政事业性收费；管理财政票据。</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（五）负责管理全县的国有资产产权登记及年检，国有资产评估的审核、备案，清产核资，国有资产的产权纠纷和流失查处工作。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（六）承担县直机关事业单位公务车辆编制职责。</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（七）负责办理和监督县级财政的经济社会发展支出、县投资项目的财政拨款；负责有关政策性补贴和专项储备资金财政管理。</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（八）会同有关部门管理县级财政社会保障和就业及医疗卫生支出。</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（九）负责管理全县会计工作，监督和规范会计行为，指导和监督注册会计师和会计师事务所的业务，指导和管理社会审计。</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（十）监督检查财税法规、政策的执行情况，反映财政收支管理中的重大问题。贯彻监督执行《企业财务通则》和分行业的财务会计制度，负责地方金融企业财务监管工作。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（十一）正确处理上下级财政之间以及财政与企业事业单位，居民之间的分配关系。</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（十二）管理全县的国有资产产权登记及年检，国有资产评估的审核、备案，清产核资，国有资产的产权纠纷和流失查处工作。</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（十三）承办县政府交办的其他事项。</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阜平县机构编制委员会关于设置阜平县农业综合开发办公室通知》的规定，农开办主要职责：贯彻执行国家农业综合开发方针、政策；指定全县农业综合开发规划和实施计划；对全县农业综合开发工作进行综合协调和服务；督促检查农业综合开发项目及其计划执行情况；管理全县农业综合开发资金；管理和组织实施国家立项的农业综合开发土地治理项目、多种经营项目、科技项目以及其他农业综合开发项目；承办县政府和上级主管部门交办的其他事项。</w:t>
      </w:r>
    </w:p>
    <w:p>
      <w:pPr>
        <w:pStyle w:val="4"/>
        <w:spacing w:before="0" w:after="0"/>
        <w:ind w:firstLine="643" w:firstLineChars="200"/>
        <w:jc w:val="both"/>
        <w:rPr>
          <w:rFonts w:ascii="仿宋_GB2312" w:hAnsi="Tahoma" w:cs="DengXian-Regular"/>
          <w:sz w:val="32"/>
        </w:rPr>
      </w:pPr>
      <w:bookmarkStart w:id="8" w:name="_Toc7075"/>
      <w:r>
        <w:rPr>
          <w:rFonts w:hint="eastAsia" w:ascii="仿宋_GB2312" w:hAnsi="Tahoma" w:cs="DengXian-Regular"/>
          <w:sz w:val="32"/>
        </w:rPr>
        <w:t>（二）</w:t>
      </w:r>
      <w:bookmarkEnd w:id="6"/>
      <w:r>
        <w:rPr>
          <w:rFonts w:hint="eastAsia" w:ascii="仿宋_GB2312" w:hAnsi="Tahoma" w:cs="DengXian-Regular"/>
          <w:sz w:val="32"/>
        </w:rPr>
        <w:t>部门年度发展规划总体目标和职责分类绩效目标</w:t>
      </w:r>
      <w:bookmarkEnd w:id="7"/>
      <w:bookmarkEnd w:id="8"/>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按照2020年绩效预算编制要求，财政</w:t>
      </w:r>
      <w:r>
        <w:rPr>
          <w:rFonts w:ascii="仿宋_GB2312" w:eastAsia="仿宋_GB2312" w:cs="DengXian-Regular"/>
          <w:sz w:val="32"/>
          <w:szCs w:val="32"/>
        </w:rPr>
        <w:t>局</w:t>
      </w:r>
      <w:r>
        <w:rPr>
          <w:rFonts w:hint="eastAsia" w:ascii="仿宋_GB2312" w:eastAsia="仿宋_GB2312" w:cs="DengXian-Regular"/>
          <w:sz w:val="32"/>
          <w:szCs w:val="32"/>
        </w:rPr>
        <w:t>设置的年度发展规划总体目标为：</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紧紧围绕全县中心工作和县委重要部署，民主表决，科学决策，坚持以人为本，把维护群众利益、改善民生作为财政工作的着力点。开展专项工作评议，进行满意度测评。充分发挥职能作用，激发内在活力，增强履职责任感和工作积极性，不断提高服务水平。适应新形势、新任务、新要求，抓好自身建设，提高议事质量，不断规范履职行为，努力开创财政工作新局面。</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职责分类绩效目标为：</w:t>
      </w:r>
    </w:p>
    <w:p>
      <w:pPr>
        <w:spacing w:after="0" w:line="360" w:lineRule="auto"/>
        <w:ind w:firstLine="640" w:firstLineChars="200"/>
        <w:jc w:val="both"/>
        <w:textAlignment w:val="baseline"/>
        <w:rPr>
          <w:rFonts w:ascii="仿宋_GB2312" w:eastAsia="仿宋_GB2312" w:cs="DengXian-Regular"/>
          <w:sz w:val="32"/>
          <w:szCs w:val="32"/>
        </w:rPr>
      </w:pPr>
      <w:r>
        <w:rPr>
          <w:rFonts w:ascii="仿宋_GB2312" w:eastAsia="仿宋_GB2312" w:cs="DengXian-Regular"/>
          <w:sz w:val="32"/>
          <w:szCs w:val="32"/>
        </w:rPr>
        <w:t>20</w:t>
      </w:r>
      <w:r>
        <w:rPr>
          <w:rFonts w:hint="eastAsia" w:ascii="仿宋_GB2312" w:eastAsia="仿宋_GB2312" w:cs="DengXian-Regular"/>
          <w:sz w:val="32"/>
          <w:szCs w:val="32"/>
        </w:rPr>
        <w:t>20年财政局及所属单位进一步围绕全县中心工作和县委重要部署，积极进行财政管理各项工作，推动财政改革，为实现我县财政管理的依法高效、规范安全，不断走在全省财政工作的前列提供资金支持。</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1、国库管理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银行账户与专户资金管理工作。安排国库集中支付电子化代理业务专项经费，通过与各代理银行协议，实现国库集中支付电子化改革顺利实行，进一步规范国库管理。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2、财政监督管理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财政政策资金监督工作。安排财政监督检查和监控平台建设专项经费，主要用于完成区政府和局机关业务股室安排的专项核查工作，维护财经秩序，提高会计信息质量。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财政投资评审工作。</w:t>
      </w:r>
      <w:r>
        <w:rPr>
          <w:rFonts w:ascii="仿宋_GB2312" w:eastAsia="仿宋_GB2312" w:cs="DengXian-Regular"/>
          <w:sz w:val="32"/>
          <w:szCs w:val="32"/>
        </w:rPr>
        <w:t>2019</w:t>
      </w:r>
      <w:r>
        <w:rPr>
          <w:rFonts w:hint="eastAsia" w:ascii="仿宋_GB2312" w:eastAsia="仿宋_GB2312" w:cs="DengXian-Regular"/>
          <w:sz w:val="32"/>
          <w:szCs w:val="32"/>
        </w:rPr>
        <w:t>年安排财政项目评审经费，通过委托中介机构评审项目，保障中介机构认真履行各项服务承诺，并在规定的时限内完成各项评审任务，从而使评审结论真实可靠。</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会计人员管理工作。安排财政支农政策培训专项经费，用于财政支农政策的培训中的各项支出，从而实现贯彻实施国家会计法律、规章、制度和会计准则，并对执行情况进行监督检查。</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3、财务会计管理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会计人员管理工作。贯彻实施国家会计法律、规章、制度和会计准则，并对执行情况进行监督检查；组织对农村财会人员培训。</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4、国有资产管理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行政事业单位国有资产管理工作。安排国有资产管理和罚没物资管理工作，主要用于对行政事业单位资产配置、使用、处置事项管理工作支出，负责市直行政事业单位公务车辆编制管理等。</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5、财政政务管理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综合业务管理工作。安排迎接上级检查专项经费主要用于迎接上级各项财政检查工作，保障财政管理工作顺利完成上级检查与验收；安排财政网络运行维护和建设专项经费，财政内网和财政专网的网络正常运行及维护管理费用，保障财政部门与各乡镇财政所、开发区财政局、各县直单位的财政内网和财政专网正常运行；安排财政票据管理专项经费主要用于本行政区域财政票据的申领、发放等工作。</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综合事务管理工作。安排保安保洁服务费，通过政府购买服务方式，签订保安、保洁合同，用于维护机关的安全与整洁；安排财政局办公楼墙体保温工程项目资金，进行墙体保温工程，实现局机关达到保温效果，节约能源，营造良好的办公环境；安排更换局机关门窗工程，使办公环境达到安静良好的状态。</w:t>
      </w:r>
    </w:p>
    <w:p>
      <w:pPr>
        <w:spacing w:after="0" w:line="360" w:lineRule="auto"/>
        <w:ind w:firstLine="643" w:firstLineChars="200"/>
        <w:jc w:val="both"/>
        <w:textAlignment w:val="baseline"/>
        <w:rPr>
          <w:rFonts w:ascii="仿宋_GB2312" w:eastAsia="仿宋_GB2312" w:cs="DengXian-Regular"/>
          <w:b/>
          <w:sz w:val="32"/>
          <w:szCs w:val="32"/>
        </w:rPr>
      </w:pPr>
      <w:bookmarkStart w:id="9" w:name="_Toc1678"/>
      <w:bookmarkStart w:id="10" w:name="_Toc492652766"/>
      <w:bookmarkStart w:id="11" w:name="_Toc465149500"/>
      <w:r>
        <w:rPr>
          <w:rFonts w:hint="eastAsia" w:ascii="仿宋_GB2312" w:eastAsia="仿宋_GB2312" w:cs="DengXian-Regular"/>
          <w:b/>
          <w:sz w:val="32"/>
          <w:szCs w:val="32"/>
        </w:rPr>
        <w:t>（三）部门预算收入及决算收入</w:t>
      </w:r>
      <w:bookmarkEnd w:id="9"/>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2020年部门预算收入</w:t>
      </w:r>
      <w:r>
        <w:rPr>
          <w:rFonts w:hint="eastAsia" w:ascii="仿宋_GB2312" w:hAnsi="Times New Roman" w:eastAsia="仿宋_GB2312" w:cs="DengXian-Regular"/>
          <w:sz w:val="32"/>
          <w:szCs w:val="32"/>
        </w:rPr>
        <w:t>20545.8</w:t>
      </w:r>
      <w:r>
        <w:rPr>
          <w:rFonts w:hint="eastAsia" w:ascii="仿宋_GB2312" w:eastAsia="仿宋_GB2312" w:cs="DengXian-Regular"/>
          <w:sz w:val="32"/>
          <w:szCs w:val="32"/>
        </w:rPr>
        <w:t>万元，</w:t>
      </w:r>
      <w:r>
        <w:rPr>
          <w:rFonts w:ascii="仿宋_GB2312" w:eastAsia="仿宋_GB2312" w:cs="DengXian-Regular"/>
          <w:sz w:val="32"/>
          <w:szCs w:val="32"/>
        </w:rPr>
        <w:t>其中财政拨款</w:t>
      </w:r>
      <w:r>
        <w:rPr>
          <w:rFonts w:hint="eastAsia" w:ascii="仿宋_GB2312" w:hAnsi="Times New Roman" w:eastAsia="仿宋_GB2312" w:cs="DengXian-Regular"/>
          <w:sz w:val="32"/>
          <w:szCs w:val="32"/>
        </w:rPr>
        <w:t>20545.8</w:t>
      </w:r>
      <w:r>
        <w:rPr>
          <w:rFonts w:hint="eastAsia" w:ascii="仿宋_GB2312" w:eastAsia="仿宋_GB2312" w:cs="DengXian-Regular"/>
          <w:sz w:val="32"/>
          <w:szCs w:val="32"/>
        </w:rPr>
        <w:t>万元。预算收入按功能分类包含：一般公共</w:t>
      </w:r>
      <w:r>
        <w:rPr>
          <w:rFonts w:ascii="仿宋_GB2312" w:eastAsia="仿宋_GB2312" w:cs="DengXian-Regular"/>
          <w:sz w:val="32"/>
          <w:szCs w:val="32"/>
        </w:rPr>
        <w:t>服务</w:t>
      </w:r>
      <w:r>
        <w:rPr>
          <w:rFonts w:hint="eastAsia" w:ascii="仿宋_GB2312" w:eastAsia="仿宋_GB2312" w:cs="DengXian-Regular"/>
          <w:sz w:val="32"/>
          <w:szCs w:val="32"/>
        </w:rPr>
        <w:t>支出649.18万元，社会保障和就业支出48.07万元，卫生健康</w:t>
      </w:r>
      <w:r>
        <w:rPr>
          <w:rFonts w:ascii="仿宋_GB2312" w:eastAsia="仿宋_GB2312" w:cs="DengXian-Regular"/>
          <w:sz w:val="32"/>
          <w:szCs w:val="32"/>
        </w:rPr>
        <w:t>支出</w:t>
      </w:r>
      <w:r>
        <w:rPr>
          <w:rFonts w:hint="eastAsia" w:ascii="仿宋_GB2312" w:eastAsia="仿宋_GB2312" w:cs="DengXian-Regular"/>
          <w:sz w:val="32"/>
          <w:szCs w:val="32"/>
        </w:rPr>
        <w:t>12.03万元，农林水支出2493万元，住房保障支出23.6万元，粮油物资储备支出18.21万元，其他支出1.71万元，债务付息支出17300万元。</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2020年部门决算收入</w:t>
      </w:r>
      <w:r>
        <w:rPr>
          <w:rFonts w:hint="eastAsia" w:ascii="仿宋_GB2312" w:hAnsi="Times New Roman" w:eastAsia="仿宋_GB2312" w:cs="DengXian-Regular"/>
          <w:sz w:val="32"/>
          <w:szCs w:val="32"/>
        </w:rPr>
        <w:t>19141.35</w:t>
      </w:r>
      <w:r>
        <w:rPr>
          <w:rFonts w:hint="eastAsia" w:ascii="仿宋_GB2312" w:eastAsia="仿宋_GB2312" w:cs="DengXian-Regular"/>
          <w:sz w:val="32"/>
          <w:szCs w:val="32"/>
        </w:rPr>
        <w:t>万元，其中：财政拨款收入</w:t>
      </w:r>
      <w:r>
        <w:rPr>
          <w:rFonts w:hint="eastAsia" w:ascii="仿宋_GB2312" w:hAnsi="Times New Roman" w:eastAsia="仿宋_GB2312" w:cs="DengXian-Regular"/>
          <w:sz w:val="32"/>
          <w:szCs w:val="32"/>
        </w:rPr>
        <w:t>19141.35万元</w:t>
      </w:r>
      <w:r>
        <w:rPr>
          <w:rFonts w:ascii="仿宋_GB2312" w:eastAsia="仿宋_GB2312" w:cs="DengXian-Regular"/>
          <w:sz w:val="32"/>
          <w:szCs w:val="32"/>
        </w:rPr>
        <w:tab/>
      </w:r>
      <w:r>
        <w:rPr>
          <w:rFonts w:hint="eastAsia" w:ascii="仿宋_GB2312" w:eastAsia="仿宋_GB2312" w:cs="DengXian-Regular"/>
          <w:sz w:val="32"/>
          <w:szCs w:val="32"/>
        </w:rPr>
        <w:t>。决算收入按功能分类包含：一般公共</w:t>
      </w:r>
      <w:r>
        <w:rPr>
          <w:rFonts w:ascii="仿宋_GB2312" w:eastAsia="仿宋_GB2312" w:cs="DengXian-Regular"/>
          <w:sz w:val="32"/>
          <w:szCs w:val="32"/>
        </w:rPr>
        <w:t>服务</w:t>
      </w:r>
      <w:r>
        <w:rPr>
          <w:rFonts w:hint="eastAsia" w:ascii="仿宋_GB2312" w:eastAsia="仿宋_GB2312" w:cs="DengXian-Regular"/>
          <w:sz w:val="32"/>
          <w:szCs w:val="32"/>
        </w:rPr>
        <w:t>支出551.41万元，占比2.88%；社会保障和就业支出49.4343万元，占比0.26%；卫生健康</w:t>
      </w:r>
      <w:r>
        <w:rPr>
          <w:rFonts w:ascii="仿宋_GB2312" w:eastAsia="仿宋_GB2312" w:cs="DengXian-Regular"/>
          <w:sz w:val="32"/>
          <w:szCs w:val="32"/>
        </w:rPr>
        <w:t>支出</w:t>
      </w:r>
      <w:r>
        <w:rPr>
          <w:rFonts w:hint="eastAsia" w:ascii="仿宋_GB2312" w:eastAsia="仿宋_GB2312" w:cs="DengXian-Regular"/>
          <w:sz w:val="32"/>
          <w:szCs w:val="32"/>
        </w:rPr>
        <w:t>11.08万元，占比0.06%；城乡社区支出336.75万元，占比1.76%；住房保障支出21.22万元，占比0.11%；粮油物资储备支出18.21万元，占比0.78%；其他支出0.06万元，占比0.09%；债务付息支出18153.19万元，占比94.84%。</w:t>
      </w:r>
    </w:p>
    <w:p>
      <w:pPr>
        <w:spacing w:after="0" w:line="360" w:lineRule="auto"/>
        <w:ind w:firstLine="640" w:firstLineChars="200"/>
        <w:jc w:val="both"/>
        <w:rPr>
          <w:rFonts w:ascii="仿宋_GB2312" w:eastAsia="仿宋_GB2312" w:cs="Times New Roman" w:hAnsiTheme="minorEastAsia"/>
          <w:bCs/>
          <w:sz w:val="32"/>
          <w:szCs w:val="32"/>
          <w:u w:color="000000"/>
        </w:rPr>
      </w:pPr>
      <w:r>
        <w:rPr>
          <w:rFonts w:hint="eastAsia" w:ascii="仿宋_GB2312" w:eastAsia="仿宋_GB2312" w:cs="DengXian-Regular"/>
          <w:sz w:val="32"/>
          <w:szCs w:val="32"/>
        </w:rPr>
        <w:t>部门一般公共预算财政拨款决算收入</w:t>
      </w:r>
      <w:r>
        <w:rPr>
          <w:rFonts w:hint="eastAsia" w:ascii="仿宋_GB2312" w:hAnsi="Times New Roman" w:eastAsia="仿宋_GB2312" w:cs="DengXian-Regular"/>
          <w:sz w:val="32"/>
          <w:szCs w:val="32"/>
        </w:rPr>
        <w:t>与年初预算相比减少1404.45万元，</w:t>
      </w:r>
      <w:r>
        <w:rPr>
          <w:rFonts w:hint="eastAsia" w:ascii="仿宋_GB2312" w:eastAsia="仿宋_GB2312" w:cs="DengXian-Regular"/>
          <w:sz w:val="32"/>
          <w:szCs w:val="32"/>
        </w:rPr>
        <w:t>完成年初预算的93.16%。决算收入小于预算收入的主要原因</w:t>
      </w:r>
      <w:r>
        <w:rPr>
          <w:rFonts w:hint="eastAsia" w:ascii="仿宋_GB2312" w:eastAsia="仿宋_GB2312" w:cs="仿宋"/>
          <w:color w:val="000000"/>
          <w:sz w:val="32"/>
          <w:szCs w:val="32"/>
        </w:rPr>
        <w:t>是厉行节约，压减了各项支出</w:t>
      </w:r>
      <w:r>
        <w:rPr>
          <w:rFonts w:hint="eastAsia" w:ascii="仿宋_GB2312" w:eastAsia="仿宋_GB2312" w:cs="DengXian-Regular"/>
          <w:sz w:val="32"/>
          <w:szCs w:val="32"/>
        </w:rPr>
        <w:t>。</w:t>
      </w:r>
    </w:p>
    <w:p>
      <w:pPr>
        <w:pStyle w:val="4"/>
        <w:spacing w:before="0" w:after="0"/>
        <w:ind w:firstLine="643" w:firstLineChars="200"/>
        <w:jc w:val="both"/>
        <w:rPr>
          <w:rFonts w:ascii="仿宋_GB2312" w:hAnsiTheme="minorEastAsia"/>
          <w:sz w:val="32"/>
        </w:rPr>
      </w:pPr>
      <w:bookmarkStart w:id="12" w:name="_Toc18197"/>
      <w:r>
        <w:rPr>
          <w:rFonts w:hint="eastAsia" w:ascii="仿宋_GB2312" w:hAnsiTheme="minorEastAsia"/>
          <w:sz w:val="32"/>
        </w:rPr>
        <w:t>（四）预算支出及决算</w:t>
      </w:r>
      <w:bookmarkEnd w:id="10"/>
      <w:bookmarkEnd w:id="11"/>
      <w:r>
        <w:rPr>
          <w:rFonts w:hint="eastAsia" w:ascii="仿宋_GB2312" w:hAnsiTheme="minorEastAsia"/>
          <w:sz w:val="32"/>
        </w:rPr>
        <w:t>支出</w:t>
      </w:r>
      <w:bookmarkEnd w:id="12"/>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2020年度</w:t>
      </w:r>
      <w:r>
        <w:rPr>
          <w:rFonts w:hint="eastAsia" w:ascii="仿宋_GB2312" w:eastAsia="仿宋_GB2312" w:cs="Times New Roman" w:hAnsiTheme="minorEastAsia"/>
          <w:sz w:val="32"/>
          <w:szCs w:val="32"/>
          <w:u w:color="000000"/>
        </w:rPr>
        <w:t>预算支出安排</w:t>
      </w:r>
      <w:r>
        <w:rPr>
          <w:rFonts w:hint="eastAsia" w:ascii="仿宋_GB2312" w:hAnsi="Times New Roman" w:eastAsia="仿宋_GB2312" w:cs="DengXian-Regular"/>
          <w:sz w:val="32"/>
          <w:szCs w:val="32"/>
        </w:rPr>
        <w:t>20545.8</w:t>
      </w:r>
      <w:r>
        <w:rPr>
          <w:rFonts w:hint="eastAsia" w:ascii="仿宋_GB2312" w:eastAsia="仿宋_GB2312" w:cs="Times New Roman" w:hAnsiTheme="minorEastAsia"/>
          <w:sz w:val="32"/>
          <w:szCs w:val="32"/>
          <w:u w:color="000000"/>
        </w:rPr>
        <w:t>万元，其中：基本支出</w:t>
      </w:r>
      <w:r>
        <w:rPr>
          <w:rFonts w:hint="eastAsia" w:ascii="仿宋_GB2312" w:hAnsi="Times New Roman" w:eastAsia="仿宋_GB2312" w:cs="DengXian-Regular"/>
          <w:sz w:val="32"/>
          <w:szCs w:val="32"/>
        </w:rPr>
        <w:t>574.33</w:t>
      </w:r>
      <w:r>
        <w:rPr>
          <w:rFonts w:hint="eastAsia" w:ascii="仿宋_GB2312" w:eastAsia="仿宋_GB2312" w:cs="Times New Roman" w:hAnsiTheme="minorEastAsia"/>
          <w:sz w:val="32"/>
          <w:szCs w:val="32"/>
          <w:u w:color="000000"/>
        </w:rPr>
        <w:t>万元，项目支出</w:t>
      </w:r>
      <w:r>
        <w:rPr>
          <w:rFonts w:hint="eastAsia" w:ascii="仿宋_GB2312" w:hAnsi="Times New Roman" w:eastAsia="仿宋_GB2312" w:cs="DengXian-Regular"/>
          <w:sz w:val="32"/>
          <w:szCs w:val="32"/>
        </w:rPr>
        <w:t>19971.47</w:t>
      </w:r>
      <w:r>
        <w:rPr>
          <w:rFonts w:hint="eastAsia" w:ascii="仿宋_GB2312" w:eastAsia="仿宋_GB2312" w:cs="Times New Roman" w:hAnsiTheme="minorEastAsia"/>
          <w:sz w:val="32"/>
          <w:szCs w:val="32"/>
          <w:u w:color="000000"/>
        </w:rPr>
        <w:t>万元。预算支出按功能分类包含：</w:t>
      </w:r>
      <w:r>
        <w:rPr>
          <w:rFonts w:hint="eastAsia" w:ascii="仿宋_GB2312" w:eastAsia="仿宋_GB2312" w:cs="DengXian-Regular"/>
          <w:sz w:val="32"/>
          <w:szCs w:val="32"/>
        </w:rPr>
        <w:t>一般公共</w:t>
      </w:r>
      <w:r>
        <w:rPr>
          <w:rFonts w:ascii="仿宋_GB2312" w:eastAsia="仿宋_GB2312" w:cs="DengXian-Regular"/>
          <w:sz w:val="32"/>
          <w:szCs w:val="32"/>
        </w:rPr>
        <w:t>服务</w:t>
      </w:r>
      <w:r>
        <w:rPr>
          <w:rFonts w:hint="eastAsia" w:ascii="仿宋_GB2312" w:eastAsia="仿宋_GB2312" w:cs="DengXian-Regular"/>
          <w:sz w:val="32"/>
          <w:szCs w:val="32"/>
        </w:rPr>
        <w:t>支出649.18万元，社会保障和就业支出48.07万元，卫生健康</w:t>
      </w:r>
      <w:r>
        <w:rPr>
          <w:rFonts w:ascii="仿宋_GB2312" w:eastAsia="仿宋_GB2312" w:cs="DengXian-Regular"/>
          <w:sz w:val="32"/>
          <w:szCs w:val="32"/>
        </w:rPr>
        <w:t>支出</w:t>
      </w:r>
      <w:r>
        <w:rPr>
          <w:rFonts w:hint="eastAsia" w:ascii="仿宋_GB2312" w:eastAsia="仿宋_GB2312" w:cs="DengXian-Regular"/>
          <w:sz w:val="32"/>
          <w:szCs w:val="32"/>
        </w:rPr>
        <w:t>12.03万元，农林水支出2493万元，住房保障支出23.6万元，粮油物资储备支出18.21万元，其他支出1.71万元，债务付息支出17300万元。</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2020年度</w:t>
      </w:r>
      <w:r>
        <w:rPr>
          <w:rFonts w:hint="eastAsia" w:ascii="仿宋_GB2312" w:eastAsia="仿宋_GB2312" w:cs="Times New Roman" w:hAnsiTheme="minorEastAsia"/>
          <w:sz w:val="32"/>
          <w:szCs w:val="32"/>
          <w:u w:color="000000"/>
        </w:rPr>
        <w:t>决算支出为</w:t>
      </w:r>
      <w:r>
        <w:rPr>
          <w:rFonts w:hint="eastAsia" w:ascii="仿宋_GB2312" w:hAnsi="Times New Roman" w:eastAsia="仿宋_GB2312" w:cs="DengXian-Regular"/>
          <w:sz w:val="32"/>
          <w:szCs w:val="32"/>
        </w:rPr>
        <w:t>19141.35</w:t>
      </w:r>
      <w:r>
        <w:rPr>
          <w:rFonts w:hint="eastAsia" w:ascii="仿宋_GB2312" w:eastAsia="仿宋_GB2312" w:cs="Times New Roman" w:hAnsiTheme="minorEastAsia"/>
          <w:sz w:val="32"/>
          <w:szCs w:val="32"/>
          <w:u w:color="000000"/>
        </w:rPr>
        <w:t>元，其中：基本支出</w:t>
      </w:r>
      <w:r>
        <w:rPr>
          <w:rFonts w:hint="eastAsia" w:ascii="仿宋_GB2312" w:hAnsi="Times New Roman" w:eastAsia="仿宋_GB2312" w:cs="DengXian-Regular"/>
          <w:sz w:val="32"/>
          <w:szCs w:val="32"/>
        </w:rPr>
        <w:t>563.24万</w:t>
      </w:r>
      <w:r>
        <w:rPr>
          <w:rFonts w:hint="eastAsia" w:ascii="仿宋_GB2312" w:eastAsia="仿宋_GB2312" w:cs="Times New Roman" w:hAnsiTheme="minorEastAsia"/>
          <w:sz w:val="32"/>
          <w:szCs w:val="32"/>
          <w:u w:color="000000"/>
        </w:rPr>
        <w:t>元，项目支出</w:t>
      </w:r>
      <w:r>
        <w:rPr>
          <w:rFonts w:hint="eastAsia" w:ascii="仿宋_GB2312" w:hAnsi="Times New Roman" w:eastAsia="仿宋_GB2312" w:cs="DengXian-Regular"/>
          <w:sz w:val="32"/>
          <w:szCs w:val="32"/>
        </w:rPr>
        <w:t>18578.11万</w:t>
      </w:r>
      <w:r>
        <w:rPr>
          <w:rFonts w:hint="eastAsia" w:ascii="仿宋_GB2312" w:eastAsia="仿宋_GB2312" w:cs="Times New Roman" w:hAnsiTheme="minorEastAsia"/>
          <w:sz w:val="32"/>
          <w:szCs w:val="32"/>
          <w:u w:color="000000"/>
        </w:rPr>
        <w:t>元。决算支出按功能分类包含：</w:t>
      </w:r>
      <w:r>
        <w:rPr>
          <w:rFonts w:hint="eastAsia" w:ascii="仿宋_GB2312" w:eastAsia="仿宋_GB2312" w:cs="DengXian-Regular"/>
          <w:sz w:val="32"/>
          <w:szCs w:val="32"/>
        </w:rPr>
        <w:t>一般公共</w:t>
      </w:r>
      <w:r>
        <w:rPr>
          <w:rFonts w:ascii="仿宋_GB2312" w:eastAsia="仿宋_GB2312" w:cs="DengXian-Regular"/>
          <w:sz w:val="32"/>
          <w:szCs w:val="32"/>
        </w:rPr>
        <w:t>服务</w:t>
      </w:r>
      <w:r>
        <w:rPr>
          <w:rFonts w:hint="eastAsia" w:ascii="仿宋_GB2312" w:eastAsia="仿宋_GB2312" w:cs="DengXian-Regular"/>
          <w:sz w:val="32"/>
          <w:szCs w:val="32"/>
        </w:rPr>
        <w:t>支出551.41万元，占比2.88%；社会保障和就业支出49.4343万元，占比0.26%；卫生健康</w:t>
      </w:r>
      <w:r>
        <w:rPr>
          <w:rFonts w:ascii="仿宋_GB2312" w:eastAsia="仿宋_GB2312" w:cs="DengXian-Regular"/>
          <w:sz w:val="32"/>
          <w:szCs w:val="32"/>
        </w:rPr>
        <w:t>支出</w:t>
      </w:r>
      <w:r>
        <w:rPr>
          <w:rFonts w:hint="eastAsia" w:ascii="仿宋_GB2312" w:eastAsia="仿宋_GB2312" w:cs="DengXian-Regular"/>
          <w:sz w:val="32"/>
          <w:szCs w:val="32"/>
        </w:rPr>
        <w:t>11.08万元，占比0.06%；城乡社区支出336.75万元，占比1.76%；住房保障支出21.22万元，占比0.11%；粮油物资储备支出18.21万元，占比0.78%；其他支出0.06万元，占比0.09%；债务付息支出18153.19万元，占比94.84%。</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财政拨款决算支出比年初预算减少</w:t>
      </w:r>
      <w:r>
        <w:rPr>
          <w:rFonts w:hint="eastAsia" w:ascii="仿宋_GB2312" w:hAnsi="Times New Roman" w:eastAsia="仿宋_GB2312" w:cs="DengXian-Regular"/>
          <w:sz w:val="32"/>
          <w:szCs w:val="32"/>
        </w:rPr>
        <w:t>1404.45万</w:t>
      </w:r>
      <w:r>
        <w:rPr>
          <w:rFonts w:hint="eastAsia" w:ascii="仿宋_GB2312" w:eastAsia="仿宋_GB2312" w:cs="DengXian-Regular"/>
          <w:sz w:val="32"/>
          <w:szCs w:val="32"/>
        </w:rPr>
        <w:t>元。决算支出完成年初预算的93.16%。决算收入小于预算收入的主要原因</w:t>
      </w:r>
      <w:r>
        <w:rPr>
          <w:rFonts w:hint="eastAsia" w:ascii="仿宋_GB2312" w:eastAsia="仿宋_GB2312" w:cs="仿宋"/>
          <w:color w:val="000000"/>
          <w:sz w:val="32"/>
          <w:szCs w:val="32"/>
        </w:rPr>
        <w:t>是厉行节约，压减了各项支出</w:t>
      </w:r>
      <w:r>
        <w:rPr>
          <w:rFonts w:hint="eastAsia" w:ascii="仿宋_GB2312" w:eastAsia="仿宋_GB2312" w:cs="DengXian-Regular"/>
          <w:sz w:val="32"/>
          <w:szCs w:val="32"/>
        </w:rPr>
        <w:t>。</w:t>
      </w:r>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我部门2020年实际项目支出</w:t>
      </w:r>
      <w:r>
        <w:rPr>
          <w:rFonts w:hint="eastAsia" w:ascii="仿宋_GB2312" w:hAnsi="Times New Roman" w:eastAsia="仿宋_GB2312" w:cs="DengXian-Regular"/>
          <w:sz w:val="32"/>
          <w:szCs w:val="32"/>
        </w:rPr>
        <w:t>18578.11万元</w:t>
      </w:r>
      <w:r>
        <w:rPr>
          <w:rFonts w:hint="eastAsia" w:ascii="仿宋_GB2312" w:eastAsia="仿宋_GB2312" w:cs="DengXian-Regular"/>
          <w:sz w:val="32"/>
          <w:szCs w:val="32"/>
        </w:rPr>
        <w:t>，决算报表中项目支出</w:t>
      </w:r>
      <w:r>
        <w:rPr>
          <w:rFonts w:hint="eastAsia" w:ascii="仿宋_GB2312" w:hAnsi="Times New Roman" w:eastAsia="仿宋_GB2312" w:cs="DengXian-Regular"/>
          <w:sz w:val="32"/>
          <w:szCs w:val="32"/>
        </w:rPr>
        <w:t>18578.11万元</w:t>
      </w:r>
      <w:r>
        <w:rPr>
          <w:rFonts w:hint="eastAsia" w:ascii="仿宋_GB2312" w:eastAsia="仿宋_GB2312" w:cs="DengXian-Regular"/>
          <w:sz w:val="32"/>
          <w:szCs w:val="32"/>
        </w:rPr>
        <w:t>，实际支出与决算报表一致</w:t>
      </w:r>
      <w:r>
        <w:rPr>
          <w:rFonts w:ascii="仿宋_GB2312" w:eastAsia="仿宋_GB2312" w:cs="DengXian-Regular"/>
          <w:sz w:val="32"/>
          <w:szCs w:val="32"/>
        </w:rPr>
        <w:t>。</w:t>
      </w:r>
    </w:p>
    <w:p>
      <w:pPr>
        <w:pStyle w:val="4"/>
        <w:spacing w:before="0" w:after="0"/>
        <w:ind w:firstLine="643" w:firstLineChars="200"/>
        <w:jc w:val="both"/>
        <w:rPr>
          <w:rFonts w:ascii="仿宋_GB2312" w:hAnsi="Tahoma" w:cs="DengXian-Regular"/>
          <w:sz w:val="32"/>
        </w:rPr>
      </w:pPr>
      <w:bookmarkStart w:id="13" w:name="_Toc19291"/>
      <w:bookmarkStart w:id="14" w:name="_Toc492652769"/>
      <w:bookmarkStart w:id="15" w:name="_Toc465149503"/>
      <w:r>
        <w:rPr>
          <w:rFonts w:hint="eastAsia" w:ascii="仿宋_GB2312" w:hAnsi="Tahoma" w:cs="DengXian-Regular"/>
          <w:sz w:val="32"/>
        </w:rPr>
        <w:t>（五）“三公”经费预算安排及支出情况</w:t>
      </w:r>
      <w:bookmarkEnd w:id="13"/>
      <w:bookmarkEnd w:id="14"/>
      <w:bookmarkEnd w:id="15"/>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2020年我部门“三公”经费预算8.2万元（公务用车运行维护费7.5万元，公务接待费0.7万元），实际支出4.19万元（公务用车运行维护费4.04万元，公务接待费0.14万元），比预算减少4.01万元，节约率48.9%。2020年“三公”经费预算数与2019年预算数相比无变化，决算数与2019年实际支出相比，减少2.51元。具体详见表1。</w:t>
      </w:r>
    </w:p>
    <w:p>
      <w:pPr>
        <w:spacing w:after="0" w:line="360" w:lineRule="auto"/>
        <w:ind w:firstLine="643" w:firstLineChars="200"/>
        <w:jc w:val="both"/>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 xml:space="preserve">表1  </w:t>
      </w:r>
      <w:r>
        <w:rPr>
          <w:rFonts w:hint="eastAsia" w:ascii="仿宋_GB2312" w:eastAsia="仿宋_GB2312" w:cs="DengXian-Regular"/>
          <w:sz w:val="32"/>
          <w:szCs w:val="32"/>
        </w:rPr>
        <w:t>区财政局</w:t>
      </w:r>
      <w:r>
        <w:rPr>
          <w:rFonts w:hint="eastAsia" w:asciiTheme="minorEastAsia" w:hAnsiTheme="minorEastAsia" w:eastAsiaTheme="minorEastAsia" w:cstheme="minorEastAsia"/>
          <w:b/>
          <w:bCs/>
          <w:sz w:val="32"/>
          <w:szCs w:val="32"/>
        </w:rPr>
        <w:t>“三公”经费预算及决算明细表</w:t>
      </w:r>
    </w:p>
    <w:p>
      <w:pPr>
        <w:spacing w:after="0" w:line="540" w:lineRule="exact"/>
        <w:ind w:firstLine="420" w:firstLineChars="20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单位：万元</w:t>
      </w:r>
    </w:p>
    <w:tbl>
      <w:tblPr>
        <w:tblStyle w:val="23"/>
        <w:tblW w:w="8565" w:type="dxa"/>
        <w:tblInd w:w="0" w:type="dxa"/>
        <w:tblLayout w:type="fixed"/>
        <w:tblCellMar>
          <w:top w:w="0" w:type="dxa"/>
          <w:left w:w="0" w:type="dxa"/>
          <w:bottom w:w="0" w:type="dxa"/>
          <w:right w:w="0" w:type="dxa"/>
        </w:tblCellMar>
      </w:tblPr>
      <w:tblGrid>
        <w:gridCol w:w="549"/>
        <w:gridCol w:w="1818"/>
        <w:gridCol w:w="993"/>
        <w:gridCol w:w="932"/>
        <w:gridCol w:w="1022"/>
        <w:gridCol w:w="947"/>
        <w:gridCol w:w="1149"/>
        <w:gridCol w:w="1155"/>
      </w:tblGrid>
      <w:tr>
        <w:trPr>
          <w:trHeight w:val="454" w:hRule="atLeast"/>
        </w:trPr>
        <w:tc>
          <w:tcPr>
            <w:tcW w:w="54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序号</w:t>
            </w:r>
          </w:p>
        </w:tc>
        <w:tc>
          <w:tcPr>
            <w:tcW w:w="181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支出内容</w:t>
            </w:r>
          </w:p>
        </w:tc>
        <w:tc>
          <w:tcPr>
            <w:tcW w:w="192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after="0"/>
              <w:ind w:firstLine="422" w:firstLineChars="20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2019年</w:t>
            </w:r>
          </w:p>
        </w:tc>
        <w:tc>
          <w:tcPr>
            <w:tcW w:w="1969" w:type="dxa"/>
            <w:gridSpan w:val="2"/>
            <w:tcBorders>
              <w:top w:val="single" w:color="000000" w:sz="4" w:space="0"/>
              <w:left w:val="single" w:color="auto" w:sz="4" w:space="0"/>
              <w:bottom w:val="single" w:color="000000" w:sz="4" w:space="0"/>
              <w:right w:val="nil"/>
            </w:tcBorders>
            <w:shd w:val="clear" w:color="auto" w:fill="auto"/>
            <w:tcMar>
              <w:top w:w="15" w:type="dxa"/>
              <w:left w:w="15" w:type="dxa"/>
              <w:right w:w="15" w:type="dxa"/>
            </w:tcMar>
            <w:vAlign w:val="center"/>
          </w:tcPr>
          <w:p>
            <w:pPr>
              <w:spacing w:after="0"/>
              <w:ind w:firstLine="422" w:firstLineChars="20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2020年</w:t>
            </w:r>
          </w:p>
        </w:tc>
        <w:tc>
          <w:tcPr>
            <w:tcW w:w="23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after="0"/>
              <w:ind w:firstLine="422" w:firstLineChars="20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环比情况</w:t>
            </w:r>
          </w:p>
        </w:tc>
      </w:tr>
      <w:tr>
        <w:tblPrEx>
          <w:tblCellMar>
            <w:top w:w="0" w:type="dxa"/>
            <w:left w:w="0" w:type="dxa"/>
            <w:bottom w:w="0" w:type="dxa"/>
            <w:right w:w="0" w:type="dxa"/>
          </w:tblCellMar>
        </w:tblPrEx>
        <w:trPr>
          <w:trHeight w:val="454"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spacing w:after="0"/>
              <w:ind w:firstLine="422" w:firstLineChars="200"/>
              <w:jc w:val="center"/>
              <w:rPr>
                <w:rFonts w:ascii="宋体" w:hAnsi="宋体" w:eastAsia="宋体" w:cs="宋体"/>
                <w:b/>
                <w:bCs/>
                <w:color w:val="000000"/>
                <w:sz w:val="21"/>
                <w:szCs w:val="21"/>
              </w:rPr>
            </w:pP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after="0"/>
              <w:ind w:firstLine="422" w:firstLineChars="200"/>
              <w:jc w:val="center"/>
              <w:rPr>
                <w:rFonts w:ascii="宋体" w:hAnsi="宋体" w:eastAsia="宋体" w:cs="宋体"/>
                <w:b/>
                <w:bCs/>
                <w:color w:val="000000"/>
                <w:sz w:val="21"/>
                <w:szCs w:val="21"/>
              </w:rPr>
            </w:pPr>
          </w:p>
        </w:tc>
        <w:tc>
          <w:tcPr>
            <w:tcW w:w="9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预算安排</w:t>
            </w:r>
          </w:p>
        </w:tc>
        <w:tc>
          <w:tcPr>
            <w:tcW w:w="932"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实际支出</w:t>
            </w:r>
          </w:p>
        </w:tc>
        <w:tc>
          <w:tcPr>
            <w:tcW w:w="102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预算安排</w:t>
            </w:r>
          </w:p>
        </w:tc>
        <w:tc>
          <w:tcPr>
            <w:tcW w:w="94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实际支出</w:t>
            </w:r>
          </w:p>
        </w:tc>
        <w:tc>
          <w:tcPr>
            <w:tcW w:w="114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较上年预算增减金额</w:t>
            </w:r>
          </w:p>
        </w:tc>
        <w:tc>
          <w:tcPr>
            <w:tcW w:w="11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spacing w:after="0"/>
              <w:jc w:val="center"/>
              <w:textAlignment w:val="center"/>
              <w:rPr>
                <w:rFonts w:ascii="宋体" w:hAnsi="宋体" w:eastAsia="宋体" w:cs="宋体"/>
                <w:b/>
                <w:bCs/>
                <w:color w:val="000000"/>
                <w:sz w:val="21"/>
                <w:szCs w:val="21"/>
              </w:rPr>
            </w:pPr>
            <w:r>
              <w:rPr>
                <w:rFonts w:hint="eastAsia" w:ascii="宋体" w:hAnsi="宋体" w:eastAsia="宋体" w:cs="宋体"/>
                <w:b/>
                <w:bCs/>
                <w:color w:val="000000"/>
                <w:sz w:val="21"/>
                <w:szCs w:val="21"/>
              </w:rPr>
              <w:t>较上年支出增减金额</w:t>
            </w:r>
          </w:p>
        </w:tc>
      </w:tr>
      <w:tr>
        <w:tblPrEx>
          <w:tblCellMar>
            <w:top w:w="0" w:type="dxa"/>
            <w:left w:w="0" w:type="dxa"/>
            <w:bottom w:w="0" w:type="dxa"/>
            <w:right w:w="0" w:type="dxa"/>
          </w:tblCellMar>
        </w:tblPrEx>
        <w:trPr>
          <w:trHeight w:val="454" w:hRule="atLeast"/>
        </w:trPr>
        <w:tc>
          <w:tcPr>
            <w:tcW w:w="54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w:t>
            </w:r>
          </w:p>
        </w:tc>
        <w:tc>
          <w:tcPr>
            <w:tcW w:w="1818" w:type="dxa"/>
            <w:tcBorders>
              <w:top w:val="single" w:color="auto" w:sz="4" w:space="0"/>
              <w:left w:val="single" w:color="000000" w:sz="4" w:space="0"/>
              <w:bottom w:val="single" w:color="000000" w:sz="4" w:space="0"/>
              <w:right w:val="nil"/>
            </w:tcBorders>
            <w:shd w:val="clear" w:color="auto" w:fill="auto"/>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因公出国（境）费</w:t>
            </w:r>
          </w:p>
        </w:tc>
        <w:tc>
          <w:tcPr>
            <w:tcW w:w="99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94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11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ind w:firstLine="420" w:firstLineChars="20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r>
      <w:tr>
        <w:tblPrEx>
          <w:tblCellMar>
            <w:top w:w="0" w:type="dxa"/>
            <w:left w:w="0" w:type="dxa"/>
            <w:bottom w:w="0" w:type="dxa"/>
            <w:right w:w="0" w:type="dxa"/>
          </w:tblCellMar>
        </w:tblPrEx>
        <w:trPr>
          <w:trHeight w:val="454" w:hRule="atLeast"/>
        </w:trPr>
        <w:tc>
          <w:tcPr>
            <w:tcW w:w="5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w:t>
            </w:r>
          </w:p>
        </w:tc>
        <w:tc>
          <w:tcPr>
            <w:tcW w:w="1818"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公务用车购置及运维费</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7.5</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6.52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7.5</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4.04</w:t>
            </w:r>
          </w:p>
        </w:tc>
        <w:tc>
          <w:tcPr>
            <w:tcW w:w="11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ind w:firstLine="420" w:firstLineChars="200"/>
              <w:jc w:val="both"/>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2.48</w:t>
            </w:r>
          </w:p>
        </w:tc>
      </w:tr>
      <w:tr>
        <w:tblPrEx>
          <w:tblCellMar>
            <w:top w:w="0" w:type="dxa"/>
            <w:left w:w="0" w:type="dxa"/>
            <w:bottom w:w="0" w:type="dxa"/>
            <w:right w:w="0" w:type="dxa"/>
          </w:tblCellMar>
        </w:tblPrEx>
        <w:trPr>
          <w:trHeight w:val="454" w:hRule="atLeast"/>
        </w:trPr>
        <w:tc>
          <w:tcPr>
            <w:tcW w:w="5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w:t>
            </w:r>
          </w:p>
        </w:tc>
        <w:tc>
          <w:tcPr>
            <w:tcW w:w="18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公务接待费</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0.7</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ind w:firstLine="420" w:firstLineChars="200"/>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0.18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0.7</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0.14</w:t>
            </w:r>
          </w:p>
        </w:tc>
        <w:tc>
          <w:tcPr>
            <w:tcW w:w="11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tcPr>
          <w:p>
            <w:pPr>
              <w:jc w:val="center"/>
            </w:pPr>
            <w:r>
              <w:rPr>
                <w:rFonts w:hint="eastAsia"/>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0.04</w:t>
            </w:r>
          </w:p>
        </w:tc>
      </w:tr>
      <w:tr>
        <w:tblPrEx>
          <w:tblCellMar>
            <w:top w:w="0" w:type="dxa"/>
            <w:left w:w="0" w:type="dxa"/>
            <w:bottom w:w="0" w:type="dxa"/>
            <w:right w:w="0" w:type="dxa"/>
          </w:tblCellMar>
        </w:tblPrEx>
        <w:trPr>
          <w:trHeight w:val="454" w:hRule="atLeast"/>
        </w:trPr>
        <w:tc>
          <w:tcPr>
            <w:tcW w:w="5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w:t>
            </w:r>
          </w:p>
        </w:tc>
        <w:tc>
          <w:tcPr>
            <w:tcW w:w="1818"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合计</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8.2</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8.2</w:t>
            </w:r>
          </w:p>
        </w:tc>
        <w:tc>
          <w:tcPr>
            <w:tcW w:w="94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4.18</w:t>
            </w:r>
          </w:p>
        </w:tc>
        <w:tc>
          <w:tcPr>
            <w:tcW w:w="114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tcPr>
          <w:p>
            <w:pPr>
              <w:jc w:val="center"/>
            </w:pPr>
            <w:r>
              <w:rPr>
                <w:rFonts w:hint="eastAsia"/>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spacing w:after="0"/>
              <w:jc w:val="center"/>
              <w:textAlignment w:val="center"/>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2.52</w:t>
            </w:r>
          </w:p>
        </w:tc>
      </w:tr>
    </w:tbl>
    <w:p>
      <w:pPr>
        <w:spacing w:after="0" w:line="360" w:lineRule="auto"/>
        <w:ind w:firstLine="640" w:firstLineChars="200"/>
        <w:jc w:val="both"/>
        <w:rPr>
          <w:rFonts w:ascii="仿宋_GB2312" w:eastAsia="仿宋_GB2312" w:cs="DengXian-Regular"/>
          <w:sz w:val="32"/>
          <w:szCs w:val="32"/>
        </w:rPr>
      </w:pPr>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1、公务用车：2020年底车辆合计2辆，机要</w:t>
      </w:r>
      <w:r>
        <w:rPr>
          <w:rFonts w:ascii="仿宋_GB2312" w:eastAsia="仿宋_GB2312" w:cs="DengXian-Regular"/>
          <w:sz w:val="32"/>
          <w:szCs w:val="32"/>
        </w:rPr>
        <w:t>通信</w:t>
      </w:r>
      <w:r>
        <w:rPr>
          <w:rFonts w:hint="eastAsia" w:ascii="仿宋_GB2312" w:eastAsia="仿宋_GB2312" w:cs="DengXian-Regular"/>
          <w:sz w:val="32"/>
          <w:szCs w:val="32"/>
        </w:rPr>
        <w:t>用车0辆，应</w:t>
      </w:r>
      <w:r>
        <w:rPr>
          <w:rFonts w:ascii="仿宋_GB2312" w:eastAsia="仿宋_GB2312" w:cs="DengXian-Regular"/>
          <w:sz w:val="32"/>
          <w:szCs w:val="32"/>
        </w:rPr>
        <w:t>急保障用车</w:t>
      </w:r>
      <w:r>
        <w:rPr>
          <w:rFonts w:hint="eastAsia" w:ascii="仿宋_GB2312" w:eastAsia="仿宋_GB2312" w:cs="DengXian-Regular"/>
          <w:sz w:val="32"/>
          <w:szCs w:val="32"/>
        </w:rPr>
        <w:t>0辆，其他用车2辆。2020年公务用车购置及运维费年初预算7.5万元，全部为公务用车运行维护费，实际支出4.04万元，比预算减少3.46万元，节约率46.13%。2020年预算数与2019年预算相比无变化，决算数与2019年实际支出相比，减少2.48元。</w:t>
      </w:r>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2、公务接待：2020年公务接待费年初预算0.7万元，实际支出0.14万元，比预算减少了0.56万元，节约率80%。2020年预算数与2019年预算相比无变化，决算数与2019年实际支出相比，减少0.04万元。</w:t>
      </w:r>
    </w:p>
    <w:p>
      <w:pPr>
        <w:pStyle w:val="3"/>
        <w:spacing w:before="0" w:after="0" w:line="360" w:lineRule="auto"/>
        <w:ind w:firstLine="643" w:firstLineChars="200"/>
        <w:rPr>
          <w:rFonts w:ascii="黑体" w:hAnsiTheme="minorEastAsia"/>
          <w:u w:color="000000"/>
        </w:rPr>
      </w:pPr>
      <w:bookmarkStart w:id="16" w:name="_Toc492652770"/>
      <w:bookmarkStart w:id="17" w:name="_Toc20454"/>
      <w:bookmarkStart w:id="18" w:name="_Toc465149504"/>
      <w:r>
        <w:rPr>
          <w:rFonts w:hint="eastAsia" w:ascii="黑体"/>
        </w:rPr>
        <w:t>二、部门整体支出绩效自评指标体系设定情况</w:t>
      </w:r>
      <w:bookmarkEnd w:id="16"/>
      <w:bookmarkEnd w:id="17"/>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根据绩效预算管理改革的有关政策和文件规定，我</w:t>
      </w:r>
      <w:r>
        <w:rPr>
          <w:rFonts w:ascii="仿宋_GB2312" w:eastAsia="仿宋_GB2312" w:cs="DengXian-Regular"/>
          <w:sz w:val="32"/>
          <w:szCs w:val="32"/>
        </w:rPr>
        <w:t>部门</w:t>
      </w:r>
      <w:r>
        <w:rPr>
          <w:rFonts w:hint="eastAsia" w:ascii="仿宋_GB2312" w:eastAsia="仿宋_GB2312" w:cs="DengXian-Regular"/>
          <w:sz w:val="32"/>
          <w:szCs w:val="32"/>
        </w:rPr>
        <w:t>绩效评价工作小组以绩效预算架构为指导，以部门预算文本及相关资料为基础，制定了部门整体支出绩效评价指标体系。</w:t>
      </w:r>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部门整体支出绩效评价指标体系设置一级指标4个，二级指标7个，三级指标27个（详见附件3）。指标体系设定满分100分，绩效评价分值≥90为“优”；80≤分值＜90为“良”；60≤分值＜80为“中”；60分以下为“差”。评价指标体系具体构成如下：</w:t>
      </w:r>
      <w:bookmarkStart w:id="19" w:name="_Toc9569"/>
      <w:bookmarkStart w:id="20" w:name="_Toc492652771"/>
    </w:p>
    <w:p>
      <w:pPr>
        <w:spacing w:after="0" w:line="360" w:lineRule="auto"/>
        <w:ind w:firstLine="643" w:firstLineChars="200"/>
        <w:jc w:val="both"/>
        <w:rPr>
          <w:rFonts w:ascii="楷体_GB2312" w:eastAsia="楷体_GB2312" w:cs="Times New Roman" w:hAnsiTheme="minorEastAsia"/>
          <w:b/>
          <w:bCs/>
          <w:kern w:val="2"/>
          <w:sz w:val="32"/>
          <w:szCs w:val="32"/>
          <w:u w:color="000000"/>
        </w:rPr>
      </w:pPr>
      <w:r>
        <w:rPr>
          <w:rFonts w:hint="eastAsia" w:ascii="楷体_GB2312" w:eastAsia="楷体_GB2312" w:cs="Times New Roman" w:hAnsiTheme="minorEastAsia"/>
          <w:b/>
          <w:bCs/>
          <w:kern w:val="2"/>
          <w:sz w:val="32"/>
          <w:szCs w:val="32"/>
          <w:u w:color="000000"/>
        </w:rPr>
        <w:t>（一）投入（12分）</w:t>
      </w:r>
      <w:bookmarkEnd w:id="19"/>
      <w:bookmarkEnd w:id="20"/>
    </w:p>
    <w:p>
      <w:pPr>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主要反映绩效目标设定是否合理、科学，绩效指标的制定是否清晰、可衡量，预算编制是否完整，项目预算是否细化及在职人员控制情况。</w:t>
      </w:r>
    </w:p>
    <w:p>
      <w:pPr>
        <w:keepNext/>
        <w:widowControl w:val="0"/>
        <w:spacing w:after="0" w:line="360" w:lineRule="auto"/>
        <w:ind w:firstLine="640" w:firstLineChars="200"/>
        <w:jc w:val="both"/>
        <w:rPr>
          <w:rFonts w:ascii="仿宋_GB2312" w:eastAsia="仿宋_GB2312" w:cs="DengXian-Regular"/>
          <w:sz w:val="32"/>
          <w:szCs w:val="32"/>
        </w:rPr>
      </w:pPr>
      <w:r>
        <w:rPr>
          <w:rFonts w:hint="eastAsia" w:ascii="仿宋_GB2312" w:eastAsia="仿宋_GB2312" w:cs="DengXian-Regular"/>
          <w:sz w:val="32"/>
          <w:szCs w:val="32"/>
        </w:rPr>
        <w:t>投入指标指标分值为12分，下设7个二级指标：绩效目标设定和预算配置，27个三级指标：绩效目标合理性、绩效目标科学性、绩效指标明确性、预算编制完整性、项目预算细化率、在职人员控制率。</w:t>
      </w:r>
    </w:p>
    <w:p>
      <w:pPr>
        <w:pStyle w:val="4"/>
        <w:spacing w:before="0" w:after="0"/>
        <w:ind w:firstLine="643" w:firstLineChars="200"/>
        <w:jc w:val="both"/>
        <w:rPr>
          <w:rFonts w:ascii="楷体" w:hAnsi="楷体" w:eastAsia="楷体"/>
          <w:sz w:val="32"/>
        </w:rPr>
      </w:pPr>
      <w:bookmarkStart w:id="21" w:name="_Toc492652772"/>
      <w:bookmarkStart w:id="22" w:name="_Toc30221"/>
      <w:r>
        <w:rPr>
          <w:rFonts w:hint="eastAsia" w:ascii="楷体" w:hAnsi="楷体" w:eastAsia="楷体"/>
          <w:kern w:val="2"/>
          <w:sz w:val="32"/>
        </w:rPr>
        <w:t>（二）过程（48分）</w:t>
      </w:r>
      <w:bookmarkEnd w:id="21"/>
      <w:bookmarkEnd w:id="22"/>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主要反映预算调整、收入及支出完成情况，“三公”经费、政府采购执行情况，财务管理是否规范、资金使用是否合规，决算真实性。</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过程指标指标分值为48分，下设7个二级指标：预算执行、预算管理和绩效评价，27个三级指标：预算收入调整率、收入完成率、预算支出调整率、财政拨款支出完成率、“三公”经费控制率、政府采购执行率、资金使用合规性、决算真实性、管理制度健全性、预决算信息公开性、基础信息完整性、资产管理规范性、绩效自评覆盖率、绩效评价优等率。</w:t>
      </w:r>
    </w:p>
    <w:p>
      <w:pPr>
        <w:pStyle w:val="4"/>
        <w:spacing w:before="0" w:after="0"/>
        <w:ind w:firstLine="643" w:firstLineChars="200"/>
        <w:jc w:val="both"/>
        <w:rPr>
          <w:rFonts w:ascii="楷体" w:hAnsi="楷体" w:eastAsia="楷体"/>
          <w:kern w:val="2"/>
          <w:sz w:val="32"/>
        </w:rPr>
      </w:pPr>
      <w:bookmarkStart w:id="23" w:name="_Toc24932"/>
      <w:bookmarkStart w:id="24" w:name="_Toc492652773"/>
      <w:r>
        <w:rPr>
          <w:rFonts w:hint="eastAsia" w:ascii="楷体" w:hAnsi="楷体" w:eastAsia="楷体"/>
          <w:kern w:val="2"/>
          <w:sz w:val="32"/>
        </w:rPr>
        <w:t>（三）产出（25分）</w:t>
      </w:r>
      <w:bookmarkEnd w:id="23"/>
      <w:bookmarkEnd w:id="24"/>
    </w:p>
    <w:p>
      <w:pPr>
        <w:spacing w:after="0" w:line="360" w:lineRule="auto"/>
        <w:ind w:firstLine="640" w:firstLineChars="200"/>
        <w:jc w:val="both"/>
        <w:textAlignment w:val="baseline"/>
        <w:rPr>
          <w:rFonts w:ascii="仿宋_GB2312" w:eastAsia="仿宋_GB2312" w:cs="DengXian-Regular"/>
          <w:sz w:val="32"/>
          <w:szCs w:val="32"/>
        </w:rPr>
      </w:pPr>
      <w:bookmarkStart w:id="25" w:name="_Toc492652774"/>
      <w:r>
        <w:rPr>
          <w:rFonts w:hint="eastAsia" w:ascii="仿宋_GB2312" w:eastAsia="仿宋_GB2312" w:cs="DengXian-Regular"/>
          <w:sz w:val="32"/>
          <w:szCs w:val="32"/>
        </w:rPr>
        <w:t>主要反映结转结余率，项目资金使用率，。</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产出指标指标分值为25分，下设7个二级指标：责任履行，27个三级指标：结转结余率、项目资金使用率、财政法规宣传培训人次数、财政监督检查次数、财政项目投资评审完成率。</w:t>
      </w:r>
    </w:p>
    <w:p>
      <w:pPr>
        <w:pStyle w:val="4"/>
        <w:spacing w:before="0" w:after="0"/>
        <w:ind w:firstLine="643" w:firstLineChars="200"/>
        <w:jc w:val="both"/>
        <w:rPr>
          <w:rFonts w:ascii="楷体_GB2312" w:eastAsia="楷体_GB2312" w:hAnsiTheme="minorEastAsia"/>
          <w:sz w:val="32"/>
        </w:rPr>
      </w:pPr>
      <w:bookmarkStart w:id="26" w:name="_Toc21821"/>
      <w:r>
        <w:rPr>
          <w:rFonts w:hint="eastAsia" w:ascii="楷体_GB2312" w:eastAsia="楷体_GB2312" w:hAnsiTheme="minorEastAsia"/>
          <w:kern w:val="2"/>
          <w:sz w:val="32"/>
        </w:rPr>
        <w:t>（四）效果（15分）</w:t>
      </w:r>
      <w:bookmarkEnd w:id="25"/>
      <w:bookmarkEnd w:id="26"/>
    </w:p>
    <w:p>
      <w:pPr>
        <w:spacing w:after="0" w:line="360" w:lineRule="auto"/>
        <w:ind w:firstLine="640" w:firstLineChars="200"/>
        <w:jc w:val="both"/>
        <w:textAlignment w:val="baseline"/>
        <w:rPr>
          <w:rFonts w:ascii="仿宋_GB2312" w:eastAsia="仿宋_GB2312" w:cs="DengXian-Regular"/>
          <w:sz w:val="32"/>
          <w:szCs w:val="32"/>
        </w:rPr>
      </w:pPr>
      <w:bookmarkStart w:id="27" w:name="_Toc492652775"/>
      <w:r>
        <w:rPr>
          <w:rFonts w:hint="eastAsia" w:ascii="仿宋_GB2312" w:eastAsia="仿宋_GB2312" w:cs="DengXian-Regular"/>
          <w:sz w:val="32"/>
          <w:szCs w:val="32"/>
        </w:rPr>
        <w:t>主要反映部门履行职责对社会发展所带来的直接或间接效益及社会公众或部门的服务对象对部门履职效果的满意程度。</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效果指标指标分值15分，下设7个二级指标：履职效率，27个三级指标：部门整体效益和考核满意度。</w:t>
      </w:r>
    </w:p>
    <w:p>
      <w:pPr>
        <w:pStyle w:val="3"/>
        <w:spacing w:before="0" w:after="0" w:line="360" w:lineRule="auto"/>
        <w:ind w:firstLine="643" w:firstLineChars="200"/>
        <w:rPr>
          <w:rFonts w:ascii="黑体"/>
        </w:rPr>
      </w:pPr>
      <w:bookmarkStart w:id="28" w:name="_Toc11842"/>
      <w:r>
        <w:rPr>
          <w:rFonts w:hint="eastAsia" w:ascii="黑体"/>
        </w:rPr>
        <w:t>三、绩效自评开展情况</w:t>
      </w:r>
      <w:bookmarkEnd w:id="18"/>
      <w:bookmarkEnd w:id="27"/>
      <w:bookmarkEnd w:id="28"/>
      <w:bookmarkStart w:id="29" w:name="_Toc465149505"/>
      <w:bookmarkStart w:id="30" w:name="_Toc492652776"/>
    </w:p>
    <w:p>
      <w:pPr>
        <w:pStyle w:val="4"/>
        <w:spacing w:before="0" w:after="0"/>
        <w:ind w:firstLine="643" w:firstLineChars="200"/>
        <w:jc w:val="both"/>
        <w:rPr>
          <w:rFonts w:ascii="楷体_GB2312" w:eastAsia="楷体_GB2312" w:hAnsiTheme="minorEastAsia"/>
          <w:sz w:val="32"/>
        </w:rPr>
      </w:pPr>
      <w:bookmarkStart w:id="31" w:name="_Toc17138"/>
      <w:r>
        <w:rPr>
          <w:rFonts w:hint="eastAsia" w:ascii="楷体_GB2312" w:eastAsia="楷体_GB2312" w:hAnsiTheme="minorEastAsia"/>
          <w:kern w:val="2"/>
          <w:sz w:val="32"/>
        </w:rPr>
        <w:t>（一）绩效评价目的</w:t>
      </w:r>
      <w:bookmarkEnd w:id="29"/>
      <w:bookmarkEnd w:id="30"/>
      <w:bookmarkEnd w:id="31"/>
    </w:p>
    <w:p>
      <w:pPr>
        <w:spacing w:after="0" w:line="360" w:lineRule="auto"/>
        <w:ind w:firstLine="640" w:firstLineChars="200"/>
        <w:jc w:val="both"/>
        <w:textAlignment w:val="baseline"/>
        <w:rPr>
          <w:rFonts w:ascii="仿宋_GB2312" w:eastAsia="仿宋_GB2312" w:cs="DengXian-Regular"/>
          <w:sz w:val="32"/>
          <w:szCs w:val="32"/>
        </w:rPr>
      </w:pPr>
      <w:bookmarkStart w:id="32" w:name="_Toc492652777"/>
      <w:bookmarkStart w:id="33" w:name="_Toc465149506"/>
      <w:r>
        <w:rPr>
          <w:rFonts w:hint="eastAsia" w:ascii="仿宋_GB2312" w:eastAsia="仿宋_GB2312" w:cs="DengXian-Regular"/>
          <w:sz w:val="32"/>
          <w:szCs w:val="32"/>
        </w:rPr>
        <w:t>通过对我部门2020年部门整体支出绩效评价，了解部门整体资金预算情况、实际收支情况及结转结余情况；绩效目标和指标的设置及完成情况；部门履职对社会发展所带来的直接或间接影响及服务对象对部门履职效果的满意程度。</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部门整体支出绩效评价工作促使相关部门根据绩效评价过程中发现的问题，及时整改并总结经验，提高部门管理水平，牢固树立预算绩效理念，强化部门支出责任，提高预算执行效率和财政资金使用效益。</w:t>
      </w:r>
    </w:p>
    <w:p>
      <w:pPr>
        <w:pStyle w:val="4"/>
        <w:spacing w:before="0" w:after="0"/>
        <w:ind w:firstLine="643" w:firstLineChars="200"/>
        <w:jc w:val="both"/>
        <w:rPr>
          <w:rFonts w:ascii="楷体_GB2312" w:eastAsia="楷体_GB2312" w:hAnsiTheme="minorEastAsia"/>
          <w:kern w:val="2"/>
          <w:sz w:val="32"/>
        </w:rPr>
      </w:pPr>
      <w:bookmarkStart w:id="34" w:name="_Toc11607"/>
      <w:r>
        <w:rPr>
          <w:rFonts w:hint="eastAsia" w:ascii="楷体_GB2312" w:eastAsia="楷体_GB2312" w:hAnsiTheme="minorEastAsia"/>
          <w:kern w:val="2"/>
          <w:sz w:val="32"/>
        </w:rPr>
        <w:t>（二）绩效评价依据</w:t>
      </w:r>
      <w:bookmarkEnd w:id="32"/>
      <w:bookmarkEnd w:id="33"/>
      <w:bookmarkEnd w:id="34"/>
    </w:p>
    <w:p>
      <w:pPr>
        <w:spacing w:after="0" w:line="360" w:lineRule="auto"/>
        <w:ind w:firstLine="640" w:firstLineChars="200"/>
        <w:jc w:val="both"/>
        <w:textAlignment w:val="baseline"/>
        <w:rPr>
          <w:rFonts w:ascii="仿宋_GB2312" w:eastAsia="仿宋_GB2312" w:cs="DengXian-Regular"/>
          <w:sz w:val="32"/>
          <w:szCs w:val="32"/>
        </w:rPr>
      </w:pPr>
      <w:bookmarkStart w:id="35" w:name="_Toc465149507"/>
      <w:r>
        <w:rPr>
          <w:rFonts w:hint="eastAsia" w:ascii="仿宋_GB2312" w:eastAsia="仿宋_GB2312" w:cs="DengXian-Regular"/>
          <w:sz w:val="32"/>
          <w:szCs w:val="32"/>
        </w:rPr>
        <w:t>1.</w:t>
      </w:r>
      <w:r>
        <w:rPr>
          <w:rFonts w:ascii="仿宋_GB2312" w:eastAsia="仿宋_GB2312" w:cs="DengXian-Regular"/>
          <w:sz w:val="32"/>
          <w:szCs w:val="32"/>
        </w:rPr>
        <w:t>《中华人民共和国预算法》；</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2.中共中央国务院《关于全面实施预算绩效管理的意见》（中发〔2018〕34号）；</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w:t>
      </w:r>
      <w:r>
        <w:rPr>
          <w:rFonts w:ascii="仿宋_GB2312" w:eastAsia="仿宋_GB2312" w:cs="DengXian-Regular"/>
          <w:sz w:val="32"/>
          <w:szCs w:val="32"/>
        </w:rPr>
        <w:t>《河北省财政支出绩效评价管理办法》（冀财预</w:t>
      </w:r>
      <w:r>
        <w:rPr>
          <w:rFonts w:hint="eastAsia" w:ascii="仿宋_GB2312" w:eastAsia="仿宋_GB2312" w:cs="DengXian-Regular"/>
          <w:sz w:val="32"/>
          <w:szCs w:val="32"/>
        </w:rPr>
        <w:t xml:space="preserve">〔2011〕68号）； </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4.保定市阜平县财政局</w:t>
      </w:r>
      <w:r>
        <w:rPr>
          <w:rFonts w:ascii="仿宋_GB2312" w:eastAsia="仿宋_GB2312" w:cs="DengXian-Regular"/>
          <w:sz w:val="32"/>
          <w:szCs w:val="32"/>
        </w:rPr>
        <w:t>《</w:t>
      </w:r>
      <w:r>
        <w:rPr>
          <w:rFonts w:hint="eastAsia" w:ascii="仿宋_GB2312" w:eastAsia="仿宋_GB2312" w:cs="DengXian-Regular"/>
          <w:sz w:val="32"/>
          <w:szCs w:val="32"/>
        </w:rPr>
        <w:t>全面实施预算绩效管理推进工作方案</w:t>
      </w:r>
      <w:r>
        <w:rPr>
          <w:rFonts w:ascii="仿宋_GB2312" w:eastAsia="仿宋_GB2312" w:cs="DengXian-Regular"/>
          <w:sz w:val="32"/>
          <w:szCs w:val="32"/>
        </w:rPr>
        <w:t>》（</w:t>
      </w:r>
      <w:r>
        <w:rPr>
          <w:rFonts w:hint="eastAsia" w:ascii="仿宋_GB2312" w:eastAsia="仿宋_GB2312" w:cs="DengXian-Regular"/>
          <w:sz w:val="32"/>
          <w:szCs w:val="32"/>
        </w:rPr>
        <w:t>阜财〔2019〕470号</w:t>
      </w:r>
      <w:r>
        <w:rPr>
          <w:rFonts w:ascii="仿宋_GB2312" w:eastAsia="仿宋_GB2312" w:cs="DengXian-Regular"/>
          <w:sz w:val="32"/>
          <w:szCs w:val="32"/>
        </w:rPr>
        <w:t>）</w:t>
      </w:r>
      <w:r>
        <w:rPr>
          <w:rFonts w:hint="eastAsia"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5.保定市阜平县财政局《阜平县县级部门预算项目绩效自评管理办法》（阜财〔2020〕156号）；</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6、保定市阜平县财政局《关于开展2019年度中央转移支付预算执行情况绩效自评工作通知》（阜财〔2020〕56号）；</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7.其他与部门绩效评价工作相关的文件。</w:t>
      </w:r>
      <w:bookmarkStart w:id="36" w:name="_Toc492652778"/>
    </w:p>
    <w:p>
      <w:pPr>
        <w:pStyle w:val="4"/>
        <w:spacing w:before="0" w:after="0"/>
        <w:ind w:firstLine="643" w:firstLineChars="200"/>
        <w:jc w:val="both"/>
        <w:rPr>
          <w:rFonts w:ascii="楷体_GB2312" w:eastAsia="楷体_GB2312" w:hAnsiTheme="minorEastAsia"/>
          <w:kern w:val="2"/>
          <w:sz w:val="32"/>
        </w:rPr>
      </w:pPr>
      <w:bookmarkStart w:id="37" w:name="_Toc7609"/>
      <w:r>
        <w:rPr>
          <w:rFonts w:hint="eastAsia" w:ascii="楷体_GB2312" w:eastAsia="楷体_GB2312" w:hAnsiTheme="minorEastAsia"/>
          <w:kern w:val="2"/>
          <w:sz w:val="32"/>
        </w:rPr>
        <w:t>（三）绩效评价</w:t>
      </w:r>
      <w:bookmarkEnd w:id="36"/>
      <w:r>
        <w:rPr>
          <w:rFonts w:hint="eastAsia" w:ascii="楷体_GB2312" w:eastAsia="楷体_GB2312" w:hAnsiTheme="minorEastAsia"/>
          <w:kern w:val="2"/>
          <w:sz w:val="32"/>
        </w:rPr>
        <w:t>内容</w:t>
      </w:r>
      <w:bookmarkEnd w:id="37"/>
    </w:p>
    <w:bookmarkEnd w:id="35"/>
    <w:p>
      <w:pPr>
        <w:spacing w:after="0" w:line="360" w:lineRule="auto"/>
        <w:ind w:firstLine="640" w:firstLineChars="200"/>
        <w:jc w:val="both"/>
        <w:textAlignment w:val="baseline"/>
        <w:rPr>
          <w:rFonts w:ascii="仿宋_GB2312" w:eastAsia="仿宋_GB2312" w:cs="DengXian-Regular"/>
          <w:sz w:val="32"/>
          <w:szCs w:val="32"/>
        </w:rPr>
      </w:pPr>
      <w:bookmarkStart w:id="38" w:name="_Toc465149508"/>
      <w:bookmarkStart w:id="39" w:name="_Toc492652779"/>
      <w:r>
        <w:rPr>
          <w:rFonts w:hint="eastAsia" w:ascii="仿宋_GB2312" w:eastAsia="仿宋_GB2312" w:cs="DengXian-Regular"/>
          <w:sz w:val="32"/>
          <w:szCs w:val="32"/>
        </w:rPr>
        <w:t>我部门2020年部门整体支出绩效目标和指标的设置及完成情况；资金预算情况、实际收支情况及结转结余情况；部门履职对社会发展所带来的直接或间接影响及服务对象对部门履职效果的满意程度。</w:t>
      </w:r>
    </w:p>
    <w:p>
      <w:pPr>
        <w:pStyle w:val="4"/>
        <w:spacing w:before="0" w:after="0"/>
        <w:ind w:firstLine="643" w:firstLineChars="200"/>
        <w:jc w:val="both"/>
        <w:rPr>
          <w:rFonts w:ascii="楷体_GB2312" w:eastAsia="楷体_GB2312" w:hAnsiTheme="minorEastAsia"/>
          <w:kern w:val="2"/>
          <w:sz w:val="32"/>
        </w:rPr>
      </w:pPr>
      <w:bookmarkStart w:id="40" w:name="_Toc789"/>
      <w:r>
        <w:rPr>
          <w:rFonts w:hint="eastAsia" w:ascii="楷体_GB2312" w:eastAsia="楷体_GB2312" w:hAnsiTheme="minorEastAsia"/>
          <w:kern w:val="2"/>
          <w:sz w:val="32"/>
        </w:rPr>
        <w:t>（四）绩效评价原则</w:t>
      </w:r>
      <w:bookmarkEnd w:id="40"/>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1.价值导向原则：财政支出绩效评价体系应能够反映财政支出的经济性、效益性、有效性原则，体现财政部门和项目主管部门的价值导向。</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2.重要性原则：根据指标在整个指标体系中的地位和作用进行筛选，选择最具代表性、最能反映评价要求的指标。</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3.综合性原则：将定性指标和定量指标相结合，定性分析是定量分析的基础，定量分析是定性分析的深化，两者相结合系统反映财政支出所产生的社会效益。</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4.经济性原则：指标的选取要考虑现实条件及可操作性，数据的获得应符合成本效益原则，在合理成本的基础上收集信息。</w:t>
      </w:r>
    </w:p>
    <w:p>
      <w:pPr>
        <w:pStyle w:val="4"/>
        <w:spacing w:before="0" w:after="0"/>
        <w:ind w:firstLine="643" w:firstLineChars="200"/>
        <w:jc w:val="both"/>
        <w:rPr>
          <w:rFonts w:ascii="楷体_GB2312" w:eastAsia="楷体_GB2312" w:hAnsiTheme="minorEastAsia"/>
          <w:kern w:val="2"/>
          <w:sz w:val="32"/>
        </w:rPr>
      </w:pPr>
      <w:bookmarkStart w:id="41" w:name="_Toc8171"/>
      <w:r>
        <w:rPr>
          <w:rFonts w:hint="eastAsia" w:ascii="楷体_GB2312" w:eastAsia="楷体_GB2312" w:hAnsiTheme="minorEastAsia"/>
          <w:kern w:val="2"/>
          <w:sz w:val="32"/>
        </w:rPr>
        <w:t>（五）</w:t>
      </w:r>
      <w:bookmarkEnd w:id="38"/>
      <w:bookmarkStart w:id="42" w:name="_Toc465149509"/>
      <w:r>
        <w:rPr>
          <w:rFonts w:hint="eastAsia" w:ascii="楷体_GB2312" w:eastAsia="楷体_GB2312" w:hAnsiTheme="minorEastAsia"/>
          <w:kern w:val="2"/>
          <w:sz w:val="32"/>
        </w:rPr>
        <w:t>绩效评价方法</w:t>
      </w:r>
      <w:bookmarkEnd w:id="39"/>
      <w:bookmarkEnd w:id="41"/>
      <w:bookmarkEnd w:id="42"/>
    </w:p>
    <w:p>
      <w:pPr>
        <w:spacing w:after="0" w:line="360" w:lineRule="auto"/>
        <w:ind w:firstLine="640" w:firstLineChars="200"/>
        <w:jc w:val="both"/>
        <w:textAlignment w:val="baseline"/>
        <w:rPr>
          <w:rFonts w:ascii="仿宋_GB2312" w:eastAsia="仿宋_GB2312" w:cs="DengXian-Regular"/>
          <w:sz w:val="32"/>
          <w:szCs w:val="32"/>
        </w:rPr>
      </w:pPr>
      <w:bookmarkStart w:id="43" w:name="_Toc421623217"/>
      <w:bookmarkStart w:id="44" w:name="_Toc422314152"/>
      <w:bookmarkStart w:id="45" w:name="_Toc465149510"/>
      <w:bookmarkStart w:id="46" w:name="_Toc492652780"/>
      <w:r>
        <w:rPr>
          <w:rFonts w:ascii="仿宋_GB2312" w:eastAsia="仿宋_GB2312" w:cs="DengXian-Regular"/>
          <w:sz w:val="32"/>
          <w:szCs w:val="32"/>
        </w:rPr>
        <w:t>本次评价采取</w:t>
      </w:r>
      <w:r>
        <w:rPr>
          <w:rFonts w:hint="eastAsia" w:ascii="仿宋_GB2312" w:eastAsia="仿宋_GB2312" w:cs="DengXian-Regular"/>
          <w:sz w:val="32"/>
          <w:szCs w:val="32"/>
        </w:rPr>
        <w:t>目标比较法、</w:t>
      </w:r>
      <w:r>
        <w:rPr>
          <w:rFonts w:ascii="仿宋_GB2312" w:eastAsia="仿宋_GB2312" w:cs="DengXian-Regular"/>
          <w:sz w:val="32"/>
          <w:szCs w:val="32"/>
        </w:rPr>
        <w:t>定量和定性评价相结合和综合评价相结合</w:t>
      </w:r>
      <w:r>
        <w:rPr>
          <w:rFonts w:hint="eastAsia" w:ascii="仿宋_GB2312" w:eastAsia="仿宋_GB2312" w:cs="DengXian-Regular"/>
          <w:sz w:val="32"/>
          <w:szCs w:val="32"/>
        </w:rPr>
        <w:t>的方式</w:t>
      </w:r>
      <w:r>
        <w:rPr>
          <w:rFonts w:ascii="仿宋_GB2312" w:eastAsia="仿宋_GB2312" w:cs="DengXian-Regular"/>
          <w:sz w:val="32"/>
          <w:szCs w:val="32"/>
        </w:rPr>
        <w:t>，运用审查、</w:t>
      </w:r>
      <w:r>
        <w:rPr>
          <w:rFonts w:hint="eastAsia" w:ascii="仿宋_GB2312" w:eastAsia="仿宋_GB2312" w:cs="DengXian-Regular"/>
          <w:sz w:val="32"/>
          <w:szCs w:val="32"/>
        </w:rPr>
        <w:t>询问查证和问卷调查</w:t>
      </w:r>
      <w:r>
        <w:rPr>
          <w:rFonts w:ascii="仿宋_GB2312" w:eastAsia="仿宋_GB2312" w:cs="DengXian-Regular"/>
          <w:sz w:val="32"/>
          <w:szCs w:val="32"/>
        </w:rPr>
        <w:t>等方法开展</w:t>
      </w:r>
      <w:r>
        <w:rPr>
          <w:rFonts w:hint="eastAsia" w:ascii="仿宋_GB2312" w:eastAsia="仿宋_GB2312" w:cs="DengXian-Regular"/>
          <w:sz w:val="32"/>
          <w:szCs w:val="32"/>
        </w:rPr>
        <w:t>绩效</w:t>
      </w:r>
      <w:r>
        <w:rPr>
          <w:rFonts w:ascii="仿宋_GB2312" w:eastAsia="仿宋_GB2312" w:cs="DengXian-Regular"/>
          <w:sz w:val="32"/>
          <w:szCs w:val="32"/>
        </w:rPr>
        <w:t>评价工作。</w:t>
      </w:r>
      <w:bookmarkEnd w:id="43"/>
      <w:bookmarkEnd w:id="44"/>
    </w:p>
    <w:p>
      <w:pPr>
        <w:spacing w:after="0" w:line="360" w:lineRule="auto"/>
        <w:ind w:firstLine="640" w:firstLineChars="200"/>
        <w:jc w:val="both"/>
        <w:textAlignment w:val="baseline"/>
        <w:rPr>
          <w:rFonts w:ascii="仿宋_GB2312" w:eastAsia="仿宋_GB2312" w:cs="DengXian-Regular"/>
          <w:sz w:val="32"/>
          <w:szCs w:val="32"/>
        </w:rPr>
      </w:pPr>
      <w:bookmarkStart w:id="47" w:name="_Toc421623218"/>
      <w:bookmarkStart w:id="48" w:name="_Toc422314153"/>
      <w:r>
        <w:rPr>
          <w:rFonts w:ascii="仿宋_GB2312" w:eastAsia="仿宋_GB2312" w:cs="DengXian-Regular"/>
          <w:sz w:val="32"/>
          <w:szCs w:val="32"/>
        </w:rPr>
        <w:t>1</w:t>
      </w:r>
      <w:r>
        <w:rPr>
          <w:rFonts w:hint="eastAsia" w:ascii="仿宋_GB2312" w:eastAsia="仿宋_GB2312" w:cs="DengXian-Regular"/>
          <w:sz w:val="32"/>
          <w:szCs w:val="32"/>
        </w:rPr>
        <w:t>.</w:t>
      </w:r>
      <w:r>
        <w:rPr>
          <w:rFonts w:ascii="仿宋_GB2312" w:eastAsia="仿宋_GB2312" w:cs="DengXian-Regular"/>
          <w:sz w:val="32"/>
          <w:szCs w:val="32"/>
        </w:rPr>
        <w:t>审查法：通过审查被评价单位的</w:t>
      </w:r>
      <w:r>
        <w:rPr>
          <w:rFonts w:hint="eastAsia" w:ascii="仿宋_GB2312" w:eastAsia="仿宋_GB2312" w:cs="DengXian-Regular"/>
          <w:sz w:val="32"/>
          <w:szCs w:val="32"/>
        </w:rPr>
        <w:t>预算文本</w:t>
      </w:r>
      <w:r>
        <w:rPr>
          <w:rFonts w:ascii="仿宋_GB2312" w:eastAsia="仿宋_GB2312" w:cs="DengXian-Regular"/>
          <w:sz w:val="32"/>
          <w:szCs w:val="32"/>
        </w:rPr>
        <w:t>、</w:t>
      </w:r>
      <w:r>
        <w:rPr>
          <w:rFonts w:hint="eastAsia" w:ascii="仿宋_GB2312" w:eastAsia="仿宋_GB2312" w:cs="DengXian-Regular"/>
          <w:sz w:val="32"/>
          <w:szCs w:val="32"/>
        </w:rPr>
        <w:t>决算文本</w:t>
      </w:r>
      <w:r>
        <w:rPr>
          <w:rFonts w:ascii="仿宋_GB2312" w:eastAsia="仿宋_GB2312" w:cs="DengXian-Regular"/>
          <w:sz w:val="32"/>
          <w:szCs w:val="32"/>
        </w:rPr>
        <w:t>、</w:t>
      </w:r>
      <w:r>
        <w:rPr>
          <w:rFonts w:hint="eastAsia" w:ascii="仿宋_GB2312" w:eastAsia="仿宋_GB2312" w:cs="DengXian-Regular"/>
          <w:sz w:val="32"/>
          <w:szCs w:val="32"/>
        </w:rPr>
        <w:t>会计账簿、支出凭证、项目完成情况</w:t>
      </w:r>
      <w:r>
        <w:rPr>
          <w:rFonts w:ascii="仿宋_GB2312" w:eastAsia="仿宋_GB2312" w:cs="DengXian-Regular"/>
          <w:sz w:val="32"/>
          <w:szCs w:val="32"/>
        </w:rPr>
        <w:t>等</w:t>
      </w:r>
      <w:r>
        <w:rPr>
          <w:rFonts w:hint="eastAsia" w:ascii="仿宋_GB2312" w:eastAsia="仿宋_GB2312" w:cs="DengXian-Regular"/>
          <w:sz w:val="32"/>
          <w:szCs w:val="32"/>
        </w:rPr>
        <w:t>相关</w:t>
      </w:r>
      <w:r>
        <w:rPr>
          <w:rFonts w:ascii="仿宋_GB2312" w:eastAsia="仿宋_GB2312" w:cs="DengXian-Regular"/>
          <w:sz w:val="32"/>
          <w:szCs w:val="32"/>
        </w:rPr>
        <w:t>资料，分析资金</w:t>
      </w:r>
      <w:r>
        <w:rPr>
          <w:rFonts w:hint="eastAsia" w:ascii="仿宋_GB2312" w:eastAsia="仿宋_GB2312" w:cs="DengXian-Regular"/>
          <w:sz w:val="32"/>
          <w:szCs w:val="32"/>
        </w:rPr>
        <w:t>收</w:t>
      </w:r>
      <w:r>
        <w:rPr>
          <w:rFonts w:ascii="仿宋_GB2312" w:eastAsia="仿宋_GB2312" w:cs="DengXian-Regular"/>
          <w:sz w:val="32"/>
          <w:szCs w:val="32"/>
        </w:rPr>
        <w:t>支的合理性</w:t>
      </w:r>
      <w:r>
        <w:rPr>
          <w:rFonts w:hint="eastAsia" w:ascii="仿宋_GB2312" w:eastAsia="仿宋_GB2312" w:cs="DengXian-Regular"/>
          <w:sz w:val="32"/>
          <w:szCs w:val="32"/>
        </w:rPr>
        <w:t>和</w:t>
      </w:r>
      <w:r>
        <w:rPr>
          <w:rFonts w:ascii="仿宋_GB2312" w:eastAsia="仿宋_GB2312" w:cs="DengXian-Regular"/>
          <w:sz w:val="32"/>
          <w:szCs w:val="32"/>
        </w:rPr>
        <w:t>合规性</w:t>
      </w:r>
      <w:r>
        <w:rPr>
          <w:rFonts w:hint="eastAsia" w:ascii="仿宋_GB2312" w:eastAsia="仿宋_GB2312" w:cs="DengXian-Regular"/>
          <w:sz w:val="32"/>
          <w:szCs w:val="32"/>
        </w:rPr>
        <w:t>、预算执行及管理情况、绩效目标和指标的设置及完成情况、部门整体效益</w:t>
      </w:r>
      <w:r>
        <w:rPr>
          <w:rFonts w:ascii="仿宋_GB2312" w:eastAsia="仿宋_GB2312" w:cs="DengXian-Regular"/>
          <w:sz w:val="32"/>
          <w:szCs w:val="32"/>
        </w:rPr>
        <w:t>。</w:t>
      </w:r>
      <w:bookmarkEnd w:id="47"/>
      <w:bookmarkEnd w:id="48"/>
    </w:p>
    <w:p>
      <w:pPr>
        <w:spacing w:after="0" w:line="360" w:lineRule="auto"/>
        <w:ind w:firstLine="640" w:firstLineChars="200"/>
        <w:jc w:val="both"/>
        <w:textAlignment w:val="baseline"/>
        <w:rPr>
          <w:rFonts w:ascii="仿宋_GB2312" w:eastAsia="仿宋_GB2312" w:cs="DengXian-Regular"/>
          <w:sz w:val="32"/>
          <w:szCs w:val="32"/>
        </w:rPr>
      </w:pPr>
      <w:bookmarkStart w:id="49" w:name="_Toc421623220"/>
      <w:bookmarkStart w:id="50" w:name="_Toc422314155"/>
      <w:r>
        <w:rPr>
          <w:rFonts w:hint="eastAsia" w:ascii="仿宋_GB2312" w:eastAsia="仿宋_GB2312" w:cs="DengXian-Regular"/>
          <w:sz w:val="32"/>
          <w:szCs w:val="32"/>
        </w:rPr>
        <w:t>2.询问查证</w:t>
      </w:r>
      <w:r>
        <w:rPr>
          <w:rFonts w:ascii="仿宋_GB2312" w:eastAsia="仿宋_GB2312" w:cs="DengXian-Regular"/>
          <w:sz w:val="32"/>
          <w:szCs w:val="32"/>
        </w:rPr>
        <w:t>法：</w:t>
      </w:r>
      <w:r>
        <w:rPr>
          <w:rFonts w:hint="eastAsia" w:ascii="仿宋_GB2312" w:eastAsia="仿宋_GB2312" w:cs="DengXian-Regular"/>
          <w:sz w:val="32"/>
          <w:szCs w:val="32"/>
        </w:rPr>
        <w:t>在比较分析相关资料的基础上，通过询问的形式，核查项目资料是否真实、合理，从而对部门整体支出情况作出初步的判断和评价</w:t>
      </w:r>
      <w:r>
        <w:rPr>
          <w:rFonts w:ascii="仿宋_GB2312" w:eastAsia="仿宋_GB2312" w:cs="DengXian-Regular"/>
          <w:sz w:val="32"/>
          <w:szCs w:val="32"/>
        </w:rPr>
        <w:t>。</w:t>
      </w:r>
      <w:bookmarkEnd w:id="49"/>
      <w:bookmarkEnd w:id="50"/>
    </w:p>
    <w:p>
      <w:pPr>
        <w:spacing w:after="0" w:line="360" w:lineRule="auto"/>
        <w:ind w:firstLine="640" w:firstLineChars="200"/>
        <w:jc w:val="both"/>
        <w:textAlignment w:val="baseline"/>
        <w:rPr>
          <w:rFonts w:ascii="仿宋_GB2312" w:eastAsia="仿宋_GB2312" w:cs="DengXian-Regular"/>
          <w:sz w:val="32"/>
          <w:szCs w:val="32"/>
        </w:rPr>
      </w:pPr>
      <w:bookmarkStart w:id="51" w:name="_Toc421623221"/>
      <w:bookmarkStart w:id="52" w:name="_Toc422314156"/>
      <w:r>
        <w:rPr>
          <w:rFonts w:hint="eastAsia" w:ascii="仿宋_GB2312" w:eastAsia="仿宋_GB2312" w:cs="DengXian-Regular"/>
          <w:sz w:val="32"/>
          <w:szCs w:val="32"/>
        </w:rPr>
        <w:t>3.问卷调查</w:t>
      </w:r>
      <w:r>
        <w:rPr>
          <w:rFonts w:ascii="仿宋_GB2312" w:eastAsia="仿宋_GB2312" w:cs="DengXian-Regular"/>
          <w:sz w:val="32"/>
          <w:szCs w:val="32"/>
        </w:rPr>
        <w:t>法：通过</w:t>
      </w:r>
      <w:r>
        <w:rPr>
          <w:rFonts w:hint="eastAsia" w:ascii="仿宋_GB2312" w:eastAsia="仿宋_GB2312" w:cs="DengXian-Regular"/>
          <w:sz w:val="32"/>
          <w:szCs w:val="32"/>
        </w:rPr>
        <w:t>设计调查问卷，在一定范围内随机发放，并收集分析调查问卷，</w:t>
      </w:r>
      <w:r>
        <w:rPr>
          <w:rFonts w:ascii="仿宋_GB2312" w:eastAsia="仿宋_GB2312" w:cs="DengXian-Regular"/>
          <w:sz w:val="32"/>
          <w:szCs w:val="32"/>
        </w:rPr>
        <w:t>对财政支出的效果进行</w:t>
      </w:r>
      <w:r>
        <w:rPr>
          <w:rFonts w:hint="eastAsia" w:ascii="仿宋_GB2312" w:eastAsia="仿宋_GB2312" w:cs="DengXian-Regular"/>
          <w:sz w:val="32"/>
          <w:szCs w:val="32"/>
        </w:rPr>
        <w:t>评价</w:t>
      </w:r>
      <w:r>
        <w:rPr>
          <w:rFonts w:ascii="仿宋_GB2312" w:eastAsia="仿宋_GB2312" w:cs="DengXian-Regular"/>
          <w:sz w:val="32"/>
          <w:szCs w:val="32"/>
        </w:rPr>
        <w:t>，</w:t>
      </w:r>
      <w:r>
        <w:rPr>
          <w:rFonts w:hint="eastAsia" w:ascii="仿宋_GB2312" w:eastAsia="仿宋_GB2312" w:cs="DengXian-Regular"/>
          <w:sz w:val="32"/>
          <w:szCs w:val="32"/>
        </w:rPr>
        <w:t>了解服务对象对部门履职效果</w:t>
      </w:r>
      <w:r>
        <w:rPr>
          <w:rFonts w:ascii="仿宋_GB2312" w:eastAsia="仿宋_GB2312" w:cs="DengXian-Regular"/>
          <w:sz w:val="32"/>
          <w:szCs w:val="32"/>
        </w:rPr>
        <w:t>的满意</w:t>
      </w:r>
      <w:r>
        <w:rPr>
          <w:rFonts w:hint="eastAsia" w:ascii="仿宋_GB2312" w:eastAsia="仿宋_GB2312" w:cs="DengXian-Regular"/>
          <w:sz w:val="32"/>
          <w:szCs w:val="32"/>
        </w:rPr>
        <w:t>程</w:t>
      </w:r>
      <w:r>
        <w:rPr>
          <w:rFonts w:ascii="仿宋_GB2312" w:eastAsia="仿宋_GB2312" w:cs="DengXian-Regular"/>
          <w:sz w:val="32"/>
          <w:szCs w:val="32"/>
        </w:rPr>
        <w:t>度。</w:t>
      </w:r>
      <w:bookmarkEnd w:id="51"/>
      <w:bookmarkEnd w:id="52"/>
      <w:bookmarkStart w:id="53" w:name="_Toc20821"/>
    </w:p>
    <w:p>
      <w:pPr>
        <w:spacing w:after="0" w:line="360" w:lineRule="auto"/>
        <w:ind w:firstLine="643" w:firstLineChars="200"/>
        <w:jc w:val="both"/>
        <w:textAlignment w:val="baseline"/>
        <w:rPr>
          <w:rFonts w:ascii="楷体_GB2312" w:eastAsia="楷体_GB2312" w:hAnsiTheme="minorEastAsia"/>
          <w:b/>
          <w:bCs/>
          <w:kern w:val="2"/>
          <w:sz w:val="32"/>
        </w:rPr>
      </w:pPr>
      <w:r>
        <w:rPr>
          <w:rFonts w:hint="eastAsia" w:ascii="楷体_GB2312" w:eastAsia="楷体_GB2312" w:hAnsiTheme="minorEastAsia"/>
          <w:b/>
          <w:bCs/>
          <w:kern w:val="2"/>
          <w:sz w:val="32"/>
        </w:rPr>
        <w:t>（六）绩效评价工作过程</w:t>
      </w:r>
      <w:bookmarkEnd w:id="45"/>
      <w:bookmarkEnd w:id="46"/>
      <w:bookmarkEnd w:id="53"/>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本次绩效评价工作经过了前期准备、绩效评价实施方案和指标体系制定、组织实施、绩效评价报告撰写四个阶段。</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1.前期准备阶段</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经与我部门</w:t>
      </w:r>
      <w:r>
        <w:rPr>
          <w:rFonts w:ascii="仿宋_GB2312" w:eastAsia="仿宋_GB2312" w:cs="DengXian-Regular"/>
          <w:sz w:val="32"/>
          <w:szCs w:val="32"/>
        </w:rPr>
        <w:t>各相关股室</w:t>
      </w:r>
      <w:r>
        <w:rPr>
          <w:rFonts w:hint="eastAsia" w:ascii="仿宋_GB2312" w:eastAsia="仿宋_GB2312" w:cs="DengXian-Regular"/>
          <w:sz w:val="32"/>
          <w:szCs w:val="32"/>
        </w:rPr>
        <w:t>充分沟通，并充分收集相关资料，主要包括部门职责、工作活动、预决算文本、相关管理制度、资金使用等相关资料，为制定绩效评价实施方案和指标体系奠定了基础。</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2.制定绩效评价实施方案和体系</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基于对相关资料的收集，制定绩效评价实施方案和体系,确定最终方案。</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3.组织实施阶段</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绩效评价实施方案和指标体系，对我部门开展评价工作，包括查看预决算文本及部门工作活动绩效目标和指标；比对预决算的调整及执行情况；核查固定资产管理的规范性；核查明细账与决算报表项目的一致性；对项目产出情况进行了解查看；随机选取服务对象进行满意度调查等。根据收集的数据、资料进行核对、比较、计算，对部门整体支出进行评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4.撰写绩效评价报告</w:t>
      </w:r>
      <w:bookmarkStart w:id="54" w:name="_Toc465149511"/>
      <w:bookmarkStart w:id="55" w:name="_Toc492652781"/>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在完成对各评价指标评分定级的基础上，开始进行报告撰写工作。</w:t>
      </w:r>
    </w:p>
    <w:p>
      <w:pPr>
        <w:pStyle w:val="3"/>
        <w:spacing w:before="0" w:after="0" w:line="360" w:lineRule="auto"/>
        <w:ind w:firstLine="643" w:firstLineChars="200"/>
        <w:rPr>
          <w:rFonts w:ascii="黑体"/>
        </w:rPr>
      </w:pPr>
      <w:bookmarkStart w:id="56" w:name="_Toc6467"/>
      <w:r>
        <w:rPr>
          <w:rFonts w:hint="eastAsia" w:ascii="黑体"/>
        </w:rPr>
        <w:t>四、</w:t>
      </w:r>
      <w:bookmarkEnd w:id="54"/>
      <w:bookmarkEnd w:id="55"/>
      <w:bookmarkStart w:id="57" w:name="_Toc492652782"/>
      <w:r>
        <w:rPr>
          <w:rFonts w:hint="eastAsia" w:ascii="黑体"/>
        </w:rPr>
        <w:t>绩效自评得分情况</w:t>
      </w:r>
      <w:bookmarkEnd w:id="56"/>
    </w:p>
    <w:bookmarkEnd w:id="57"/>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DengXian-Regular"/>
          <w:sz w:val="32"/>
          <w:szCs w:val="32"/>
        </w:rPr>
        <w:t>我</w:t>
      </w:r>
      <w:r>
        <w:rPr>
          <w:rFonts w:hint="eastAsia" w:ascii="仿宋_GB2312" w:eastAsia="仿宋_GB2312" w:cs="DengXian-Regular"/>
          <w:sz w:val="32"/>
          <w:szCs w:val="32"/>
          <w:lang w:eastAsia="zh-CN"/>
        </w:rPr>
        <w:t>部门</w:t>
      </w:r>
      <w:r>
        <w:rPr>
          <w:rFonts w:hint="eastAsia" w:ascii="仿宋_GB2312" w:eastAsia="仿宋_GB2312" w:cs="DengXian-Regular"/>
          <w:sz w:val="32"/>
          <w:szCs w:val="32"/>
        </w:rPr>
        <w:t>整体支出绩效评价总得分为96分，综合绩效评价等级为“优”。各项得分情况如下</w:t>
      </w:r>
      <w:r>
        <w:rPr>
          <w:rFonts w:hint="eastAsia" w:ascii="仿宋_GB2312" w:eastAsia="仿宋_GB2312" w:cs="Times New Roman" w:hAnsiTheme="minorEastAsia"/>
          <w:sz w:val="32"/>
          <w:szCs w:val="32"/>
          <w:u w:color="000000"/>
        </w:rPr>
        <w:t>：</w:t>
      </w:r>
    </w:p>
    <w:p>
      <w:pPr>
        <w:pStyle w:val="4"/>
        <w:spacing w:before="0" w:after="0"/>
        <w:ind w:firstLine="643" w:firstLineChars="200"/>
        <w:jc w:val="both"/>
        <w:rPr>
          <w:rFonts w:ascii="楷体_GB2312" w:eastAsia="楷体_GB2312" w:hAnsiTheme="minorEastAsia"/>
          <w:kern w:val="2"/>
          <w:sz w:val="32"/>
        </w:rPr>
      </w:pPr>
      <w:bookmarkStart w:id="58" w:name="_Toc492652783"/>
      <w:bookmarkStart w:id="59" w:name="_Toc4390"/>
      <w:r>
        <w:rPr>
          <w:rFonts w:hint="eastAsia" w:ascii="楷体_GB2312" w:eastAsia="楷体_GB2312" w:hAnsiTheme="minorEastAsia"/>
          <w:kern w:val="2"/>
          <w:sz w:val="32"/>
        </w:rPr>
        <w:t>（一）</w:t>
      </w:r>
      <w:bookmarkEnd w:id="58"/>
      <w:r>
        <w:rPr>
          <w:rFonts w:hint="eastAsia" w:ascii="楷体_GB2312" w:eastAsia="楷体_GB2312" w:hAnsiTheme="minorEastAsia"/>
          <w:kern w:val="2"/>
          <w:sz w:val="32"/>
        </w:rPr>
        <w:t>投入（12分）</w:t>
      </w:r>
      <w:bookmarkEnd w:id="59"/>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DengXian-Regular"/>
          <w:sz w:val="32"/>
          <w:szCs w:val="32"/>
        </w:rPr>
        <w:t>该一级指标包含绩效目标设定和预算配置两个二级指标，主要反映绩效目标设定是否合理、科学，绩效指标的制定是否清晰、可衡量，预算编制是否完整，项目预算是否细化及在职人员控制情况。</w:t>
      </w:r>
      <w:r>
        <w:rPr>
          <w:rFonts w:hint="eastAsia" w:ascii="仿宋_GB2312" w:eastAsia="仿宋_GB2312" w:cs="Times New Roman" w:hAnsiTheme="minorEastAsia"/>
          <w:sz w:val="32"/>
          <w:szCs w:val="32"/>
          <w:u w:color="000000"/>
        </w:rPr>
        <w:tab/>
      </w:r>
    </w:p>
    <w:p>
      <w:pPr>
        <w:spacing w:after="0" w:line="360" w:lineRule="auto"/>
        <w:jc w:val="center"/>
        <w:textAlignment w:val="baseline"/>
        <w:rPr>
          <w:rFonts w:asciiTheme="minorEastAsia" w:hAnsiTheme="minorEastAsia" w:eastAsiaTheme="minorEastAsia" w:cstheme="minorEastAsia"/>
          <w:b/>
          <w:bCs/>
          <w:sz w:val="32"/>
          <w:szCs w:val="32"/>
          <w:u w:color="000000"/>
        </w:rPr>
      </w:pPr>
      <w:r>
        <w:rPr>
          <w:rFonts w:hint="eastAsia" w:asciiTheme="minorEastAsia" w:hAnsiTheme="minorEastAsia" w:eastAsiaTheme="minorEastAsia" w:cstheme="minorEastAsia"/>
          <w:b/>
          <w:bCs/>
          <w:sz w:val="32"/>
          <w:szCs w:val="32"/>
          <w:u w:color="000000"/>
        </w:rPr>
        <w:t>表2  投入指标及得分情况表</w:t>
      </w:r>
    </w:p>
    <w:tbl>
      <w:tblPr>
        <w:tblStyle w:val="23"/>
        <w:tblW w:w="0" w:type="auto"/>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9"/>
        <w:gridCol w:w="1418"/>
        <w:gridCol w:w="1701"/>
        <w:gridCol w:w="1276"/>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Align w:val="center"/>
          </w:tcPr>
          <w:p>
            <w:pPr>
              <w:spacing w:line="420" w:lineRule="exact"/>
              <w:jc w:val="center"/>
              <w:rPr>
                <w:rFonts w:cs="宋体" w:asciiTheme="minorEastAsia" w:hAnsiTheme="minorEastAsia" w:eastAsiaTheme="minorEastAsia"/>
                <w:b/>
                <w:sz w:val="21"/>
                <w:szCs w:val="21"/>
              </w:rPr>
            </w:pPr>
            <w:r>
              <w:rPr>
                <w:rFonts w:hint="eastAsia" w:cs="宋体" w:asciiTheme="minorEastAsia" w:hAnsiTheme="minorEastAsia" w:eastAsiaTheme="minorEastAsia"/>
                <w:b/>
                <w:sz w:val="21"/>
                <w:szCs w:val="21"/>
              </w:rPr>
              <w:t>一级指标</w:t>
            </w:r>
          </w:p>
        </w:tc>
        <w:tc>
          <w:tcPr>
            <w:tcW w:w="1418" w:type="dxa"/>
            <w:vAlign w:val="center"/>
          </w:tcPr>
          <w:p>
            <w:pPr>
              <w:spacing w:line="420" w:lineRule="exact"/>
              <w:jc w:val="center"/>
              <w:rPr>
                <w:rFonts w:cs="宋体" w:asciiTheme="minorEastAsia" w:hAnsiTheme="minorEastAsia" w:eastAsiaTheme="minorEastAsia"/>
                <w:b/>
                <w:sz w:val="21"/>
                <w:szCs w:val="21"/>
              </w:rPr>
            </w:pPr>
            <w:r>
              <w:rPr>
                <w:rFonts w:hint="eastAsia" w:cs="宋体" w:asciiTheme="minorEastAsia" w:hAnsiTheme="minorEastAsia" w:eastAsiaTheme="minorEastAsia"/>
                <w:b/>
                <w:sz w:val="21"/>
                <w:szCs w:val="21"/>
              </w:rPr>
              <w:t>二级指标</w:t>
            </w:r>
          </w:p>
        </w:tc>
        <w:tc>
          <w:tcPr>
            <w:tcW w:w="1701" w:type="dxa"/>
            <w:vAlign w:val="center"/>
          </w:tcPr>
          <w:p>
            <w:pPr>
              <w:spacing w:line="420" w:lineRule="exact"/>
              <w:jc w:val="center"/>
              <w:rPr>
                <w:rFonts w:cs="宋体" w:asciiTheme="minorEastAsia" w:hAnsiTheme="minorEastAsia" w:eastAsiaTheme="minorEastAsia"/>
                <w:b/>
                <w:sz w:val="21"/>
                <w:szCs w:val="21"/>
              </w:rPr>
            </w:pPr>
            <w:r>
              <w:rPr>
                <w:rFonts w:hint="eastAsia" w:cs="宋体" w:asciiTheme="minorEastAsia" w:hAnsiTheme="minorEastAsia" w:eastAsiaTheme="minorEastAsia"/>
                <w:b/>
                <w:sz w:val="21"/>
                <w:szCs w:val="21"/>
              </w:rPr>
              <w:t>三级指标</w:t>
            </w:r>
          </w:p>
        </w:tc>
        <w:tc>
          <w:tcPr>
            <w:tcW w:w="1276" w:type="dxa"/>
            <w:vAlign w:val="center"/>
          </w:tcPr>
          <w:p>
            <w:pPr>
              <w:spacing w:line="420" w:lineRule="exact"/>
              <w:jc w:val="center"/>
              <w:rPr>
                <w:rFonts w:cs="宋体" w:asciiTheme="minorEastAsia" w:hAnsiTheme="minorEastAsia" w:eastAsiaTheme="minorEastAsia"/>
                <w:b/>
                <w:sz w:val="21"/>
                <w:szCs w:val="21"/>
              </w:rPr>
            </w:pPr>
            <w:r>
              <w:rPr>
                <w:rFonts w:hint="eastAsia" w:cs="宋体" w:asciiTheme="minorEastAsia" w:hAnsiTheme="minorEastAsia" w:eastAsiaTheme="minorEastAsia"/>
                <w:b/>
                <w:sz w:val="21"/>
                <w:szCs w:val="21"/>
              </w:rPr>
              <w:t>分值权重</w:t>
            </w:r>
          </w:p>
        </w:tc>
        <w:tc>
          <w:tcPr>
            <w:tcW w:w="1134" w:type="dxa"/>
            <w:vAlign w:val="center"/>
          </w:tcPr>
          <w:p>
            <w:pPr>
              <w:spacing w:line="420" w:lineRule="exact"/>
              <w:jc w:val="center"/>
              <w:rPr>
                <w:rFonts w:cs="宋体" w:asciiTheme="minorEastAsia" w:hAnsiTheme="minorEastAsia" w:eastAsiaTheme="minorEastAsia"/>
                <w:b/>
                <w:sz w:val="21"/>
                <w:szCs w:val="21"/>
              </w:rPr>
            </w:pPr>
            <w:r>
              <w:rPr>
                <w:rFonts w:hint="eastAsia" w:cs="宋体" w:asciiTheme="minorEastAsia" w:hAnsiTheme="minorEastAsia" w:eastAsiaTheme="minorEastAsia"/>
                <w:b/>
                <w:sz w:val="21"/>
                <w:szCs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投入</w:t>
            </w:r>
          </w:p>
          <w:p>
            <w:pPr>
              <w:spacing w:line="420" w:lineRule="exact"/>
              <w:jc w:val="center"/>
              <w:rPr>
                <w:rFonts w:cs="宋体" w:asciiTheme="minorEastAsia" w:hAnsiTheme="minorEastAsia" w:eastAsiaTheme="minorEastAsia"/>
                <w:sz w:val="21"/>
                <w:szCs w:val="21"/>
                <w:highlight w:val="yellow"/>
              </w:rPr>
            </w:pPr>
            <w:r>
              <w:rPr>
                <w:rFonts w:hint="eastAsia" w:cs="宋体" w:asciiTheme="minorEastAsia" w:hAnsiTheme="minorEastAsia" w:eastAsiaTheme="minorEastAsia"/>
                <w:sz w:val="21"/>
                <w:szCs w:val="21"/>
              </w:rPr>
              <w:t>（12分）</w:t>
            </w:r>
          </w:p>
        </w:tc>
        <w:tc>
          <w:tcPr>
            <w:tcW w:w="1418" w:type="dxa"/>
            <w:vMerge w:val="restart"/>
            <w:vAlign w:val="center"/>
          </w:tcPr>
          <w:p>
            <w:pPr>
              <w:spacing w:line="420" w:lineRule="exact"/>
              <w:jc w:val="center"/>
              <w:rPr>
                <w:rFonts w:cs="宋体" w:asciiTheme="minorEastAsia" w:hAnsiTheme="minorEastAsia" w:eastAsiaTheme="minorEastAsia"/>
                <w:sz w:val="21"/>
                <w:szCs w:val="21"/>
                <w:highlight w:val="yellow"/>
              </w:rPr>
            </w:pPr>
            <w:r>
              <w:rPr>
                <w:rFonts w:hint="eastAsia" w:cs="宋体" w:asciiTheme="minorEastAsia" w:hAnsiTheme="minorEastAsia" w:eastAsiaTheme="minorEastAsia"/>
                <w:sz w:val="21"/>
                <w:szCs w:val="21"/>
              </w:rPr>
              <w:t>绩效目标设定（6分）</w:t>
            </w: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绩效目标合理性</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418"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绩效目标科学性</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418"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绩效指标明确性</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418"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预算配置</w:t>
            </w:r>
          </w:p>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（6分）</w:t>
            </w: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预算编制完整性</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418"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项目预算细化率</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559"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418" w:type="dxa"/>
            <w:vMerge w:val="continue"/>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701"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在职人员控制率</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977" w:type="dxa"/>
            <w:gridSpan w:val="2"/>
            <w:vAlign w:val="center"/>
          </w:tcPr>
          <w:p>
            <w:pPr>
              <w:spacing w:line="420" w:lineRule="exact"/>
              <w:ind w:firstLine="420" w:firstLineChars="200"/>
              <w:jc w:val="center"/>
              <w:rPr>
                <w:rFonts w:cs="宋体" w:asciiTheme="minorEastAsia" w:hAnsiTheme="minorEastAsia" w:eastAsiaTheme="minorEastAsia"/>
                <w:sz w:val="21"/>
                <w:szCs w:val="21"/>
                <w:highlight w:val="yellow"/>
              </w:rPr>
            </w:pPr>
            <w:r>
              <w:rPr>
                <w:rFonts w:hint="eastAsia" w:cs="宋体" w:asciiTheme="minorEastAsia" w:hAnsiTheme="minorEastAsia" w:eastAsiaTheme="minorEastAsia"/>
                <w:sz w:val="21"/>
                <w:szCs w:val="21"/>
              </w:rPr>
              <w:t>合计</w:t>
            </w:r>
          </w:p>
        </w:tc>
        <w:tc>
          <w:tcPr>
            <w:tcW w:w="1701" w:type="dxa"/>
            <w:vAlign w:val="center"/>
          </w:tcPr>
          <w:p>
            <w:pPr>
              <w:spacing w:line="420" w:lineRule="exact"/>
              <w:ind w:firstLine="420" w:firstLineChars="200"/>
              <w:jc w:val="center"/>
              <w:rPr>
                <w:rFonts w:cs="宋体" w:asciiTheme="minorEastAsia" w:hAnsiTheme="minorEastAsia" w:eastAsiaTheme="minorEastAsia"/>
                <w:sz w:val="21"/>
                <w:szCs w:val="21"/>
                <w:highlight w:val="yellow"/>
              </w:rPr>
            </w:pP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12</w:t>
            </w:r>
          </w:p>
        </w:tc>
        <w:tc>
          <w:tcPr>
            <w:tcW w:w="1134"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12</w:t>
            </w:r>
          </w:p>
        </w:tc>
      </w:tr>
    </w:tbl>
    <w:p>
      <w:pPr>
        <w:spacing w:after="0" w:line="360" w:lineRule="auto"/>
        <w:ind w:firstLine="640" w:firstLineChars="200"/>
        <w:jc w:val="both"/>
        <w:textAlignment w:val="baseline"/>
        <w:rPr>
          <w:rFonts w:ascii="仿宋_GB2312" w:eastAsia="仿宋_GB2312" w:cs="DengXian-Regular"/>
          <w:sz w:val="32"/>
          <w:szCs w:val="32"/>
        </w:rPr>
      </w:pPr>
      <w:bookmarkStart w:id="60" w:name="_Toc464638478"/>
      <w:bookmarkStart w:id="61" w:name="_Toc465149513"/>
    </w:p>
    <w:p>
      <w:pPr>
        <w:spacing w:after="0" w:line="360" w:lineRule="auto"/>
        <w:ind w:firstLine="643" w:firstLineChars="200"/>
        <w:jc w:val="both"/>
        <w:textAlignment w:val="baseline"/>
        <w:rPr>
          <w:rFonts w:ascii="仿宋_GB2312" w:eastAsia="仿宋_GB2312" w:cs="DengXian-Regular"/>
          <w:b/>
          <w:sz w:val="32"/>
          <w:szCs w:val="32"/>
        </w:rPr>
      </w:pPr>
      <w:r>
        <w:rPr>
          <w:rFonts w:hint="eastAsia" w:ascii="仿宋_GB2312" w:eastAsia="仿宋_GB2312" w:cs="DengXian-Regular"/>
          <w:b/>
          <w:sz w:val="32"/>
          <w:szCs w:val="32"/>
        </w:rPr>
        <w:t>1.绩效目标设定（6分）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（1）绩效目标合理性(2分)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的职责设定是否符合“三定”方案中所赋予的职责；工作活动是否与部门职责、工作规划和重点工作相关；工作活动项下确定的预算项目是否合理，是否与工作活动密切相关；工作活动和项目预算安排是否合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通过我部门2020年预算文本—部门职责工作活动绩效目标，评价工作组认为我部门职责符合“三定”方案中所赋予的职责，绩效目标设立依据充分，符合客观实际，与部门职责、工作规划和重点工作相关，工作活动和项目预算安排合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（2）绩效目标科学性（2分）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预算批复的部门年度发展规划目标和部门职责分类绩效目标是否充分，是否与部门履职、年度工作任务相符；工作活动是否有明确的绩效目标，绩效目标是否与部门职责目标、部门年度工作目标一致，是否能体现工作活动的产出和效果。</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根据我部门2020年预算文本—部门职责工作活动绩效目标，绩效目标与部门履职、年度工作任务相符；工作活动有明确的绩效目标，绩效目标与部门职责目标、部门年度工作目标一致。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（3）绩效目标明确性（2分）</w:t>
      </w:r>
    </w:p>
    <w:p>
      <w:pPr>
        <w:spacing w:after="0" w:line="360" w:lineRule="auto"/>
        <w:ind w:firstLine="640" w:firstLineChars="200"/>
        <w:jc w:val="both"/>
        <w:textAlignment w:val="baseline"/>
        <w:rPr>
          <w:rFonts w:ascii="仿宋_GB2312" w:eastAsia="仿宋_GB2312" w:cs="DengXian-Regular"/>
          <w:sz w:val="32"/>
          <w:szCs w:val="32"/>
          <w:highlight w:val="yellow"/>
        </w:rPr>
      </w:pPr>
      <w:r>
        <w:rPr>
          <w:rFonts w:hint="eastAsia" w:ascii="仿宋_GB2312" w:eastAsia="仿宋_GB2312" w:cs="DengXian-Regular"/>
          <w:sz w:val="32"/>
          <w:szCs w:val="32"/>
        </w:rPr>
        <w:t>该指标主要评价是否将部门整体的绩效目标细化分解为具体的工作任务，工作活动、预算项目绩效指标是否清晰、细化、可评价、可衡量；工作活动、预算项目绩效指标的评价标准是否清晰、可衡量；是否与部门年度的任务数或计划数相对应。</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根据我部门2020年预算文本—部门职责工作活动绩效目标,该指标实际得分2分。</w:t>
      </w:r>
    </w:p>
    <w:p>
      <w:pPr>
        <w:spacing w:after="0" w:line="360" w:lineRule="auto"/>
        <w:ind w:firstLine="643" w:firstLineChars="200"/>
        <w:jc w:val="both"/>
        <w:textAlignment w:val="baseline"/>
        <w:rPr>
          <w:rFonts w:ascii="仿宋_GB2312" w:eastAsia="仿宋_GB2312" w:cs="DengXian-Regular"/>
          <w:b/>
          <w:sz w:val="32"/>
          <w:szCs w:val="32"/>
        </w:rPr>
      </w:pPr>
      <w:r>
        <w:rPr>
          <w:rFonts w:hint="eastAsia" w:ascii="仿宋_GB2312" w:eastAsia="仿宋_GB2312" w:cs="DengXian-Regular"/>
          <w:b/>
          <w:sz w:val="32"/>
          <w:szCs w:val="32"/>
        </w:rPr>
        <w:t>2.预算配置（6分）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（1）预算编制完整性（2分）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该指标主要评价部门所有收入是否全部纳入部门预算，部门支出预算是否统筹各类支出，按基本支出、项目支出分别编制。</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根据我部门2020年预算文本及相关会计资料，所有收入均已纳入部门预算，部门支出按基本支出、项目支出分别编制。</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该指标实际得分5分。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（2）项目预算细化率（2分）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该指标主要评价编报的项目支出是否细化到具体用款单位和项目的资金额度，通过项目预算细化率衡量。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项目预算细化率=细化的项目金额/实际编报的项目金额×100%。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根据我部门2020年预算文本—部门项目支出预算表，2020年预算项目共16个，涉及资金19141.35万元，所有项目均细化到具体用款单位及项目资金额度。项目预算细化率=（*/*）*100%=100%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w:t>
      </w:r>
      <w:r>
        <w:rPr>
          <w:rFonts w:ascii="仿宋_GB2312" w:eastAsia="仿宋_GB2312" w:cs="DengXian-Regular"/>
          <w:sz w:val="32"/>
          <w:szCs w:val="32"/>
        </w:rPr>
        <w:t>2</w:t>
      </w:r>
      <w:r>
        <w:rPr>
          <w:rFonts w:hint="eastAsia" w:ascii="仿宋_GB2312" w:eastAsia="仿宋_GB2312" w:cs="DengXian-Regular"/>
          <w:sz w:val="32"/>
          <w:szCs w:val="32"/>
        </w:rPr>
        <w:t>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（3）在职人员控制率（2分）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该指标主要考核截至2020年底我部门在职人员控制情况，通过在职人员控制率衡量。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在职人员控制率=决算在职人员/编制数×100%。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阜平县财政局人员编制为11人，根据2020年决算文本-部门基本情况表，截至2020年底，在职人员37人，在职人员控制率=（在职</w:t>
      </w:r>
      <w:r>
        <w:rPr>
          <w:rFonts w:ascii="仿宋_GB2312" w:eastAsia="仿宋_GB2312" w:cs="DengXian-Regular"/>
          <w:sz w:val="32"/>
          <w:szCs w:val="32"/>
        </w:rPr>
        <w:t>人数</w:t>
      </w:r>
      <w:r>
        <w:rPr>
          <w:rFonts w:hint="eastAsia" w:ascii="仿宋_GB2312" w:eastAsia="仿宋_GB2312" w:cs="DengXian-Regular"/>
          <w:sz w:val="32"/>
          <w:szCs w:val="32"/>
        </w:rPr>
        <w:t>/编制人</w:t>
      </w:r>
      <w:r>
        <w:rPr>
          <w:rFonts w:ascii="仿宋_GB2312" w:eastAsia="仿宋_GB2312" w:cs="DengXian-Regular"/>
          <w:sz w:val="32"/>
          <w:szCs w:val="32"/>
        </w:rPr>
        <w:t>数</w:t>
      </w:r>
      <w:r>
        <w:rPr>
          <w:rFonts w:hint="eastAsia" w:ascii="仿宋_GB2312" w:eastAsia="仿宋_GB2312" w:cs="DengXian-Regular"/>
          <w:sz w:val="32"/>
          <w:szCs w:val="32"/>
        </w:rPr>
        <w:t>）*100%=336%。</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该指标实际得分2分。</w:t>
      </w:r>
    </w:p>
    <w:bookmarkEnd w:id="60"/>
    <w:bookmarkEnd w:id="61"/>
    <w:p>
      <w:pPr>
        <w:pStyle w:val="4"/>
        <w:spacing w:before="0" w:after="0"/>
        <w:ind w:firstLine="643" w:firstLineChars="200"/>
        <w:jc w:val="both"/>
        <w:rPr>
          <w:rFonts w:ascii="楷体" w:hAnsi="楷体" w:eastAsia="楷体"/>
          <w:sz w:val="32"/>
        </w:rPr>
      </w:pPr>
      <w:bookmarkStart w:id="62" w:name="_Toc19940"/>
      <w:r>
        <w:rPr>
          <w:rFonts w:hint="eastAsia" w:ascii="楷体" w:hAnsi="楷体" w:eastAsia="楷体"/>
          <w:sz w:val="32"/>
        </w:rPr>
        <w:t>（二）过程（48分）</w:t>
      </w:r>
      <w:bookmarkEnd w:id="62"/>
    </w:p>
    <w:p>
      <w:pPr>
        <w:spacing w:after="0" w:line="360" w:lineRule="auto"/>
        <w:ind w:firstLine="640" w:firstLineChars="200"/>
        <w:jc w:val="both"/>
        <w:textAlignment w:val="baseline"/>
        <w:rPr>
          <w:rFonts w:ascii="仿宋_GB2312" w:eastAsia="仿宋_GB2312" w:cs="DengXian-Regular"/>
          <w:sz w:val="32"/>
          <w:szCs w:val="32"/>
        </w:rPr>
      </w:pPr>
      <w:bookmarkStart w:id="63" w:name="_Toc464638480"/>
      <w:r>
        <w:rPr>
          <w:rFonts w:hint="eastAsia" w:ascii="仿宋_GB2312" w:eastAsia="仿宋_GB2312" w:cs="DengXian-Regular"/>
          <w:sz w:val="32"/>
          <w:szCs w:val="32"/>
        </w:rPr>
        <w:t>该一级指标包含预算执行、预算管理和绩效评价三个二级指标，主要反映预算调整、收入支出完成情况，“三公”经费、政府采购执行情况，财务管理是否规范、资金使用是否合规，决算真实性。</w:t>
      </w:r>
    </w:p>
    <w:p>
      <w:pPr>
        <w:spacing w:after="0" w:line="360" w:lineRule="auto"/>
        <w:jc w:val="center"/>
        <w:textAlignment w:val="baseline"/>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表3  过程指标及得分情况表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57"/>
        <w:gridCol w:w="1388"/>
        <w:gridCol w:w="2277"/>
        <w:gridCol w:w="1155"/>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一级指标</w:t>
            </w:r>
          </w:p>
        </w:tc>
        <w:tc>
          <w:tcPr>
            <w:tcW w:w="1388" w:type="dxa"/>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二级指标</w:t>
            </w:r>
          </w:p>
        </w:tc>
        <w:tc>
          <w:tcPr>
            <w:tcW w:w="2277" w:type="dxa"/>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三级指标</w:t>
            </w:r>
          </w:p>
        </w:tc>
        <w:tc>
          <w:tcPr>
            <w:tcW w:w="1155" w:type="dxa"/>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分数权重</w:t>
            </w:r>
          </w:p>
        </w:tc>
        <w:tc>
          <w:tcPr>
            <w:tcW w:w="1276" w:type="dxa"/>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过程（48分）</w:t>
            </w:r>
          </w:p>
        </w:tc>
        <w:tc>
          <w:tcPr>
            <w:tcW w:w="1388"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预算执行</w:t>
            </w:r>
          </w:p>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（24分）</w:t>
            </w: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预算收入调整率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收入完成率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预算支出调整率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财政拨款支出完成率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“三公经费”控制率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政府采购执行率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资金使用合规性</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决算真实性</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预算管理</w:t>
            </w:r>
          </w:p>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（16分）</w:t>
            </w: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管理制度健全性</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预决算信息公开</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基础信息完善性</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资产管理规范性</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7"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restart"/>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绩效评价</w:t>
            </w:r>
          </w:p>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（8分）</w:t>
            </w: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绩效自评覆盖率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2" w:hRule="exact"/>
          <w:jc w:val="center"/>
        </w:trPr>
        <w:tc>
          <w:tcPr>
            <w:tcW w:w="1557" w:type="dxa"/>
            <w:vMerge w:val="continue"/>
            <w:vAlign w:val="center"/>
          </w:tcPr>
          <w:p>
            <w:pPr>
              <w:spacing w:line="420" w:lineRule="exact"/>
              <w:jc w:val="center"/>
              <w:rPr>
                <w:rFonts w:cs="宋体" w:asciiTheme="minorEastAsia" w:hAnsiTheme="minorEastAsia" w:eastAsiaTheme="minorEastAsia"/>
                <w:sz w:val="21"/>
                <w:szCs w:val="21"/>
              </w:rPr>
            </w:pPr>
          </w:p>
        </w:tc>
        <w:tc>
          <w:tcPr>
            <w:tcW w:w="1388" w:type="dxa"/>
            <w:vMerge w:val="continue"/>
            <w:vAlign w:val="center"/>
          </w:tcPr>
          <w:p>
            <w:pPr>
              <w:spacing w:line="420" w:lineRule="exact"/>
              <w:jc w:val="center"/>
              <w:rPr>
                <w:rFonts w:cs="宋体" w:asciiTheme="minorEastAsia" w:hAnsiTheme="minorEastAsia" w:eastAsiaTheme="minorEastAsia"/>
                <w:sz w:val="21"/>
                <w:szCs w:val="21"/>
              </w:rPr>
            </w:pPr>
          </w:p>
        </w:tc>
        <w:tc>
          <w:tcPr>
            <w:tcW w:w="2277"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绩效评价优等率</w:t>
            </w: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exact"/>
          <w:jc w:val="center"/>
        </w:trPr>
        <w:tc>
          <w:tcPr>
            <w:tcW w:w="2945" w:type="dxa"/>
            <w:gridSpan w:val="2"/>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合计</w:t>
            </w:r>
          </w:p>
        </w:tc>
        <w:tc>
          <w:tcPr>
            <w:tcW w:w="2277" w:type="dxa"/>
            <w:vAlign w:val="center"/>
          </w:tcPr>
          <w:p>
            <w:pPr>
              <w:spacing w:line="420" w:lineRule="exact"/>
              <w:jc w:val="center"/>
              <w:rPr>
                <w:rFonts w:cs="宋体" w:asciiTheme="minorEastAsia" w:hAnsiTheme="minorEastAsia" w:eastAsiaTheme="minorEastAsia"/>
                <w:sz w:val="21"/>
                <w:szCs w:val="21"/>
              </w:rPr>
            </w:pPr>
          </w:p>
        </w:tc>
        <w:tc>
          <w:tcPr>
            <w:tcW w:w="1155"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48</w:t>
            </w:r>
          </w:p>
        </w:tc>
        <w:tc>
          <w:tcPr>
            <w:tcW w:w="1276" w:type="dxa"/>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48</w:t>
            </w:r>
          </w:p>
        </w:tc>
      </w:tr>
      <w:bookmarkEnd w:id="63"/>
    </w:tbl>
    <w:p>
      <w:pPr>
        <w:spacing w:after="0" w:line="360" w:lineRule="auto"/>
        <w:ind w:firstLine="643" w:firstLineChars="200"/>
        <w:jc w:val="both"/>
        <w:textAlignment w:val="baseline"/>
        <w:rPr>
          <w:rFonts w:ascii="仿宋_GB2312" w:eastAsia="仿宋_GB2312" w:cs="DengXian-Regular"/>
          <w:b/>
          <w:sz w:val="32"/>
          <w:szCs w:val="32"/>
        </w:rPr>
      </w:pPr>
      <w:bookmarkStart w:id="64" w:name="_Toc464638487"/>
      <w:bookmarkStart w:id="65" w:name="_Toc465149514"/>
      <w:r>
        <w:rPr>
          <w:rFonts w:hint="eastAsia" w:ascii="仿宋_GB2312" w:eastAsia="仿宋_GB2312" w:cs="DengXian-Regular"/>
          <w:b/>
          <w:sz w:val="32"/>
          <w:szCs w:val="32"/>
        </w:rPr>
        <w:t>1.预算执行（24分）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（1）预算收入调整率（2分）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该指标主要评价预算收入的调整情况，进而衡量预算收入编制的准确性，通过预算收入调整率衡量。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预算收入调整率=（调整预算数-年初预算数）/年初预算数*100%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根据我部门的预算文本和</w:t>
      </w:r>
      <w:r>
        <w:rPr>
          <w:rFonts w:ascii="仿宋_GB2312" w:eastAsia="仿宋_GB2312" w:cs="DengXian-Regular"/>
          <w:sz w:val="32"/>
          <w:szCs w:val="32"/>
        </w:rPr>
        <w:t>决算</w:t>
      </w:r>
      <w:r>
        <w:rPr>
          <w:rFonts w:hint="eastAsia" w:ascii="仿宋_GB2312" w:eastAsia="仿宋_GB2312" w:cs="DengXian-Regular"/>
          <w:sz w:val="32"/>
          <w:szCs w:val="32"/>
        </w:rPr>
        <w:t>文</w:t>
      </w:r>
      <w:r>
        <w:rPr>
          <w:rFonts w:ascii="仿宋_GB2312" w:eastAsia="仿宋_GB2312" w:cs="DengXian-Regular"/>
          <w:sz w:val="32"/>
          <w:szCs w:val="32"/>
        </w:rPr>
        <w:t>本</w:t>
      </w:r>
      <w:r>
        <w:rPr>
          <w:rFonts w:hint="eastAsia" w:ascii="仿宋_GB2312" w:eastAsia="仿宋_GB2312" w:cs="DengXian-Regular"/>
          <w:sz w:val="32"/>
          <w:szCs w:val="32"/>
        </w:rPr>
        <w:t>，2020年度预算</w:t>
      </w:r>
      <w:r>
        <w:rPr>
          <w:rFonts w:ascii="仿宋_GB2312" w:eastAsia="仿宋_GB2312" w:cs="DengXian-Regular"/>
          <w:sz w:val="32"/>
          <w:szCs w:val="32"/>
        </w:rPr>
        <w:t>收入</w:t>
      </w:r>
      <w:r>
        <w:rPr>
          <w:rFonts w:hint="eastAsia" w:ascii="仿宋_GB2312" w:eastAsia="仿宋_GB2312" w:cs="DengXian-Regular"/>
          <w:sz w:val="32"/>
          <w:szCs w:val="32"/>
        </w:rPr>
        <w:t>调整预算数19141.35万元</w:t>
      </w:r>
      <w:r>
        <w:rPr>
          <w:rFonts w:ascii="仿宋_GB2312" w:eastAsia="仿宋_GB2312" w:cs="DengXian-Regular"/>
          <w:sz w:val="32"/>
          <w:szCs w:val="32"/>
        </w:rPr>
        <w:t>，</w:t>
      </w:r>
      <w:r>
        <w:rPr>
          <w:rFonts w:hint="eastAsia" w:ascii="仿宋_GB2312" w:eastAsia="仿宋_GB2312" w:cs="DengXian-Regular"/>
          <w:sz w:val="32"/>
          <w:szCs w:val="32"/>
        </w:rPr>
        <w:t>年初</w:t>
      </w:r>
      <w:r>
        <w:rPr>
          <w:rFonts w:ascii="仿宋_GB2312" w:eastAsia="仿宋_GB2312" w:cs="DengXian-Regular"/>
          <w:sz w:val="32"/>
          <w:szCs w:val="32"/>
        </w:rPr>
        <w:t>预算数</w:t>
      </w:r>
      <w:r>
        <w:rPr>
          <w:rFonts w:hint="eastAsia" w:ascii="仿宋_GB2312" w:eastAsia="仿宋_GB2312" w:cs="DengXian-Regular"/>
          <w:sz w:val="32"/>
          <w:szCs w:val="32"/>
        </w:rPr>
        <w:t>20545.8万元</w:t>
      </w:r>
      <w:r>
        <w:rPr>
          <w:rFonts w:ascii="仿宋_GB2312" w:eastAsia="仿宋_GB2312" w:cs="DengXian-Regular"/>
          <w:sz w:val="32"/>
          <w:szCs w:val="32"/>
        </w:rPr>
        <w:t>,</w:t>
      </w:r>
      <w:r>
        <w:rPr>
          <w:rFonts w:hint="eastAsia" w:ascii="仿宋_GB2312" w:eastAsia="仿宋_GB2312" w:cs="DengXian-Regular"/>
          <w:sz w:val="32"/>
          <w:szCs w:val="32"/>
        </w:rPr>
        <w:t>预算收入调整率为0%，预算调整增加了0个百分点，得0分。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（2）收入完成率（4分）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该指标主要评价部门预算收入的完成情况，用以反映部门预算收入的完成程度，通过收入完成率衡量。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收入完成率=（决算收入/预算收入）×100%。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根据2020年决算文本，2020年调整预算数20545.8万元，收入决算数</w:t>
      </w:r>
      <w:r>
        <w:rPr>
          <w:rFonts w:ascii="仿宋_GB2312" w:eastAsia="仿宋_GB2312" w:cs="DengXian-Regular"/>
          <w:sz w:val="32"/>
          <w:szCs w:val="32"/>
        </w:rPr>
        <w:t>1</w:t>
      </w:r>
      <w:r>
        <w:rPr>
          <w:rFonts w:hint="eastAsia" w:ascii="仿宋_GB2312" w:eastAsia="仿宋_GB2312" w:cs="DengXian-Regular"/>
          <w:sz w:val="32"/>
          <w:szCs w:val="32"/>
        </w:rPr>
        <w:t>9141.35万元，收入完成率=（决算数/预算数）*100%=93.16%。</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（3）预算支出调整率（2分）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该指标主要评价预算支出的调整情况，进而衡量预算支出编制的准确性，通过预算支出调整率衡量。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预算支出调整率=（调整预算数-年初预算数）/年初预算数*100%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根据我部门的预算文本和决算文本， 2020年度预算支出调整预算数20545.8万元，年初预算数20505.8万元, 预算支出调整率为0%，预算调整增加了0个百分点，得2分。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该指标实际得分2分。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（4）财政拨款支出完成率（4分）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该指标主要评价部门财政拨款的支出进度，通过财政拨款支出完成率来衡量。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财政拨款支出完成率=（部门决算财政拨款支出/部门决算财政拨款收入）*100%。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 我</w:t>
      </w:r>
      <w:r>
        <w:rPr>
          <w:rFonts w:ascii="仿宋_GB2312" w:eastAsia="仿宋_GB2312" w:cs="DengXian-Regular"/>
          <w:sz w:val="32"/>
          <w:szCs w:val="32"/>
        </w:rPr>
        <w:t>部门</w:t>
      </w:r>
      <w:r>
        <w:rPr>
          <w:rFonts w:hint="eastAsia" w:ascii="仿宋_GB2312" w:eastAsia="仿宋_GB2312" w:cs="DengXian-Regular"/>
          <w:sz w:val="32"/>
          <w:szCs w:val="32"/>
        </w:rPr>
        <w:t>2020年决算文本，部门决算财政拨款支出数19141.35万元，财政拨款收入数19141.35万元，财政拨款支出率=（财政拨款支出数/财政拨款收入数）*100%=100%</w:t>
      </w:r>
      <w:r>
        <w:rPr>
          <w:rFonts w:ascii="Arial" w:hAnsi="Arial" w:eastAsia="仿宋_GB2312" w:cs="Arial"/>
          <w:sz w:val="32"/>
          <w:szCs w:val="32"/>
        </w:rPr>
        <w:t>≥</w:t>
      </w:r>
      <w:r>
        <w:rPr>
          <w:rFonts w:hint="eastAsia" w:ascii="仿宋_GB2312" w:eastAsia="仿宋_GB2312" w:cs="DengXian-Regular"/>
          <w:sz w:val="32"/>
          <w:szCs w:val="32"/>
        </w:rPr>
        <w:t>90%。2020年年初结转和结余0万元，故支出数等于收入数。</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（5）“三公”经费控制率（3分）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该指标主要评价“三公”经费是否得到有效控制，通过“三公”经费控制率来衡量。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“三公”经费控制率=（实际支出数/预算数）*100%。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根据2020年预算文本及决算文本，“三公”经费年初预算数8.2万元，年末决算数4.185万元，“三公”经费控制率=（年末决算数/年初预算数）*100%=51.03%</w:t>
      </w:r>
      <w:r>
        <w:rPr>
          <w:rFonts w:ascii="Arial" w:hAnsi="Arial" w:eastAsia="仿宋_GB2312" w:cs="Arial"/>
          <w:sz w:val="32"/>
          <w:szCs w:val="32"/>
        </w:rPr>
        <w:t>≤</w:t>
      </w:r>
      <w:r>
        <w:rPr>
          <w:rFonts w:hint="eastAsia" w:ascii="仿宋_GB2312" w:eastAsia="仿宋_GB2312" w:cs="DengXian-Regular"/>
          <w:sz w:val="32"/>
          <w:szCs w:val="32"/>
        </w:rPr>
        <w:t>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（6）政府采购执行率（3分）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该指标主要评价部门是否有效执行政府采购政策，通过政府采购执行率来衡量。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政府采购执行率=（实际政府采购金额/政府采购预算金额）*100%。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根据我部门2020年预算文本及决算文本，政府采购年初预算数0万元，年末决算数0万元，政府采购执行率为0。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该指标实际得分为3分。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（7）资金使用合规性（3分）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该指标主要评价资金使用是否按照相关法律法规和资金管理办法规定的用途使用，财务管理是否符合相关会计准则和财务制度。</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我部门2020年明细账、会计凭证等相关资料，我部门资金使用符合相关会计准则和财务制度，资金拨付有完备的审批程序和手续，资金使用符合部门预算批复的用途，未发现截留、挤占、挪用财政资金的情况。</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（8）决算真实性（3分）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该指标主要评价决算编制数据是否与账表一致，即决算报表数据与会计账簿数据是否一致。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经核查我部门2020年决算文本、明细账及总账，决算文本数据均与明细账、总账一致。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该指标实际得分3分。</w:t>
      </w:r>
    </w:p>
    <w:p>
      <w:pPr>
        <w:spacing w:after="0" w:line="360" w:lineRule="auto"/>
        <w:ind w:firstLine="643" w:firstLineChars="200"/>
        <w:jc w:val="both"/>
        <w:textAlignment w:val="baseline"/>
        <w:rPr>
          <w:rFonts w:ascii="仿宋_GB2312" w:eastAsia="仿宋_GB2312" w:cs="DengXian-Regular"/>
          <w:b/>
          <w:sz w:val="32"/>
          <w:szCs w:val="32"/>
        </w:rPr>
      </w:pPr>
      <w:r>
        <w:rPr>
          <w:rFonts w:hint="eastAsia" w:ascii="仿宋_GB2312" w:eastAsia="仿宋_GB2312" w:cs="DengXian-Regular"/>
          <w:b/>
          <w:sz w:val="32"/>
          <w:szCs w:val="32"/>
        </w:rPr>
        <w:t>2.预算管理（16分）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（1）管理制度健全性（4分）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该指标主要评价部门是否制定资金管理办法、财务管理制度、会计核算制度等相关内部控制制度，制度执行是否得到有效执行。</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我部门工作制度涵盖了财务制度、网络安全制度、公务用车制度等相关制度，经检查我部门付款流程审批单、资产盘点表等资料，均已按照相关管理制度的规定执行。</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（2）预决算信息公开性（4分）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该指标主要评价部门是否按照政府信息公开的有关要求在相关网站公开部门预算、预算执行情况、年度工作任务等相关信息。</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2020年按政府信息公开的有关要求在保定市阜平县人民政府网进行</w:t>
      </w:r>
      <w:r>
        <w:rPr>
          <w:rFonts w:ascii="仿宋_GB2312" w:eastAsia="仿宋_GB2312" w:cs="DengXian-Regular"/>
          <w:sz w:val="32"/>
          <w:szCs w:val="32"/>
        </w:rPr>
        <w:t>了</w:t>
      </w:r>
      <w:r>
        <w:rPr>
          <w:rFonts w:hint="eastAsia" w:ascii="仿宋_GB2312" w:eastAsia="仿宋_GB2312" w:cs="DengXian-Regular"/>
          <w:sz w:val="32"/>
          <w:szCs w:val="32"/>
        </w:rPr>
        <w:t>预决算公</w:t>
      </w:r>
      <w:r>
        <w:rPr>
          <w:rFonts w:ascii="仿宋_GB2312" w:eastAsia="仿宋_GB2312" w:cs="DengXian-Regular"/>
          <w:sz w:val="32"/>
          <w:szCs w:val="32"/>
        </w:rPr>
        <w:t>开</w:t>
      </w:r>
      <w:r>
        <w:rPr>
          <w:rFonts w:hint="eastAsia" w:ascii="仿宋_GB2312" w:eastAsia="仿宋_GB2312" w:cs="DengXian-Regular"/>
          <w:sz w:val="32"/>
          <w:szCs w:val="32"/>
        </w:rPr>
        <w:t>等相关信息。</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（3）基础信息完善性（4分）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该指标主要评价基础数据信息和财务信息资料是否真实、完整。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经核查2020年会计账簿、凭证及其他相关资料，我</w:t>
      </w:r>
      <w:r>
        <w:rPr>
          <w:rFonts w:ascii="仿宋_GB2312" w:eastAsia="仿宋_GB2312" w:cs="DengXian-Regular"/>
          <w:sz w:val="32"/>
          <w:szCs w:val="32"/>
        </w:rPr>
        <w:t>部门</w:t>
      </w:r>
      <w:r>
        <w:rPr>
          <w:rFonts w:hint="eastAsia" w:ascii="仿宋_GB2312" w:eastAsia="仿宋_GB2312" w:cs="DengXian-Regular"/>
          <w:sz w:val="32"/>
          <w:szCs w:val="32"/>
        </w:rPr>
        <w:t>会计信息资料真实完整，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（4）资产管理规范性（4分）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该指标主要评价资产管理是否规范，是否建立资产台账，新增资产是否符合规定程序和规定标准，资产的配置是否合规，资产保存是否完整。</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我部门利用</w:t>
      </w:r>
      <w:r>
        <w:rPr>
          <w:rFonts w:ascii="仿宋_GB2312" w:eastAsia="仿宋_GB2312" w:cs="DengXian-Regular"/>
          <w:sz w:val="32"/>
          <w:szCs w:val="32"/>
        </w:rPr>
        <w:t>行政事</w:t>
      </w:r>
      <w:r>
        <w:rPr>
          <w:rFonts w:hint="eastAsia" w:ascii="仿宋_GB2312" w:eastAsia="仿宋_GB2312" w:cs="DengXian-Regular"/>
          <w:sz w:val="32"/>
          <w:szCs w:val="32"/>
        </w:rPr>
        <w:t>业</w:t>
      </w:r>
      <w:r>
        <w:rPr>
          <w:rFonts w:ascii="仿宋_GB2312" w:eastAsia="仿宋_GB2312" w:cs="DengXian-Regular"/>
          <w:sz w:val="32"/>
          <w:szCs w:val="32"/>
        </w:rPr>
        <w:t>单位</w:t>
      </w:r>
      <w:r>
        <w:rPr>
          <w:rFonts w:hint="eastAsia" w:ascii="仿宋_GB2312" w:eastAsia="仿宋_GB2312" w:cs="DengXian-Regular"/>
          <w:sz w:val="32"/>
          <w:szCs w:val="32"/>
        </w:rPr>
        <w:t>资产</w:t>
      </w:r>
      <w:r>
        <w:rPr>
          <w:rFonts w:ascii="仿宋_GB2312" w:eastAsia="仿宋_GB2312" w:cs="DengXian-Regular"/>
          <w:sz w:val="32"/>
          <w:szCs w:val="32"/>
        </w:rPr>
        <w:t>系统</w:t>
      </w:r>
      <w:r>
        <w:rPr>
          <w:rFonts w:hint="eastAsia" w:ascii="仿宋_GB2312" w:eastAsia="仿宋_GB2312" w:cs="DengXian-Regular"/>
          <w:sz w:val="32"/>
          <w:szCs w:val="32"/>
        </w:rPr>
        <w:t>登记固定</w:t>
      </w:r>
      <w:r>
        <w:rPr>
          <w:rFonts w:ascii="仿宋_GB2312" w:eastAsia="仿宋_GB2312" w:cs="DengXian-Regular"/>
          <w:sz w:val="32"/>
          <w:szCs w:val="32"/>
        </w:rPr>
        <w:t>资产台账，管理</w:t>
      </w:r>
      <w:r>
        <w:rPr>
          <w:rFonts w:hint="eastAsia" w:ascii="仿宋_GB2312" w:eastAsia="仿宋_GB2312" w:cs="DengXian-Regular"/>
          <w:sz w:val="32"/>
          <w:szCs w:val="32"/>
        </w:rPr>
        <w:t>固定资产，资产保存完整，2020年新增资产0万元，其中：</w:t>
      </w:r>
      <w:r>
        <w:rPr>
          <w:rFonts w:ascii="仿宋_GB2312" w:eastAsia="仿宋_GB2312" w:cs="DengXian-Regular"/>
          <w:sz w:val="32"/>
          <w:szCs w:val="32"/>
        </w:rPr>
        <w:t>通用设备增加</w:t>
      </w:r>
      <w:r>
        <w:rPr>
          <w:rFonts w:hint="eastAsia" w:ascii="仿宋_GB2312" w:eastAsia="仿宋_GB2312" w:cs="DengXian-Regular"/>
          <w:sz w:val="32"/>
          <w:szCs w:val="32"/>
        </w:rPr>
        <w:t>0万元</w:t>
      </w:r>
      <w:r>
        <w:rPr>
          <w:rFonts w:ascii="仿宋_GB2312" w:eastAsia="仿宋_GB2312" w:cs="DengXian-Regular"/>
          <w:sz w:val="32"/>
          <w:szCs w:val="32"/>
        </w:rPr>
        <w:t>，</w:t>
      </w:r>
      <w:r>
        <w:rPr>
          <w:rFonts w:hint="eastAsia" w:ascii="仿宋_GB2312" w:eastAsia="仿宋_GB2312" w:cs="DengXian-Regular"/>
          <w:sz w:val="32"/>
          <w:szCs w:val="32"/>
        </w:rPr>
        <w:t>家具</w:t>
      </w:r>
      <w:r>
        <w:rPr>
          <w:rFonts w:ascii="仿宋_GB2312" w:eastAsia="仿宋_GB2312" w:cs="DengXian-Regular"/>
          <w:sz w:val="32"/>
          <w:szCs w:val="32"/>
        </w:rPr>
        <w:t>用</w:t>
      </w:r>
      <w:r>
        <w:rPr>
          <w:rFonts w:hint="eastAsia" w:ascii="仿宋_GB2312" w:eastAsia="仿宋_GB2312" w:cs="DengXian-Regular"/>
          <w:sz w:val="32"/>
          <w:szCs w:val="32"/>
        </w:rPr>
        <w:t>具</w:t>
      </w:r>
      <w:r>
        <w:rPr>
          <w:rFonts w:ascii="仿宋_GB2312" w:eastAsia="仿宋_GB2312" w:cs="DengXian-Regular"/>
          <w:sz w:val="32"/>
          <w:szCs w:val="32"/>
        </w:rPr>
        <w:t>增加</w:t>
      </w:r>
      <w:r>
        <w:rPr>
          <w:rFonts w:hint="eastAsia" w:ascii="仿宋_GB2312" w:eastAsia="仿宋_GB2312" w:cs="DengXian-Regular"/>
          <w:sz w:val="32"/>
          <w:szCs w:val="32"/>
        </w:rPr>
        <w:t>0万元，资产购置手续完备，配置符合要求，资产管理整体较规范。</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该项指标实际得分4分。</w:t>
      </w:r>
    </w:p>
    <w:p>
      <w:pPr>
        <w:spacing w:after="0" w:line="360" w:lineRule="auto"/>
        <w:ind w:firstLine="643" w:firstLineChars="200"/>
        <w:jc w:val="both"/>
        <w:textAlignment w:val="baseline"/>
        <w:rPr>
          <w:rFonts w:ascii="仿宋_GB2312" w:eastAsia="仿宋_GB2312" w:cs="DengXian-Regular"/>
          <w:b/>
          <w:sz w:val="32"/>
          <w:szCs w:val="32"/>
        </w:rPr>
      </w:pPr>
      <w:r>
        <w:rPr>
          <w:rFonts w:hint="eastAsia" w:ascii="仿宋_GB2312" w:eastAsia="仿宋_GB2312" w:cs="DengXian-Regular"/>
          <w:b/>
          <w:sz w:val="32"/>
          <w:szCs w:val="32"/>
        </w:rPr>
        <w:t>3.绩效评价（8分）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（1）绩效自评覆盖率（4分）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该指标主要评价部门是否按相关要求实施绩效自评，通过绩效自评覆盖率来衡量。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绩效自评覆盖率=（报送相关自评材料的数量/应实施项目绩效自评数量）*100%。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我部门2020年开展绩效自评的项目数为16个，年初预算文本项目数16个，要求自评项目个数16个，自评覆盖率为</w:t>
      </w:r>
      <w:r>
        <w:rPr>
          <w:rFonts w:ascii="仿宋_GB2312" w:eastAsia="仿宋_GB2312" w:cs="DengXian-Regular"/>
          <w:sz w:val="32"/>
          <w:szCs w:val="32"/>
        </w:rPr>
        <w:t>100</w:t>
      </w:r>
      <w:r>
        <w:rPr>
          <w:rFonts w:hint="eastAsia"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（2）绩效评价优等率（4分）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该指标主要评价部门开展的绩效评价项目的完成质量，通过绩效评价优等率来衡量。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绩效评价优等率=（结果达到优等的数量/参评数量）*100%。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我部门2020年参评数量</w:t>
      </w:r>
      <w:r>
        <w:rPr>
          <w:rFonts w:ascii="仿宋_GB2312" w:eastAsia="仿宋_GB2312" w:cs="DengXian-Regular"/>
          <w:sz w:val="32"/>
          <w:szCs w:val="32"/>
        </w:rPr>
        <w:t>1</w:t>
      </w:r>
      <w:r>
        <w:rPr>
          <w:rFonts w:hint="eastAsia" w:ascii="仿宋_GB2312" w:eastAsia="仿宋_GB2312" w:cs="DengXian-Regular"/>
          <w:sz w:val="32"/>
          <w:szCs w:val="32"/>
        </w:rPr>
        <w:t>6个，绩效评价结果达到优等的数量16个，绩效评价优等率为</w:t>
      </w:r>
      <w:r>
        <w:rPr>
          <w:rFonts w:ascii="仿宋_GB2312" w:eastAsia="仿宋_GB2312" w:cs="DengXian-Regular"/>
          <w:sz w:val="32"/>
          <w:szCs w:val="32"/>
        </w:rPr>
        <w:t>100</w:t>
      </w:r>
      <w:r>
        <w:rPr>
          <w:rFonts w:hint="eastAsia"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该指标实际得分**分。</w:t>
      </w:r>
      <w:bookmarkEnd w:id="64"/>
      <w:bookmarkEnd w:id="65"/>
    </w:p>
    <w:p>
      <w:pPr>
        <w:pStyle w:val="4"/>
        <w:spacing w:before="0" w:after="0"/>
        <w:ind w:firstLine="643" w:firstLineChars="200"/>
        <w:jc w:val="both"/>
        <w:rPr>
          <w:rFonts w:ascii="楷体" w:hAnsi="楷体" w:eastAsia="楷体"/>
          <w:sz w:val="32"/>
        </w:rPr>
      </w:pPr>
      <w:bookmarkStart w:id="66" w:name="_Toc12330"/>
      <w:r>
        <w:rPr>
          <w:rFonts w:hint="eastAsia" w:ascii="楷体" w:hAnsi="楷体" w:eastAsia="楷体"/>
          <w:sz w:val="32"/>
        </w:rPr>
        <w:t>（三）产出（25分）</w:t>
      </w:r>
      <w:bookmarkEnd w:id="66"/>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该一级指标包含责任履行一个二级指标，主要反映结转结余率，项目资金使用率，财政法规及业务宣传培训人次数，财政监督检查次数，财政项目投资评审完成率。</w:t>
      </w:r>
    </w:p>
    <w:p>
      <w:pPr>
        <w:spacing w:after="0" w:line="360" w:lineRule="auto"/>
        <w:jc w:val="center"/>
        <w:textAlignment w:val="baseline"/>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表4  产出指标及得分情况表</w:t>
      </w:r>
    </w:p>
    <w:tbl>
      <w:tblPr>
        <w:tblStyle w:val="23"/>
        <w:tblW w:w="0" w:type="auto"/>
        <w:jc w:val="center"/>
        <w:tblLayout w:type="fixed"/>
        <w:tblCellMar>
          <w:top w:w="15" w:type="dxa"/>
          <w:left w:w="15" w:type="dxa"/>
          <w:bottom w:w="15" w:type="dxa"/>
          <w:right w:w="15" w:type="dxa"/>
        </w:tblCellMar>
      </w:tblPr>
      <w:tblGrid>
        <w:gridCol w:w="1577"/>
        <w:gridCol w:w="1004"/>
        <w:gridCol w:w="2536"/>
        <w:gridCol w:w="1125"/>
        <w:gridCol w:w="853"/>
      </w:tblGrid>
      <w:tr>
        <w:tblPrEx>
          <w:tblCellMar>
            <w:top w:w="15" w:type="dxa"/>
            <w:left w:w="15" w:type="dxa"/>
            <w:bottom w:w="15" w:type="dxa"/>
            <w:right w:w="15" w:type="dxa"/>
          </w:tblCellMar>
        </w:tblPrEx>
        <w:trPr>
          <w:trHeight w:val="397" w:hRule="exact"/>
          <w:jc w:val="center"/>
        </w:trPr>
        <w:tc>
          <w:tcPr>
            <w:tcW w:w="1577"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一级指标</w:t>
            </w:r>
          </w:p>
        </w:tc>
        <w:tc>
          <w:tcPr>
            <w:tcW w:w="1004"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二级指标</w:t>
            </w:r>
          </w:p>
        </w:tc>
        <w:tc>
          <w:tcPr>
            <w:tcW w:w="2536"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三级指标</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分数权重</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得分</w:t>
            </w:r>
          </w:p>
        </w:tc>
      </w:tr>
      <w:tr>
        <w:tblPrEx>
          <w:tblCellMar>
            <w:top w:w="15" w:type="dxa"/>
            <w:left w:w="15" w:type="dxa"/>
            <w:bottom w:w="15" w:type="dxa"/>
            <w:right w:w="15" w:type="dxa"/>
          </w:tblCellMar>
        </w:tblPrEx>
        <w:trPr>
          <w:trHeight w:val="397" w:hRule="exact"/>
          <w:jc w:val="center"/>
        </w:trPr>
        <w:tc>
          <w:tcPr>
            <w:tcW w:w="1577" w:type="dxa"/>
            <w:vMerge w:val="restart"/>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产出</w:t>
            </w:r>
          </w:p>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（25分）</w:t>
            </w:r>
          </w:p>
        </w:tc>
        <w:tc>
          <w:tcPr>
            <w:tcW w:w="1004" w:type="dxa"/>
            <w:vMerge w:val="restart"/>
            <w:tcBorders>
              <w:top w:val="single" w:color="000000" w:sz="4" w:space="0"/>
              <w:left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责任履行（25分）</w:t>
            </w: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结转结余率</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r>
      <w:tr>
        <w:tblPrEx>
          <w:tblCellMar>
            <w:top w:w="15" w:type="dxa"/>
            <w:left w:w="15" w:type="dxa"/>
            <w:bottom w:w="15" w:type="dxa"/>
            <w:right w:w="15" w:type="dxa"/>
          </w:tblCellMar>
        </w:tblPrEx>
        <w:trPr>
          <w:trHeight w:val="397" w:hRule="exact"/>
          <w:jc w:val="center"/>
        </w:trPr>
        <w:tc>
          <w:tcPr>
            <w:tcW w:w="1577"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004" w:type="dxa"/>
            <w:vMerge w:val="continue"/>
            <w:tcBorders>
              <w:left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项目资金使用率</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r>
      <w:tr>
        <w:tblPrEx>
          <w:tblCellMar>
            <w:top w:w="15" w:type="dxa"/>
            <w:left w:w="15" w:type="dxa"/>
            <w:bottom w:w="15" w:type="dxa"/>
            <w:right w:w="15" w:type="dxa"/>
          </w:tblCellMar>
        </w:tblPrEx>
        <w:trPr>
          <w:trHeight w:val="397" w:hRule="exact"/>
          <w:jc w:val="center"/>
        </w:trPr>
        <w:tc>
          <w:tcPr>
            <w:tcW w:w="1577"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004" w:type="dxa"/>
            <w:vMerge w:val="continue"/>
            <w:tcBorders>
              <w:left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财政法规宣传培训人次数</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r>
      <w:tr>
        <w:tblPrEx>
          <w:tblCellMar>
            <w:top w:w="15" w:type="dxa"/>
            <w:left w:w="15" w:type="dxa"/>
            <w:bottom w:w="15" w:type="dxa"/>
            <w:right w:w="15" w:type="dxa"/>
          </w:tblCellMar>
        </w:tblPrEx>
        <w:trPr>
          <w:trHeight w:val="397" w:hRule="exact"/>
          <w:jc w:val="center"/>
        </w:trPr>
        <w:tc>
          <w:tcPr>
            <w:tcW w:w="1577"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004" w:type="dxa"/>
            <w:vMerge w:val="continue"/>
            <w:tcBorders>
              <w:left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财政监督检查次数</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r>
      <w:tr>
        <w:tblPrEx>
          <w:tblCellMar>
            <w:top w:w="15" w:type="dxa"/>
            <w:left w:w="15" w:type="dxa"/>
            <w:bottom w:w="15" w:type="dxa"/>
            <w:right w:w="15" w:type="dxa"/>
          </w:tblCellMar>
        </w:tblPrEx>
        <w:trPr>
          <w:trHeight w:val="397" w:hRule="exact"/>
          <w:jc w:val="center"/>
        </w:trPr>
        <w:tc>
          <w:tcPr>
            <w:tcW w:w="1577"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004" w:type="dxa"/>
            <w:vMerge w:val="continue"/>
            <w:tcBorders>
              <w:left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财政项目投资评审完成率</w:t>
            </w: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853"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r>
      <w:tr>
        <w:tblPrEx>
          <w:tblCellMar>
            <w:top w:w="15" w:type="dxa"/>
            <w:left w:w="15" w:type="dxa"/>
            <w:bottom w:w="15" w:type="dxa"/>
            <w:right w:w="15" w:type="dxa"/>
          </w:tblCellMar>
        </w:tblPrEx>
        <w:trPr>
          <w:trHeight w:val="397" w:hRule="exact"/>
          <w:jc w:val="center"/>
        </w:trPr>
        <w:tc>
          <w:tcPr>
            <w:tcW w:w="2581" w:type="dxa"/>
            <w:gridSpan w:val="2"/>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合计</w:t>
            </w:r>
          </w:p>
        </w:tc>
        <w:tc>
          <w:tcPr>
            <w:tcW w:w="2536"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12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25</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25</w:t>
            </w:r>
          </w:p>
        </w:tc>
      </w:tr>
    </w:tbl>
    <w:p>
      <w:pPr>
        <w:spacing w:after="0" w:line="360" w:lineRule="auto"/>
        <w:ind w:firstLine="640" w:firstLineChars="200"/>
        <w:jc w:val="both"/>
        <w:textAlignment w:val="baseline"/>
        <w:rPr>
          <w:rFonts w:ascii="仿宋_GB2312" w:eastAsia="仿宋_GB2312" w:cs="DengXian-Regular"/>
          <w:sz w:val="32"/>
          <w:szCs w:val="32"/>
        </w:rPr>
      </w:pPr>
      <w:bookmarkStart w:id="67" w:name="_Toc465149515"/>
      <w:bookmarkStart w:id="68" w:name="_Toc464638518"/>
      <w:r>
        <w:rPr>
          <w:rFonts w:hint="eastAsia" w:ascii="仿宋_GB2312" w:eastAsia="仿宋_GB2312" w:cs="DengXian-Regular"/>
          <w:sz w:val="32"/>
          <w:szCs w:val="32"/>
        </w:rPr>
        <w:t>1.结转结余率（5分）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该指标主要评价部门的结转结余情况，通过结转结余率衡量。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结转结余率=（本年结转结余数/决算收入数）*100%。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根据2019年决算文本及相关资料，</w:t>
      </w:r>
      <w:r>
        <w:rPr>
          <w:rFonts w:ascii="仿宋_GB2312" w:eastAsia="仿宋_GB2312" w:cs="DengXian-Regular"/>
          <w:sz w:val="32"/>
          <w:szCs w:val="32"/>
        </w:rPr>
        <w:t>我部门</w:t>
      </w:r>
      <w:r>
        <w:rPr>
          <w:rFonts w:hint="eastAsia" w:ascii="仿宋_GB2312" w:eastAsia="仿宋_GB2312" w:cs="DengXian-Regular"/>
          <w:sz w:val="32"/>
          <w:szCs w:val="32"/>
        </w:rPr>
        <w:t>2019年结转结余资金0万元，决算收入19141.35万元，结转结余率0%，小于5%。</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该项指标实际得分5分。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2.项目资金使用率（5分）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该指标主要评价项目资金的使用效率，通过项目资金使用率来衡量。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项目资金使用率=（实际支出项目资金总额/计划完整项目资金总数）*100%。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我部门2019年实际支出项目资金总额19141.35元，年初预算共16个项目，预算数20545.8万元，年中未追加项目资金，项目资金使用率为93.16%。</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该指标实际得分5分。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3.财政法规宣传培训人次数（5分</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该指标主要评价财政法律法规政策宣传</w:t>
      </w:r>
      <w:r>
        <w:rPr>
          <w:rFonts w:ascii="仿宋_GB2312" w:eastAsia="仿宋_GB2312" w:cs="DengXian-Regular"/>
          <w:sz w:val="32"/>
          <w:szCs w:val="32"/>
        </w:rPr>
        <w:t>培训</w:t>
      </w:r>
      <w:r>
        <w:rPr>
          <w:rFonts w:hint="eastAsia" w:ascii="仿宋_GB2312" w:eastAsia="仿宋_GB2312" w:cs="DengXian-Regular"/>
          <w:sz w:val="32"/>
          <w:szCs w:val="32"/>
        </w:rPr>
        <w:t>的实施</w:t>
      </w:r>
      <w:r>
        <w:rPr>
          <w:rFonts w:ascii="仿宋_GB2312" w:eastAsia="仿宋_GB2312" w:cs="DengXian-Regular"/>
          <w:sz w:val="32"/>
          <w:szCs w:val="32"/>
        </w:rPr>
        <w:t>效果</w:t>
      </w:r>
      <w:r>
        <w:rPr>
          <w:rFonts w:hint="eastAsia" w:ascii="仿宋_GB2312" w:eastAsia="仿宋_GB2312" w:cs="DengXian-Regular"/>
          <w:sz w:val="32"/>
          <w:szCs w:val="32"/>
        </w:rPr>
        <w:t>，通过培训人</w:t>
      </w:r>
      <w:r>
        <w:rPr>
          <w:rFonts w:ascii="仿宋_GB2312" w:eastAsia="仿宋_GB2312" w:cs="DengXian-Regular"/>
          <w:sz w:val="32"/>
          <w:szCs w:val="32"/>
        </w:rPr>
        <w:t>次数</w:t>
      </w:r>
      <w:r>
        <w:rPr>
          <w:rFonts w:hint="eastAsia" w:ascii="仿宋_GB2312" w:eastAsia="仿宋_GB2312" w:cs="DengXian-Regular"/>
          <w:sz w:val="32"/>
          <w:szCs w:val="32"/>
        </w:rPr>
        <w:t>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w:t>
      </w:r>
      <w:r>
        <w:rPr>
          <w:rFonts w:ascii="仿宋_GB2312" w:eastAsia="仿宋_GB2312" w:cs="DengXian-Regular"/>
          <w:sz w:val="32"/>
          <w:szCs w:val="32"/>
        </w:rPr>
        <w:t>部门</w:t>
      </w:r>
      <w:r>
        <w:rPr>
          <w:rFonts w:hint="eastAsia" w:ascii="仿宋_GB2312" w:eastAsia="仿宋_GB2312" w:cs="DengXian-Regular"/>
          <w:sz w:val="32"/>
          <w:szCs w:val="32"/>
        </w:rPr>
        <w:t>2020年预期</w:t>
      </w:r>
      <w:r>
        <w:rPr>
          <w:rFonts w:ascii="仿宋_GB2312" w:eastAsia="仿宋_GB2312" w:cs="DengXian-Regular"/>
          <w:sz w:val="32"/>
          <w:szCs w:val="32"/>
        </w:rPr>
        <w:t>培训</w:t>
      </w:r>
      <w:r>
        <w:rPr>
          <w:rFonts w:hint="eastAsia" w:ascii="仿宋_GB2312" w:eastAsia="仿宋_GB2312" w:cs="DengXian-Regular"/>
          <w:sz w:val="32"/>
          <w:szCs w:val="32"/>
        </w:rPr>
        <w:t>人</w:t>
      </w:r>
      <w:r>
        <w:rPr>
          <w:rFonts w:ascii="仿宋_GB2312" w:eastAsia="仿宋_GB2312" w:cs="DengXian-Regular"/>
          <w:sz w:val="32"/>
          <w:szCs w:val="32"/>
        </w:rPr>
        <w:t>次</w:t>
      </w:r>
      <w:r>
        <w:rPr>
          <w:rFonts w:hint="eastAsia" w:ascii="仿宋_GB2312" w:eastAsia="仿宋_GB2312" w:cs="DengXian-Regular"/>
          <w:sz w:val="32"/>
          <w:szCs w:val="32"/>
        </w:rPr>
        <w:t>数≥1为优，全</w:t>
      </w:r>
      <w:r>
        <w:rPr>
          <w:rFonts w:ascii="仿宋_GB2312" w:eastAsia="仿宋_GB2312" w:cs="DengXian-Regular"/>
          <w:sz w:val="32"/>
          <w:szCs w:val="32"/>
        </w:rPr>
        <w:t>年</w:t>
      </w:r>
      <w:r>
        <w:rPr>
          <w:rFonts w:hint="eastAsia" w:ascii="仿宋_GB2312" w:eastAsia="仿宋_GB2312" w:cs="DengXian-Regular"/>
          <w:sz w:val="32"/>
          <w:szCs w:val="32"/>
        </w:rPr>
        <w:t>实际完成培训人</w:t>
      </w:r>
      <w:r>
        <w:rPr>
          <w:rFonts w:ascii="仿宋_GB2312" w:eastAsia="仿宋_GB2312" w:cs="DengXian-Regular"/>
          <w:sz w:val="32"/>
          <w:szCs w:val="32"/>
        </w:rPr>
        <w:t>次数</w:t>
      </w:r>
      <w:r>
        <w:rPr>
          <w:rFonts w:hint="eastAsia" w:ascii="仿宋_GB2312" w:eastAsia="仿宋_GB2312" w:cs="DengXian-Regular"/>
          <w:sz w:val="32"/>
          <w:szCs w:val="32"/>
        </w:rPr>
        <w:t>是0，得</w:t>
      </w:r>
      <w:r>
        <w:rPr>
          <w:rFonts w:ascii="仿宋_GB2312" w:eastAsia="仿宋_GB2312" w:cs="DengXian-Regular"/>
          <w:sz w:val="32"/>
          <w:szCs w:val="32"/>
        </w:rPr>
        <w:t>分</w:t>
      </w:r>
      <w:r>
        <w:rPr>
          <w:rFonts w:hint="eastAsia" w:ascii="仿宋_GB2312" w:eastAsia="仿宋_GB2312" w:cs="DengXian-Regular"/>
          <w:sz w:val="32"/>
          <w:szCs w:val="32"/>
        </w:rPr>
        <w:t>0分</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该指标实际得分0分。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4.财政监督检查次数（5分</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该指标主要评价财政监督</w:t>
      </w:r>
      <w:r>
        <w:rPr>
          <w:rFonts w:ascii="仿宋_GB2312" w:eastAsia="仿宋_GB2312" w:cs="DengXian-Regular"/>
          <w:sz w:val="32"/>
          <w:szCs w:val="32"/>
        </w:rPr>
        <w:t>检查</w:t>
      </w:r>
      <w:r>
        <w:rPr>
          <w:rFonts w:hint="eastAsia" w:ascii="仿宋_GB2312" w:eastAsia="仿宋_GB2312" w:cs="DengXian-Regular"/>
          <w:sz w:val="32"/>
          <w:szCs w:val="32"/>
        </w:rPr>
        <w:t>的工</w:t>
      </w:r>
      <w:r>
        <w:rPr>
          <w:rFonts w:ascii="仿宋_GB2312" w:eastAsia="仿宋_GB2312" w:cs="DengXian-Regular"/>
          <w:sz w:val="32"/>
          <w:szCs w:val="32"/>
        </w:rPr>
        <w:t>作成果</w:t>
      </w:r>
      <w:r>
        <w:rPr>
          <w:rFonts w:hint="eastAsia" w:ascii="仿宋_GB2312" w:eastAsia="仿宋_GB2312" w:cs="DengXian-Regular"/>
          <w:sz w:val="32"/>
          <w:szCs w:val="32"/>
        </w:rPr>
        <w:t>，通过监督检查</w:t>
      </w:r>
      <w:r>
        <w:rPr>
          <w:rFonts w:ascii="仿宋_GB2312" w:eastAsia="仿宋_GB2312" w:cs="DengXian-Regular"/>
          <w:sz w:val="32"/>
          <w:szCs w:val="32"/>
        </w:rPr>
        <w:t>次数</w:t>
      </w:r>
      <w:r>
        <w:rPr>
          <w:rFonts w:hint="eastAsia" w:ascii="仿宋_GB2312" w:eastAsia="仿宋_GB2312" w:cs="DengXian-Regular"/>
          <w:sz w:val="32"/>
          <w:szCs w:val="32"/>
        </w:rPr>
        <w:t>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w:t>
      </w:r>
      <w:r>
        <w:rPr>
          <w:rFonts w:ascii="仿宋_GB2312" w:eastAsia="仿宋_GB2312" w:cs="DengXian-Regular"/>
          <w:sz w:val="32"/>
          <w:szCs w:val="32"/>
        </w:rPr>
        <w:t>部门</w:t>
      </w:r>
      <w:r>
        <w:rPr>
          <w:rFonts w:hint="eastAsia" w:ascii="仿宋_GB2312" w:eastAsia="仿宋_GB2312" w:cs="DengXian-Regular"/>
          <w:sz w:val="32"/>
          <w:szCs w:val="32"/>
        </w:rPr>
        <w:t>2020年财政监督检查</w:t>
      </w:r>
      <w:r>
        <w:rPr>
          <w:rFonts w:ascii="仿宋_GB2312" w:eastAsia="仿宋_GB2312" w:cs="DengXian-Regular"/>
          <w:sz w:val="32"/>
          <w:szCs w:val="32"/>
        </w:rPr>
        <w:t>次</w:t>
      </w:r>
      <w:r>
        <w:rPr>
          <w:rFonts w:hint="eastAsia" w:ascii="仿宋_GB2312" w:eastAsia="仿宋_GB2312" w:cs="DengXian-Regular"/>
          <w:sz w:val="32"/>
          <w:szCs w:val="32"/>
        </w:rPr>
        <w:t>数≥1为优，全</w:t>
      </w:r>
      <w:r>
        <w:rPr>
          <w:rFonts w:ascii="仿宋_GB2312" w:eastAsia="仿宋_GB2312" w:cs="DengXian-Regular"/>
          <w:sz w:val="32"/>
          <w:szCs w:val="32"/>
        </w:rPr>
        <w:t>年</w:t>
      </w:r>
      <w:r>
        <w:rPr>
          <w:rFonts w:hint="eastAsia" w:ascii="仿宋_GB2312" w:eastAsia="仿宋_GB2312" w:cs="DengXian-Regular"/>
          <w:sz w:val="32"/>
          <w:szCs w:val="32"/>
        </w:rPr>
        <w:t>实际完成监督检查</w:t>
      </w:r>
      <w:r>
        <w:rPr>
          <w:rFonts w:ascii="仿宋_GB2312" w:eastAsia="仿宋_GB2312" w:cs="DengXian-Regular"/>
          <w:sz w:val="32"/>
          <w:szCs w:val="32"/>
        </w:rPr>
        <w:t>次数</w:t>
      </w:r>
      <w:r>
        <w:rPr>
          <w:rFonts w:hint="eastAsia" w:ascii="仿宋_GB2312" w:eastAsia="仿宋_GB2312" w:cs="DengXian-Regular"/>
          <w:sz w:val="32"/>
          <w:szCs w:val="32"/>
        </w:rPr>
        <w:t>是1</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该指标实际得分5分。</w:t>
      </w:r>
    </w:p>
    <w:p>
      <w:pPr>
        <w:spacing w:after="0" w:line="360" w:lineRule="auto"/>
        <w:ind w:firstLine="640" w:firstLineChars="200"/>
        <w:jc w:val="both"/>
        <w:textAlignment w:val="baseline"/>
        <w:rPr>
          <w:rFonts w:ascii="仿宋_GB2312" w:eastAsia="仿宋_GB2312" w:cs="DengXian-Regular"/>
          <w:sz w:val="32"/>
          <w:szCs w:val="32"/>
        </w:rPr>
      </w:pPr>
      <w:r>
        <w:rPr>
          <w:rFonts w:ascii="仿宋_GB2312" w:eastAsia="仿宋_GB2312" w:cs="DengXian-Regular"/>
          <w:sz w:val="32"/>
          <w:szCs w:val="32"/>
        </w:rPr>
        <w:t>5.</w:t>
      </w:r>
      <w:r>
        <w:rPr>
          <w:rFonts w:hint="eastAsia" w:ascii="仿宋_GB2312" w:eastAsia="仿宋_GB2312" w:cs="DengXian-Regular"/>
          <w:sz w:val="32"/>
          <w:szCs w:val="32"/>
        </w:rPr>
        <w:t>财政项目投资评审完成率（5</w:t>
      </w:r>
      <w:r>
        <w:rPr>
          <w:rFonts w:ascii="仿宋_GB2312" w:eastAsia="仿宋_GB2312" w:cs="DengXian-Regular"/>
          <w:sz w:val="32"/>
          <w:szCs w:val="32"/>
        </w:rPr>
        <w:t>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该指标主要评价财政项目投资评审完成效率，通过财政项目投资评审完成率来衡量。</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财政项目投资评审完成率=（实际完成评审</w:t>
      </w:r>
      <w:r>
        <w:rPr>
          <w:rFonts w:ascii="仿宋_GB2312" w:eastAsia="仿宋_GB2312" w:cs="DengXian-Regular"/>
          <w:sz w:val="32"/>
          <w:szCs w:val="32"/>
        </w:rPr>
        <w:t>项目</w:t>
      </w:r>
      <w:r>
        <w:rPr>
          <w:rFonts w:hint="eastAsia" w:ascii="仿宋_GB2312" w:eastAsia="仿宋_GB2312" w:cs="DengXian-Regular"/>
          <w:sz w:val="32"/>
          <w:szCs w:val="32"/>
        </w:rPr>
        <w:t>/全年评审</w:t>
      </w:r>
      <w:r>
        <w:rPr>
          <w:rFonts w:ascii="仿宋_GB2312" w:eastAsia="仿宋_GB2312" w:cs="DengXian-Regular"/>
          <w:sz w:val="32"/>
          <w:szCs w:val="32"/>
        </w:rPr>
        <w:t>项目</w:t>
      </w:r>
      <w:r>
        <w:rPr>
          <w:rFonts w:hint="eastAsia" w:ascii="仿宋_GB2312" w:eastAsia="仿宋_GB2312" w:cs="DengXian-Regular"/>
          <w:sz w:val="32"/>
          <w:szCs w:val="32"/>
        </w:rPr>
        <w:t>总数）*100%。</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我</w:t>
      </w:r>
      <w:r>
        <w:rPr>
          <w:rFonts w:ascii="仿宋_GB2312" w:eastAsia="仿宋_GB2312" w:cs="DengXian-Regular"/>
          <w:sz w:val="32"/>
          <w:szCs w:val="32"/>
        </w:rPr>
        <w:t>部门</w:t>
      </w:r>
      <w:r>
        <w:rPr>
          <w:rFonts w:hint="eastAsia" w:ascii="仿宋_GB2312" w:eastAsia="仿宋_GB2312" w:cs="DengXian-Regular"/>
          <w:sz w:val="32"/>
          <w:szCs w:val="32"/>
        </w:rPr>
        <w:t>2020年全年评审</w:t>
      </w:r>
      <w:r>
        <w:rPr>
          <w:rFonts w:ascii="仿宋_GB2312" w:eastAsia="仿宋_GB2312" w:cs="DengXian-Regular"/>
          <w:sz w:val="32"/>
          <w:szCs w:val="32"/>
        </w:rPr>
        <w:t>项目</w:t>
      </w:r>
      <w:r>
        <w:rPr>
          <w:rFonts w:hint="eastAsia" w:ascii="仿宋_GB2312" w:eastAsia="仿宋_GB2312" w:cs="DengXian-Regular"/>
          <w:sz w:val="32"/>
          <w:szCs w:val="32"/>
        </w:rPr>
        <w:t>总数是16，全</w:t>
      </w:r>
      <w:r>
        <w:rPr>
          <w:rFonts w:ascii="仿宋_GB2312" w:eastAsia="仿宋_GB2312" w:cs="DengXian-Regular"/>
          <w:sz w:val="32"/>
          <w:szCs w:val="32"/>
        </w:rPr>
        <w:t>年</w:t>
      </w:r>
      <w:r>
        <w:rPr>
          <w:rFonts w:hint="eastAsia" w:ascii="仿宋_GB2312" w:eastAsia="仿宋_GB2312" w:cs="DengXian-Regular"/>
          <w:sz w:val="32"/>
          <w:szCs w:val="32"/>
        </w:rPr>
        <w:t>实际完成评</w:t>
      </w:r>
      <w:r>
        <w:rPr>
          <w:rFonts w:ascii="仿宋_GB2312" w:eastAsia="仿宋_GB2312" w:cs="DengXian-Regular"/>
          <w:sz w:val="32"/>
          <w:szCs w:val="32"/>
        </w:rPr>
        <w:t>审项目</w:t>
      </w:r>
      <w:r>
        <w:rPr>
          <w:rFonts w:hint="eastAsia" w:ascii="仿宋_GB2312" w:eastAsia="仿宋_GB2312" w:cs="DengXian-Regular"/>
          <w:sz w:val="32"/>
          <w:szCs w:val="32"/>
        </w:rPr>
        <w:t>有16，财政项目投资评审完成率=100</w:t>
      </w:r>
      <w:r>
        <w:rPr>
          <w:rFonts w:ascii="仿宋_GB2312" w:eastAsia="仿宋_GB2312" w:cs="DengXian-Regular"/>
          <w:sz w:val="32"/>
          <w:szCs w:val="32"/>
        </w:rPr>
        <w:t>%</w:t>
      </w:r>
      <w:r>
        <w:rPr>
          <w:rFonts w:hint="eastAsia" w:ascii="仿宋_GB2312" w:eastAsia="仿宋_GB2312" w:cs="DengXian-Regular"/>
          <w:sz w:val="32"/>
          <w:szCs w:val="32"/>
        </w:rPr>
        <w:t>，大</w:t>
      </w:r>
      <w:r>
        <w:rPr>
          <w:rFonts w:ascii="仿宋_GB2312" w:eastAsia="仿宋_GB2312" w:cs="DengXian-Regular"/>
          <w:sz w:val="32"/>
          <w:szCs w:val="32"/>
        </w:rPr>
        <w:t>于</w:t>
      </w:r>
      <w:r>
        <w:rPr>
          <w:rFonts w:hint="eastAsia" w:ascii="仿宋_GB2312" w:eastAsia="仿宋_GB2312" w:cs="DengXian-Regular"/>
          <w:sz w:val="32"/>
          <w:szCs w:val="32"/>
        </w:rPr>
        <w:t>设定</w:t>
      </w:r>
      <w:r>
        <w:rPr>
          <w:rFonts w:ascii="仿宋_GB2312" w:eastAsia="仿宋_GB2312" w:cs="DengXian-Regular"/>
          <w:sz w:val="32"/>
          <w:szCs w:val="32"/>
        </w:rPr>
        <w:t>目标</w:t>
      </w:r>
      <w:r>
        <w:rPr>
          <w:rFonts w:hint="eastAsia" w:ascii="仿宋_GB2312" w:eastAsia="仿宋_GB2312" w:cs="DengXian-Regular"/>
          <w:sz w:val="32"/>
          <w:szCs w:val="32"/>
        </w:rPr>
        <w:t>0%</w:t>
      </w:r>
      <w:r>
        <w:rPr>
          <w:rFonts w:ascii="仿宋_GB2312" w:eastAsia="仿宋_GB2312" w:cs="DengXian-Regular"/>
          <w:sz w:val="32"/>
          <w:szCs w:val="32"/>
        </w:rPr>
        <w:t>。</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该指标实际得分5分。</w:t>
      </w:r>
    </w:p>
    <w:p>
      <w:pPr>
        <w:pStyle w:val="4"/>
        <w:spacing w:before="0" w:after="0"/>
        <w:ind w:firstLine="643" w:firstLineChars="200"/>
        <w:jc w:val="both"/>
        <w:rPr>
          <w:rFonts w:ascii="楷体" w:hAnsi="楷体" w:eastAsia="楷体"/>
          <w:sz w:val="32"/>
        </w:rPr>
      </w:pPr>
      <w:bookmarkStart w:id="69" w:name="_Toc28363"/>
      <w:r>
        <w:rPr>
          <w:rFonts w:hint="eastAsia" w:ascii="楷体" w:hAnsi="楷体" w:eastAsia="楷体"/>
          <w:sz w:val="32"/>
        </w:rPr>
        <w:t>（四）效果</w:t>
      </w:r>
      <w:bookmarkEnd w:id="67"/>
      <w:bookmarkEnd w:id="68"/>
      <w:r>
        <w:rPr>
          <w:rFonts w:hint="eastAsia" w:ascii="楷体" w:hAnsi="楷体" w:eastAsia="楷体"/>
          <w:sz w:val="32"/>
        </w:rPr>
        <w:t>（15分）</w:t>
      </w:r>
      <w:bookmarkEnd w:id="69"/>
    </w:p>
    <w:p>
      <w:pPr>
        <w:spacing w:after="0" w:line="360" w:lineRule="auto"/>
        <w:ind w:firstLine="640" w:firstLineChars="200"/>
        <w:jc w:val="both"/>
        <w:textAlignment w:val="baseline"/>
        <w:rPr>
          <w:rFonts w:ascii="仿宋_GB2312" w:eastAsia="仿宋_GB2312" w:cs="DengXian-Regular"/>
          <w:sz w:val="32"/>
          <w:szCs w:val="32"/>
        </w:rPr>
      </w:pPr>
      <w:bookmarkStart w:id="70" w:name="_Toc464638520"/>
      <w:r>
        <w:rPr>
          <w:rFonts w:hint="eastAsia" w:ascii="仿宋_GB2312" w:eastAsia="仿宋_GB2312" w:cs="DengXian-Regular"/>
          <w:sz w:val="32"/>
          <w:szCs w:val="32"/>
        </w:rPr>
        <w:t>该一级指标包含履职效益一个二级指标。主要反映部门履行职责对社会发展所带来的直接或间接效益及社会公众或部门的服务对象对部门履职效果的满意程度。</w:t>
      </w:r>
    </w:p>
    <w:p>
      <w:pPr>
        <w:spacing w:after="0" w:line="360" w:lineRule="auto"/>
        <w:jc w:val="center"/>
        <w:textAlignment w:val="baseline"/>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表5  效果指标及得分情况表</w:t>
      </w:r>
    </w:p>
    <w:tbl>
      <w:tblPr>
        <w:tblStyle w:val="23"/>
        <w:tblW w:w="0" w:type="auto"/>
        <w:jc w:val="center"/>
        <w:tblLayout w:type="fixed"/>
        <w:tblCellMar>
          <w:top w:w="15" w:type="dxa"/>
          <w:left w:w="15" w:type="dxa"/>
          <w:bottom w:w="15" w:type="dxa"/>
          <w:right w:w="15" w:type="dxa"/>
        </w:tblCellMar>
      </w:tblPr>
      <w:tblGrid>
        <w:gridCol w:w="1468"/>
        <w:gridCol w:w="1155"/>
        <w:gridCol w:w="2130"/>
        <w:gridCol w:w="1200"/>
        <w:gridCol w:w="1045"/>
      </w:tblGrid>
      <w:tr>
        <w:tblPrEx>
          <w:tblCellMar>
            <w:top w:w="15" w:type="dxa"/>
            <w:left w:w="15" w:type="dxa"/>
            <w:bottom w:w="15" w:type="dxa"/>
            <w:right w:w="15" w:type="dxa"/>
          </w:tblCellMar>
        </w:tblPrEx>
        <w:trPr>
          <w:trHeight w:val="397" w:hRule="exact"/>
          <w:jc w:val="center"/>
        </w:trPr>
        <w:tc>
          <w:tcPr>
            <w:tcW w:w="1468"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一级指标</w:t>
            </w:r>
          </w:p>
        </w:tc>
        <w:tc>
          <w:tcPr>
            <w:tcW w:w="1155"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二级指标</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三级指标</w:t>
            </w:r>
          </w:p>
        </w:tc>
        <w:tc>
          <w:tcPr>
            <w:tcW w:w="1200"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分数权重</w:t>
            </w:r>
          </w:p>
        </w:tc>
        <w:tc>
          <w:tcPr>
            <w:tcW w:w="1045" w:type="dxa"/>
            <w:tcBorders>
              <w:top w:val="single" w:color="000000" w:sz="4" w:space="0"/>
              <w:left w:val="single" w:color="000000" w:sz="4" w:space="0"/>
              <w:bottom w:val="single" w:color="000000" w:sz="4" w:space="0"/>
              <w:right w:val="single" w:color="000000" w:sz="4" w:space="0"/>
            </w:tcBorders>
            <w:vAlign w:val="center"/>
          </w:tcPr>
          <w:p>
            <w:pPr>
              <w:spacing w:after="0"/>
              <w:jc w:val="center"/>
              <w:textAlignment w:val="center"/>
              <w:rPr>
                <w:rFonts w:cs="宋体" w:asciiTheme="minorEastAsia" w:hAnsiTheme="minorEastAsia" w:eastAsiaTheme="minorEastAsia"/>
                <w:b/>
                <w:color w:val="000000"/>
                <w:sz w:val="21"/>
                <w:szCs w:val="21"/>
              </w:rPr>
            </w:pPr>
            <w:r>
              <w:rPr>
                <w:rFonts w:hint="eastAsia" w:cs="宋体" w:asciiTheme="minorEastAsia" w:hAnsiTheme="minorEastAsia" w:eastAsiaTheme="minorEastAsia"/>
                <w:b/>
                <w:color w:val="000000"/>
                <w:sz w:val="21"/>
                <w:szCs w:val="21"/>
              </w:rPr>
              <w:t>得分</w:t>
            </w:r>
          </w:p>
        </w:tc>
      </w:tr>
      <w:tr>
        <w:tblPrEx>
          <w:tblCellMar>
            <w:top w:w="15" w:type="dxa"/>
            <w:left w:w="15" w:type="dxa"/>
            <w:bottom w:w="15" w:type="dxa"/>
            <w:right w:w="15" w:type="dxa"/>
          </w:tblCellMar>
        </w:tblPrEx>
        <w:trPr>
          <w:trHeight w:val="397" w:hRule="exact"/>
          <w:jc w:val="center"/>
        </w:trPr>
        <w:tc>
          <w:tcPr>
            <w:tcW w:w="1468"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项目效果</w:t>
            </w:r>
          </w:p>
          <w:p>
            <w:pPr>
              <w:spacing w:after="0"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（15分）</w:t>
            </w:r>
          </w:p>
        </w:tc>
        <w:tc>
          <w:tcPr>
            <w:tcW w:w="1155"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履职效益</w:t>
            </w:r>
          </w:p>
          <w:p>
            <w:pPr>
              <w:spacing w:after="0"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（15分）</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部门整体效益</w:t>
            </w:r>
          </w:p>
        </w:tc>
        <w:tc>
          <w:tcPr>
            <w:tcW w:w="120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10</w:t>
            </w:r>
          </w:p>
        </w:tc>
        <w:tc>
          <w:tcPr>
            <w:tcW w:w="104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10</w:t>
            </w:r>
          </w:p>
        </w:tc>
      </w:tr>
      <w:tr>
        <w:tblPrEx>
          <w:tblCellMar>
            <w:top w:w="15" w:type="dxa"/>
            <w:left w:w="15" w:type="dxa"/>
            <w:bottom w:w="15" w:type="dxa"/>
            <w:right w:w="15" w:type="dxa"/>
          </w:tblCellMar>
        </w:tblPrEx>
        <w:trPr>
          <w:trHeight w:val="397" w:hRule="exact"/>
          <w:jc w:val="center"/>
        </w:trPr>
        <w:tc>
          <w:tcPr>
            <w:tcW w:w="1468"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155" w:type="dxa"/>
            <w:vMerge w:val="continue"/>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考评满意度</w:t>
            </w:r>
          </w:p>
        </w:tc>
        <w:tc>
          <w:tcPr>
            <w:tcW w:w="120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tc>
        <w:tc>
          <w:tcPr>
            <w:tcW w:w="104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w:t>
            </w:r>
          </w:p>
          <w:p>
            <w:pPr>
              <w:spacing w:line="420" w:lineRule="exact"/>
              <w:jc w:val="center"/>
              <w:rPr>
                <w:rFonts w:cs="宋体" w:asciiTheme="minorEastAsia" w:hAnsiTheme="minorEastAsia" w:eastAsiaTheme="minorEastAsia"/>
                <w:sz w:val="21"/>
                <w:szCs w:val="21"/>
              </w:rPr>
            </w:pPr>
          </w:p>
        </w:tc>
      </w:tr>
      <w:tr>
        <w:tblPrEx>
          <w:tblCellMar>
            <w:top w:w="15" w:type="dxa"/>
            <w:left w:w="15" w:type="dxa"/>
            <w:bottom w:w="15" w:type="dxa"/>
            <w:right w:w="15" w:type="dxa"/>
          </w:tblCellMar>
        </w:tblPrEx>
        <w:trPr>
          <w:trHeight w:val="397" w:hRule="exact"/>
          <w:jc w:val="center"/>
        </w:trPr>
        <w:tc>
          <w:tcPr>
            <w:tcW w:w="2623" w:type="dxa"/>
            <w:gridSpan w:val="2"/>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合计</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15</w:t>
            </w:r>
          </w:p>
        </w:tc>
        <w:tc>
          <w:tcPr>
            <w:tcW w:w="1045" w:type="dxa"/>
            <w:tcBorders>
              <w:top w:val="single" w:color="000000" w:sz="4" w:space="0"/>
              <w:left w:val="single" w:color="000000" w:sz="4" w:space="0"/>
              <w:bottom w:val="single" w:color="000000" w:sz="4" w:space="0"/>
              <w:right w:val="single" w:color="000000" w:sz="4" w:space="0"/>
            </w:tcBorders>
            <w:vAlign w:val="center"/>
          </w:tcPr>
          <w:p>
            <w:pPr>
              <w:spacing w:line="42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15</w:t>
            </w:r>
          </w:p>
        </w:tc>
      </w:tr>
      <w:bookmarkEnd w:id="70"/>
    </w:tbl>
    <w:p>
      <w:pPr>
        <w:spacing w:after="0" w:line="360" w:lineRule="auto"/>
        <w:ind w:firstLine="640" w:firstLineChars="200"/>
        <w:jc w:val="both"/>
        <w:textAlignment w:val="baseline"/>
        <w:rPr>
          <w:rFonts w:ascii="仿宋_GB2312" w:eastAsia="仿宋_GB2312" w:cs="DengXian-Regular"/>
          <w:sz w:val="32"/>
          <w:szCs w:val="32"/>
        </w:rPr>
      </w:pPr>
      <w:bookmarkStart w:id="71" w:name="_Toc492652784"/>
      <w:bookmarkStart w:id="72" w:name="_Toc465149516"/>
      <w:bookmarkStart w:id="73" w:name="_Toc464638561"/>
      <w:r>
        <w:rPr>
          <w:rFonts w:hint="eastAsia" w:ascii="仿宋_GB2312" w:eastAsia="仿宋_GB2312" w:cs="DengXian-Regular"/>
          <w:sz w:val="32"/>
          <w:szCs w:val="32"/>
        </w:rPr>
        <w:t>1.部门整体效益（10分）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该指标主要评价部门履行职责对社会发展所带来的直接或间接效益。</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经查看我部门的相关资料，我部门履行职责对社会发展所带来的社会效益较显著，有效的提高了社会公众对财政管理的认识，有</w:t>
      </w:r>
      <w:r>
        <w:rPr>
          <w:rFonts w:ascii="仿宋_GB2312" w:eastAsia="仿宋_GB2312" w:cs="DengXian-Regular"/>
          <w:sz w:val="32"/>
          <w:szCs w:val="32"/>
        </w:rPr>
        <w:t>利于</w:t>
      </w:r>
      <w:r>
        <w:rPr>
          <w:rFonts w:hint="eastAsia" w:ascii="仿宋_GB2312" w:eastAsia="仿宋_GB2312" w:cs="DengXian-Regular"/>
          <w:sz w:val="32"/>
          <w:szCs w:val="32"/>
        </w:rPr>
        <w:t>全区财政运行平稳。</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该项指标实际得分10分。</w:t>
      </w:r>
    </w:p>
    <w:p>
      <w:pPr>
        <w:spacing w:after="0" w:line="360" w:lineRule="auto"/>
        <w:ind w:firstLine="640" w:firstLineChars="200"/>
        <w:jc w:val="both"/>
        <w:textAlignment w:val="baseline"/>
        <w:rPr>
          <w:rFonts w:ascii="仿宋_GB2312" w:eastAsia="仿宋_GB2312" w:cs="DengXian-Regular"/>
          <w:sz w:val="32"/>
          <w:szCs w:val="32"/>
        </w:rPr>
      </w:pPr>
      <w:r>
        <w:rPr>
          <w:rFonts w:hint="eastAsia" w:ascii="仿宋_GB2312" w:eastAsia="仿宋_GB2312" w:cs="DengXian-Regular"/>
          <w:sz w:val="32"/>
          <w:szCs w:val="32"/>
        </w:rPr>
        <w:t>2.考评满意度（5分）</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该指标主要评价社会公众或部门的服务对象对部门履职效果的满意程度。</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针对该指标，我们随机选取了50个调查对象进行了问卷调查，具体调查情况如下：</w:t>
      </w:r>
    </w:p>
    <w:p>
      <w:pPr>
        <w:spacing w:after="0" w:line="360" w:lineRule="auto"/>
        <w:jc w:val="center"/>
        <w:textAlignment w:val="baseline"/>
        <w:rPr>
          <w:rFonts w:asciiTheme="minorEastAsia" w:hAnsiTheme="minorEastAsia" w:eastAsiaTheme="minorEastAsia" w:cstheme="minorEastAsia"/>
          <w:b/>
          <w:bCs/>
          <w:sz w:val="32"/>
          <w:szCs w:val="32"/>
          <w:u w:color="000000"/>
        </w:rPr>
      </w:pPr>
      <w:r>
        <w:rPr>
          <w:rFonts w:hint="eastAsia" w:asciiTheme="minorEastAsia" w:hAnsiTheme="minorEastAsia" w:eastAsiaTheme="minorEastAsia" w:cstheme="minorEastAsia"/>
          <w:b/>
          <w:bCs/>
          <w:sz w:val="32"/>
          <w:szCs w:val="32"/>
          <w:u w:color="000000"/>
        </w:rPr>
        <w:t>表6  服务对象满意度调查问卷汇总表</w:t>
      </w:r>
    </w:p>
    <w:p>
      <w:pPr>
        <w:spacing w:after="0" w:line="540" w:lineRule="exact"/>
        <w:ind w:firstLine="6930" w:firstLineChars="3300"/>
        <w:jc w:val="both"/>
        <w:textAlignment w:val="baseline"/>
        <w:rPr>
          <w:rFonts w:ascii="仿宋_GB2312" w:eastAsia="仿宋_GB2312" w:cs="Times New Roman" w:hAnsiTheme="minorEastAsia"/>
          <w:sz w:val="32"/>
          <w:szCs w:val="32"/>
          <w:u w:color="000000"/>
        </w:rPr>
      </w:pPr>
      <w:r>
        <w:rPr>
          <w:rFonts w:hint="eastAsia" w:asciiTheme="minorEastAsia" w:hAnsiTheme="minorEastAsia" w:eastAsiaTheme="minorEastAsia" w:cstheme="minorEastAsia"/>
          <w:sz w:val="21"/>
          <w:szCs w:val="21"/>
          <w:u w:color="000000"/>
        </w:rPr>
        <w:t>单位：人次</w:t>
      </w:r>
    </w:p>
    <w:tbl>
      <w:tblPr>
        <w:tblStyle w:val="23"/>
        <w:tblW w:w="7948" w:type="dxa"/>
        <w:jc w:val="center"/>
        <w:tblLayout w:type="fixed"/>
        <w:tblCellMar>
          <w:top w:w="15" w:type="dxa"/>
          <w:left w:w="15" w:type="dxa"/>
          <w:bottom w:w="15" w:type="dxa"/>
          <w:right w:w="15" w:type="dxa"/>
        </w:tblCellMar>
      </w:tblPr>
      <w:tblGrid>
        <w:gridCol w:w="2834"/>
        <w:gridCol w:w="1114"/>
        <w:gridCol w:w="1134"/>
        <w:gridCol w:w="1218"/>
        <w:gridCol w:w="767"/>
        <w:gridCol w:w="881"/>
      </w:tblGrid>
      <w:tr>
        <w:tblPrEx>
          <w:tblCellMar>
            <w:top w:w="15" w:type="dxa"/>
            <w:left w:w="15" w:type="dxa"/>
            <w:bottom w:w="15" w:type="dxa"/>
            <w:right w:w="15" w:type="dxa"/>
          </w:tblCellMar>
        </w:tblPrEx>
        <w:trPr>
          <w:trHeight w:val="525" w:hRule="atLeast"/>
          <w:jc w:val="center"/>
        </w:trPr>
        <w:tc>
          <w:tcPr>
            <w:tcW w:w="2834"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调查项目</w:t>
            </w:r>
          </w:p>
        </w:tc>
        <w:tc>
          <w:tcPr>
            <w:tcW w:w="1114"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满意</w:t>
            </w: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一般</w:t>
            </w:r>
          </w:p>
        </w:tc>
        <w:tc>
          <w:tcPr>
            <w:tcW w:w="1218"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不满意</w:t>
            </w:r>
          </w:p>
        </w:tc>
        <w:tc>
          <w:tcPr>
            <w:tcW w:w="767"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合计</w:t>
            </w:r>
          </w:p>
        </w:tc>
        <w:tc>
          <w:tcPr>
            <w:tcW w:w="881" w:type="dxa"/>
            <w:tcBorders>
              <w:top w:val="single" w:color="auto" w:sz="4" w:space="0"/>
              <w:left w:val="single" w:color="auto" w:sz="4" w:space="0"/>
              <w:bottom w:val="single" w:color="auto" w:sz="4" w:space="0"/>
              <w:right w:val="single" w:color="auto" w:sz="4" w:space="0"/>
            </w:tcBorders>
            <w:vAlign w:val="center"/>
          </w:tcPr>
          <w:p>
            <w:pPr>
              <w:spacing w:after="0" w:line="540" w:lineRule="exact"/>
              <w:jc w:val="center"/>
              <w:textAlignment w:val="baseline"/>
              <w:rPr>
                <w:rFonts w:cs="Times New Roman" w:asciiTheme="minorEastAsia" w:hAnsiTheme="minorEastAsia" w:eastAsiaTheme="minorEastAsia"/>
                <w:b/>
                <w:bCs/>
                <w:sz w:val="21"/>
                <w:szCs w:val="21"/>
                <w:u w:color="000000"/>
              </w:rPr>
            </w:pPr>
            <w:r>
              <w:rPr>
                <w:rFonts w:hint="eastAsia" w:cs="Times New Roman" w:asciiTheme="minorEastAsia" w:hAnsiTheme="minorEastAsia" w:eastAsiaTheme="minorEastAsia"/>
                <w:b/>
                <w:bCs/>
                <w:sz w:val="21"/>
                <w:szCs w:val="21"/>
                <w:u w:color="000000"/>
              </w:rPr>
              <w:t>单项得分</w:t>
            </w:r>
          </w:p>
        </w:tc>
      </w:tr>
      <w:tr>
        <w:tblPrEx>
          <w:tblCellMar>
            <w:top w:w="15" w:type="dxa"/>
            <w:left w:w="15" w:type="dxa"/>
            <w:bottom w:w="15" w:type="dxa"/>
            <w:right w:w="15" w:type="dxa"/>
          </w:tblCellMar>
        </w:tblPrEx>
        <w:trPr>
          <w:trHeight w:val="590" w:hRule="atLeast"/>
          <w:jc w:val="center"/>
        </w:trPr>
        <w:tc>
          <w:tcPr>
            <w:tcW w:w="28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both"/>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财政法律</w:t>
            </w:r>
            <w:r>
              <w:rPr>
                <w:rFonts w:cs="Times New Roman" w:asciiTheme="minorEastAsia" w:hAnsiTheme="minorEastAsia" w:eastAsiaTheme="minorEastAsia"/>
                <w:sz w:val="21"/>
                <w:szCs w:val="21"/>
                <w:u w:color="000000"/>
              </w:rPr>
              <w:t>法规政策</w:t>
            </w:r>
            <w:r>
              <w:rPr>
                <w:rFonts w:hint="eastAsia" w:cs="Times New Roman" w:asciiTheme="minorEastAsia" w:hAnsiTheme="minorEastAsia" w:eastAsiaTheme="minorEastAsia"/>
                <w:sz w:val="21"/>
                <w:szCs w:val="21"/>
                <w:u w:color="000000"/>
              </w:rPr>
              <w:t>宣传工作</w:t>
            </w:r>
          </w:p>
        </w:tc>
        <w:tc>
          <w:tcPr>
            <w:tcW w:w="111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满意</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1218"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881"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100</w:t>
            </w:r>
          </w:p>
        </w:tc>
      </w:tr>
      <w:tr>
        <w:tblPrEx>
          <w:tblCellMar>
            <w:top w:w="15" w:type="dxa"/>
            <w:left w:w="15" w:type="dxa"/>
            <w:bottom w:w="15" w:type="dxa"/>
            <w:right w:w="15" w:type="dxa"/>
          </w:tblCellMar>
        </w:tblPrEx>
        <w:trPr>
          <w:trHeight w:val="510" w:hRule="atLeast"/>
          <w:jc w:val="center"/>
        </w:trPr>
        <w:tc>
          <w:tcPr>
            <w:tcW w:w="28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both"/>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对财政</w:t>
            </w:r>
            <w:r>
              <w:rPr>
                <w:rFonts w:cs="Times New Roman" w:asciiTheme="minorEastAsia" w:hAnsiTheme="minorEastAsia" w:eastAsiaTheme="minorEastAsia"/>
                <w:sz w:val="21"/>
                <w:szCs w:val="21"/>
                <w:u w:color="000000"/>
              </w:rPr>
              <w:t>局的服务</w:t>
            </w:r>
            <w:r>
              <w:rPr>
                <w:rFonts w:hint="eastAsia" w:cs="Times New Roman" w:asciiTheme="minorEastAsia" w:hAnsiTheme="minorEastAsia" w:eastAsiaTheme="minorEastAsia"/>
                <w:sz w:val="21"/>
                <w:szCs w:val="21"/>
                <w:u w:color="000000"/>
              </w:rPr>
              <w:t>是否满意</w:t>
            </w:r>
          </w:p>
        </w:tc>
        <w:tc>
          <w:tcPr>
            <w:tcW w:w="111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满意</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1218"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881"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100</w:t>
            </w:r>
          </w:p>
        </w:tc>
      </w:tr>
      <w:tr>
        <w:tblPrEx>
          <w:tblCellMar>
            <w:top w:w="15" w:type="dxa"/>
            <w:left w:w="15" w:type="dxa"/>
            <w:bottom w:w="15" w:type="dxa"/>
            <w:right w:w="15" w:type="dxa"/>
          </w:tblCellMar>
        </w:tblPrEx>
        <w:trPr>
          <w:trHeight w:val="585" w:hRule="atLeast"/>
          <w:jc w:val="center"/>
        </w:trPr>
        <w:tc>
          <w:tcPr>
            <w:tcW w:w="28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both"/>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您对区财政法对预算</w:t>
            </w:r>
            <w:r>
              <w:rPr>
                <w:rFonts w:cs="Times New Roman" w:asciiTheme="minorEastAsia" w:hAnsiTheme="minorEastAsia" w:eastAsiaTheme="minorEastAsia"/>
                <w:sz w:val="21"/>
                <w:szCs w:val="21"/>
                <w:u w:color="000000"/>
              </w:rPr>
              <w:t>单位的业务指导和培训是否满意</w:t>
            </w:r>
          </w:p>
        </w:tc>
        <w:tc>
          <w:tcPr>
            <w:tcW w:w="111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满意</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1218"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p>
        </w:tc>
        <w:tc>
          <w:tcPr>
            <w:tcW w:w="881" w:type="dxa"/>
            <w:tcBorders>
              <w:top w:val="single" w:color="000000" w:sz="4" w:space="0"/>
              <w:left w:val="single" w:color="000000" w:sz="4" w:space="0"/>
              <w:bottom w:val="single" w:color="000000" w:sz="4" w:space="0"/>
              <w:right w:val="single" w:color="000000" w:sz="4" w:space="0"/>
            </w:tcBorders>
            <w:vAlign w:val="center"/>
          </w:tcPr>
          <w:p>
            <w:pPr>
              <w:spacing w:after="0" w:line="360" w:lineRule="auto"/>
              <w:jc w:val="center"/>
              <w:textAlignment w:val="baseline"/>
              <w:rPr>
                <w:rFonts w:cs="Times New Roman" w:asciiTheme="minorEastAsia" w:hAnsiTheme="minorEastAsia" w:eastAsiaTheme="minorEastAsia"/>
                <w:sz w:val="21"/>
                <w:szCs w:val="21"/>
                <w:u w:color="000000"/>
              </w:rPr>
            </w:pPr>
            <w:r>
              <w:rPr>
                <w:rFonts w:hint="eastAsia" w:cs="Times New Roman" w:asciiTheme="minorEastAsia" w:hAnsiTheme="minorEastAsia" w:eastAsiaTheme="minorEastAsia"/>
                <w:sz w:val="21"/>
                <w:szCs w:val="21"/>
                <w:u w:color="000000"/>
              </w:rPr>
              <w:t>100</w:t>
            </w:r>
          </w:p>
        </w:tc>
      </w:tr>
    </w:tbl>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调查问卷共分为3个单项，每个单项满分为100分。其中：每一单项满分为100分：满意为100分，一般为50分，不满意为0分。</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单项满意度得分=总分数/总人数</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总体满意度得分=∑1/3各单项满意度得分</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经计算，总体得分为100分，小于(大于）100分，评价等级为“优”。</w:t>
      </w:r>
    </w:p>
    <w:p>
      <w:pPr>
        <w:spacing w:after="0" w:line="360" w:lineRule="auto"/>
        <w:ind w:firstLine="640" w:firstLineChars="200"/>
        <w:jc w:val="both"/>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该指标实际得分100分。</w:t>
      </w:r>
    </w:p>
    <w:p>
      <w:pPr>
        <w:pStyle w:val="3"/>
        <w:keepNext w:val="0"/>
        <w:keepLines w:val="0"/>
        <w:suppressLineNumbers/>
        <w:spacing w:before="0" w:after="0" w:line="360" w:lineRule="auto"/>
        <w:ind w:firstLine="643" w:firstLineChars="200"/>
        <w:rPr>
          <w:rFonts w:ascii="黑体"/>
        </w:rPr>
      </w:pPr>
      <w:bookmarkStart w:id="74" w:name="_Toc13757"/>
      <w:r>
        <w:rPr>
          <w:rFonts w:hint="eastAsia" w:ascii="黑体"/>
        </w:rPr>
        <w:t>五、绩效评价发现的问题</w:t>
      </w:r>
      <w:bookmarkEnd w:id="71"/>
      <w:bookmarkEnd w:id="72"/>
      <w:bookmarkEnd w:id="73"/>
      <w:bookmarkEnd w:id="74"/>
      <w:bookmarkStart w:id="75" w:name="_Toc492652789"/>
      <w:r>
        <w:rPr>
          <w:rFonts w:hint="eastAsia" w:ascii="黑体"/>
        </w:rPr>
        <w:t>、</w:t>
      </w:r>
      <w:r>
        <w:rPr>
          <w:rFonts w:ascii="黑体"/>
        </w:rPr>
        <w:t>意见</w:t>
      </w:r>
      <w:r>
        <w:rPr>
          <w:rFonts w:hint="eastAsia" w:ascii="黑体"/>
        </w:rPr>
        <w:t>及</w:t>
      </w:r>
      <w:r>
        <w:rPr>
          <w:rFonts w:ascii="黑体"/>
        </w:rPr>
        <w:t>建议</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通过对各指标得分及扣分原因的分析，</w:t>
      </w:r>
      <w:r>
        <w:rPr>
          <w:rFonts w:hint="eastAsia" w:ascii="仿宋_GB2312" w:eastAsia="仿宋_GB2312" w:cs="DengXian-Regular"/>
          <w:sz w:val="32"/>
          <w:szCs w:val="32"/>
        </w:rPr>
        <w:t>财政局</w:t>
      </w:r>
      <w:r>
        <w:rPr>
          <w:rFonts w:hint="eastAsia" w:ascii="仿宋_GB2312" w:eastAsia="仿宋_GB2312" w:cs="Times New Roman" w:hAnsiTheme="minorEastAsia"/>
          <w:sz w:val="32"/>
          <w:szCs w:val="32"/>
          <w:u w:color="000000"/>
        </w:rPr>
        <w:t>2020年部门整体支出基本按相关要求执行预算、决算，完成了绩效目标，资金使用效益良好。通过评价，也发现一些不足之处，具体情况如下：</w:t>
      </w:r>
      <w:bookmarkStart w:id="76" w:name="_Toc20723"/>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1.部分绩效指标方面，还有待于进一步精细化、科学化，以便于对</w:t>
      </w:r>
      <w:r>
        <w:rPr>
          <w:rFonts w:ascii="仿宋_GB2312" w:eastAsia="仿宋_GB2312" w:cs="Times New Roman" w:hAnsiTheme="minorEastAsia"/>
          <w:sz w:val="32"/>
          <w:szCs w:val="32"/>
          <w:u w:color="000000"/>
        </w:rPr>
        <w:t>预算项目</w:t>
      </w:r>
      <w:r>
        <w:rPr>
          <w:rFonts w:hint="eastAsia" w:ascii="仿宋_GB2312" w:eastAsia="仿宋_GB2312" w:cs="Times New Roman" w:hAnsiTheme="minorEastAsia"/>
          <w:sz w:val="32"/>
          <w:szCs w:val="32"/>
          <w:u w:color="000000"/>
        </w:rPr>
        <w:t>绩效进</w:t>
      </w:r>
      <w:r>
        <w:rPr>
          <w:rFonts w:ascii="仿宋_GB2312" w:eastAsia="仿宋_GB2312" w:cs="Times New Roman" w:hAnsiTheme="minorEastAsia"/>
          <w:sz w:val="32"/>
          <w:szCs w:val="32"/>
          <w:u w:color="000000"/>
        </w:rPr>
        <w:t>行</w:t>
      </w:r>
      <w:r>
        <w:rPr>
          <w:rFonts w:hint="eastAsia" w:ascii="仿宋_GB2312" w:eastAsia="仿宋_GB2312" w:cs="Times New Roman" w:hAnsiTheme="minorEastAsia"/>
          <w:sz w:val="32"/>
          <w:szCs w:val="32"/>
          <w:u w:color="000000"/>
        </w:rPr>
        <w:t>科学评价与考核。</w:t>
      </w:r>
    </w:p>
    <w:p>
      <w:pPr>
        <w:spacing w:after="0" w:line="360" w:lineRule="auto"/>
        <w:ind w:firstLine="640" w:firstLineChars="2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2.项目资金使用率方面：部分项目需要加强监督与管理，项目资金使用率有待进一步提高。</w:t>
      </w:r>
    </w:p>
    <w:bookmarkEnd w:id="75"/>
    <w:bookmarkEnd w:id="76"/>
    <w:p>
      <w:pPr>
        <w:spacing w:after="0" w:line="360" w:lineRule="auto"/>
        <w:jc w:val="both"/>
        <w:textAlignment w:val="baseline"/>
        <w:rPr>
          <w:rFonts w:ascii="仿宋_GB2312" w:eastAsia="仿宋_GB2312" w:cs="Times New Roman" w:hAnsiTheme="minorEastAsia"/>
          <w:sz w:val="32"/>
          <w:szCs w:val="32"/>
          <w:u w:color="000000"/>
        </w:rPr>
      </w:pPr>
      <w:bookmarkStart w:id="77" w:name="_Toc465149521"/>
    </w:p>
    <w:p>
      <w:pPr>
        <w:spacing w:after="0" w:line="360" w:lineRule="auto"/>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附件：1.保定市阜平县</w:t>
      </w:r>
      <w:r>
        <w:rPr>
          <w:rFonts w:hint="eastAsia" w:ascii="仿宋_GB2312" w:eastAsia="仿宋_GB2312" w:cs="DengXian-Regular"/>
          <w:sz w:val="32"/>
          <w:szCs w:val="32"/>
        </w:rPr>
        <w:t>财政局</w:t>
      </w:r>
      <w:r>
        <w:rPr>
          <w:rFonts w:hint="eastAsia" w:ascii="仿宋_GB2312" w:eastAsia="仿宋_GB2312" w:cs="Times New Roman" w:hAnsiTheme="minorEastAsia"/>
          <w:sz w:val="32"/>
          <w:szCs w:val="32"/>
          <w:u w:color="000000"/>
        </w:rPr>
        <w:t>部门基本情况及主要职责</w:t>
      </w:r>
    </w:p>
    <w:p>
      <w:pPr>
        <w:spacing w:after="0" w:line="540" w:lineRule="exact"/>
        <w:ind w:firstLine="960" w:firstLineChars="300"/>
        <w:jc w:val="both"/>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2.</w:t>
      </w:r>
      <w:r>
        <w:rPr>
          <w:rFonts w:ascii="仿宋_GB2312" w:eastAsia="仿宋_GB2312" w:cs="Times New Roman" w:hAnsiTheme="minorEastAsia"/>
          <w:sz w:val="32"/>
          <w:szCs w:val="32"/>
          <w:u w:color="000000"/>
        </w:rPr>
        <w:t>20</w:t>
      </w:r>
      <w:r>
        <w:rPr>
          <w:rFonts w:hint="eastAsia" w:ascii="仿宋_GB2312" w:eastAsia="仿宋_GB2312" w:cs="Times New Roman" w:hAnsiTheme="minorEastAsia"/>
          <w:sz w:val="32"/>
          <w:szCs w:val="32"/>
          <w:u w:color="000000"/>
        </w:rPr>
        <w:t>20年部门整体支出绩效自评价打分</w:t>
      </w:r>
      <w:r>
        <w:rPr>
          <w:rFonts w:ascii="仿宋_GB2312" w:eastAsia="仿宋_GB2312" w:cs="Times New Roman" w:hAnsiTheme="minorEastAsia"/>
          <w:sz w:val="32"/>
          <w:szCs w:val="32"/>
          <w:u w:color="000000"/>
        </w:rPr>
        <w:t>表</w:t>
      </w:r>
    </w:p>
    <w:bookmarkEnd w:id="77"/>
    <w:p>
      <w:pPr>
        <w:spacing w:line="540" w:lineRule="exact"/>
        <w:ind w:firstLine="640" w:firstLineChars="200"/>
        <w:jc w:val="both"/>
        <w:textAlignment w:val="baseline"/>
        <w:rPr>
          <w:rFonts w:ascii="仿宋_GB2312" w:eastAsia="仿宋_GB2312" w:cs="Times New Roman" w:hAnsiTheme="minorEastAsia"/>
          <w:sz w:val="32"/>
          <w:szCs w:val="32"/>
          <w:u w:color="000000"/>
        </w:rPr>
      </w:pPr>
    </w:p>
    <w:p>
      <w:pPr>
        <w:spacing w:line="540" w:lineRule="exact"/>
        <w:ind w:firstLine="640" w:firstLineChars="200"/>
        <w:jc w:val="both"/>
        <w:textAlignment w:val="baseline"/>
        <w:rPr>
          <w:rFonts w:ascii="仿宋_GB2312" w:eastAsia="仿宋_GB2312" w:cs="Times New Roman" w:hAnsiTheme="minorEastAsia"/>
          <w:sz w:val="32"/>
          <w:szCs w:val="32"/>
          <w:u w:color="000000"/>
        </w:rPr>
      </w:pPr>
    </w:p>
    <w:sectPr>
      <w:footerReference r:id="rId5" w:type="default"/>
      <w:pgSz w:w="11906" w:h="16838"/>
      <w:pgMar w:top="1440" w:right="1797" w:bottom="1191" w:left="1797" w:header="709" w:footer="709" w:gutter="0"/>
      <w:pgNumType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DengXian-Regular">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 PAGE   \* MERGEFORMAT </w:instrText>
    </w:r>
    <w:r>
      <w:fldChar w:fldCharType="separate"/>
    </w:r>
    <w:r>
      <w:rPr>
        <w:lang w:val="zh-CN"/>
      </w:rPr>
      <w:t>31</w:t>
    </w:r>
    <w:r>
      <w:rPr>
        <w:lang w:val="zh-CN"/>
      </w:rPr>
      <w:fldChar w:fldCharType="end"/>
    </w:r>
  </w:p>
  <w:p>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720"/>
  <w:noPunctuationKerning w:val="1"/>
  <w:characterSpacingControl w:val="doNotCompres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249E"/>
    <w:rsid w:val="00004179"/>
    <w:rsid w:val="0000439F"/>
    <w:rsid w:val="00007CA0"/>
    <w:rsid w:val="00015C39"/>
    <w:rsid w:val="000174D3"/>
    <w:rsid w:val="0002415F"/>
    <w:rsid w:val="00025620"/>
    <w:rsid w:val="0002705B"/>
    <w:rsid w:val="000317D7"/>
    <w:rsid w:val="00032B03"/>
    <w:rsid w:val="000334C2"/>
    <w:rsid w:val="0003450B"/>
    <w:rsid w:val="0003465E"/>
    <w:rsid w:val="00034910"/>
    <w:rsid w:val="00034D0F"/>
    <w:rsid w:val="0003506D"/>
    <w:rsid w:val="00037F9A"/>
    <w:rsid w:val="000409C0"/>
    <w:rsid w:val="0004123E"/>
    <w:rsid w:val="00044599"/>
    <w:rsid w:val="000446E5"/>
    <w:rsid w:val="00044A25"/>
    <w:rsid w:val="00047D7B"/>
    <w:rsid w:val="000509B6"/>
    <w:rsid w:val="00050A62"/>
    <w:rsid w:val="000516BA"/>
    <w:rsid w:val="00051DBC"/>
    <w:rsid w:val="00052010"/>
    <w:rsid w:val="00061096"/>
    <w:rsid w:val="000612A2"/>
    <w:rsid w:val="00063117"/>
    <w:rsid w:val="00072BF5"/>
    <w:rsid w:val="000752C6"/>
    <w:rsid w:val="00075B78"/>
    <w:rsid w:val="00077648"/>
    <w:rsid w:val="00080E48"/>
    <w:rsid w:val="00081D0C"/>
    <w:rsid w:val="0008497C"/>
    <w:rsid w:val="0008741B"/>
    <w:rsid w:val="00091D50"/>
    <w:rsid w:val="000935D5"/>
    <w:rsid w:val="0009618D"/>
    <w:rsid w:val="00096195"/>
    <w:rsid w:val="0009756F"/>
    <w:rsid w:val="000A0FDE"/>
    <w:rsid w:val="000A1F67"/>
    <w:rsid w:val="000A2079"/>
    <w:rsid w:val="000A5467"/>
    <w:rsid w:val="000B09F3"/>
    <w:rsid w:val="000B0C4A"/>
    <w:rsid w:val="000B23E8"/>
    <w:rsid w:val="000B62FE"/>
    <w:rsid w:val="000B65AC"/>
    <w:rsid w:val="000B72BC"/>
    <w:rsid w:val="000B78D7"/>
    <w:rsid w:val="000C1EA5"/>
    <w:rsid w:val="000C44C6"/>
    <w:rsid w:val="000C52FB"/>
    <w:rsid w:val="000C55E6"/>
    <w:rsid w:val="000C5C98"/>
    <w:rsid w:val="000C6D5A"/>
    <w:rsid w:val="000D06C8"/>
    <w:rsid w:val="000D09B2"/>
    <w:rsid w:val="000D6EF9"/>
    <w:rsid w:val="000D7C38"/>
    <w:rsid w:val="000E0902"/>
    <w:rsid w:val="000E3830"/>
    <w:rsid w:val="000F070B"/>
    <w:rsid w:val="000F3158"/>
    <w:rsid w:val="000F364D"/>
    <w:rsid w:val="000F4432"/>
    <w:rsid w:val="000F465E"/>
    <w:rsid w:val="000F5E8C"/>
    <w:rsid w:val="001000B2"/>
    <w:rsid w:val="00104C6C"/>
    <w:rsid w:val="0010560E"/>
    <w:rsid w:val="0010612A"/>
    <w:rsid w:val="00106FF7"/>
    <w:rsid w:val="00107111"/>
    <w:rsid w:val="001073D6"/>
    <w:rsid w:val="00107819"/>
    <w:rsid w:val="0011574B"/>
    <w:rsid w:val="00116132"/>
    <w:rsid w:val="00117B9C"/>
    <w:rsid w:val="00117E7D"/>
    <w:rsid w:val="00120EA6"/>
    <w:rsid w:val="00122196"/>
    <w:rsid w:val="0012439D"/>
    <w:rsid w:val="0012587C"/>
    <w:rsid w:val="0013591D"/>
    <w:rsid w:val="00141DE8"/>
    <w:rsid w:val="00144105"/>
    <w:rsid w:val="00145B4E"/>
    <w:rsid w:val="00150630"/>
    <w:rsid w:val="001544E1"/>
    <w:rsid w:val="001551CE"/>
    <w:rsid w:val="00164732"/>
    <w:rsid w:val="00164FE1"/>
    <w:rsid w:val="0016508F"/>
    <w:rsid w:val="00166F56"/>
    <w:rsid w:val="001703D7"/>
    <w:rsid w:val="001719D0"/>
    <w:rsid w:val="00172245"/>
    <w:rsid w:val="0017403C"/>
    <w:rsid w:val="00174241"/>
    <w:rsid w:val="00176E7D"/>
    <w:rsid w:val="001804B7"/>
    <w:rsid w:val="001827F5"/>
    <w:rsid w:val="00183C43"/>
    <w:rsid w:val="00185652"/>
    <w:rsid w:val="00187750"/>
    <w:rsid w:val="00190292"/>
    <w:rsid w:val="001926B8"/>
    <w:rsid w:val="0019341A"/>
    <w:rsid w:val="001952EC"/>
    <w:rsid w:val="001A0F7A"/>
    <w:rsid w:val="001A1677"/>
    <w:rsid w:val="001A21DB"/>
    <w:rsid w:val="001A5FD3"/>
    <w:rsid w:val="001B0380"/>
    <w:rsid w:val="001B04A4"/>
    <w:rsid w:val="001B30D5"/>
    <w:rsid w:val="001B382A"/>
    <w:rsid w:val="001B5C88"/>
    <w:rsid w:val="001B6964"/>
    <w:rsid w:val="001B6CE6"/>
    <w:rsid w:val="001C046D"/>
    <w:rsid w:val="001C1412"/>
    <w:rsid w:val="001C1F2C"/>
    <w:rsid w:val="001C391F"/>
    <w:rsid w:val="001C5135"/>
    <w:rsid w:val="001C796E"/>
    <w:rsid w:val="001D1367"/>
    <w:rsid w:val="001D5041"/>
    <w:rsid w:val="001D5A7C"/>
    <w:rsid w:val="001D76AA"/>
    <w:rsid w:val="001E13C8"/>
    <w:rsid w:val="001E21EA"/>
    <w:rsid w:val="001E288A"/>
    <w:rsid w:val="001E3ABB"/>
    <w:rsid w:val="001E4C24"/>
    <w:rsid w:val="001E569A"/>
    <w:rsid w:val="001E5C43"/>
    <w:rsid w:val="001F07B6"/>
    <w:rsid w:val="001F0B92"/>
    <w:rsid w:val="001F1094"/>
    <w:rsid w:val="001F2F0E"/>
    <w:rsid w:val="001F33AA"/>
    <w:rsid w:val="001F6236"/>
    <w:rsid w:val="001F72FA"/>
    <w:rsid w:val="00200051"/>
    <w:rsid w:val="00202D5A"/>
    <w:rsid w:val="00205F02"/>
    <w:rsid w:val="0021307B"/>
    <w:rsid w:val="002142B8"/>
    <w:rsid w:val="002161F4"/>
    <w:rsid w:val="00216E75"/>
    <w:rsid w:val="00221907"/>
    <w:rsid w:val="00221B76"/>
    <w:rsid w:val="00222FA8"/>
    <w:rsid w:val="0022532A"/>
    <w:rsid w:val="00227AFB"/>
    <w:rsid w:val="00235741"/>
    <w:rsid w:val="00236951"/>
    <w:rsid w:val="00236B18"/>
    <w:rsid w:val="002401EA"/>
    <w:rsid w:val="00241B9D"/>
    <w:rsid w:val="002439D4"/>
    <w:rsid w:val="00245CB2"/>
    <w:rsid w:val="00246A44"/>
    <w:rsid w:val="002502E6"/>
    <w:rsid w:val="00250A22"/>
    <w:rsid w:val="00250BAC"/>
    <w:rsid w:val="00252591"/>
    <w:rsid w:val="00260245"/>
    <w:rsid w:val="0026252A"/>
    <w:rsid w:val="00262BB1"/>
    <w:rsid w:val="00263D3A"/>
    <w:rsid w:val="002643BE"/>
    <w:rsid w:val="00265325"/>
    <w:rsid w:val="00266E84"/>
    <w:rsid w:val="002714A3"/>
    <w:rsid w:val="002715FC"/>
    <w:rsid w:val="002736FD"/>
    <w:rsid w:val="00274CFA"/>
    <w:rsid w:val="00275677"/>
    <w:rsid w:val="00275A3F"/>
    <w:rsid w:val="0028068C"/>
    <w:rsid w:val="00282A89"/>
    <w:rsid w:val="00282EB0"/>
    <w:rsid w:val="00283F8F"/>
    <w:rsid w:val="002869F9"/>
    <w:rsid w:val="00292F98"/>
    <w:rsid w:val="002939A0"/>
    <w:rsid w:val="002959A3"/>
    <w:rsid w:val="0029626E"/>
    <w:rsid w:val="00296E59"/>
    <w:rsid w:val="00297CEF"/>
    <w:rsid w:val="002A0364"/>
    <w:rsid w:val="002A1661"/>
    <w:rsid w:val="002A1A25"/>
    <w:rsid w:val="002A563C"/>
    <w:rsid w:val="002B05EF"/>
    <w:rsid w:val="002B1383"/>
    <w:rsid w:val="002B2E34"/>
    <w:rsid w:val="002B76FA"/>
    <w:rsid w:val="002C029E"/>
    <w:rsid w:val="002C0AE9"/>
    <w:rsid w:val="002C2C71"/>
    <w:rsid w:val="002C3480"/>
    <w:rsid w:val="002C5A65"/>
    <w:rsid w:val="002C71F3"/>
    <w:rsid w:val="002D2112"/>
    <w:rsid w:val="002D53D7"/>
    <w:rsid w:val="002D5508"/>
    <w:rsid w:val="002D5FC1"/>
    <w:rsid w:val="002D7901"/>
    <w:rsid w:val="002D7AB3"/>
    <w:rsid w:val="002E1D3C"/>
    <w:rsid w:val="002E1F73"/>
    <w:rsid w:val="002E269D"/>
    <w:rsid w:val="002E3460"/>
    <w:rsid w:val="002E70AE"/>
    <w:rsid w:val="002F0C41"/>
    <w:rsid w:val="002F5B6A"/>
    <w:rsid w:val="002F5BF5"/>
    <w:rsid w:val="002F5ECA"/>
    <w:rsid w:val="00306572"/>
    <w:rsid w:val="003079C7"/>
    <w:rsid w:val="003169F3"/>
    <w:rsid w:val="0032078D"/>
    <w:rsid w:val="00321CE0"/>
    <w:rsid w:val="0032231F"/>
    <w:rsid w:val="00323B43"/>
    <w:rsid w:val="00325BCC"/>
    <w:rsid w:val="003309A3"/>
    <w:rsid w:val="003345BC"/>
    <w:rsid w:val="00343662"/>
    <w:rsid w:val="00345412"/>
    <w:rsid w:val="0035365E"/>
    <w:rsid w:val="0035452C"/>
    <w:rsid w:val="00355403"/>
    <w:rsid w:val="003569A8"/>
    <w:rsid w:val="00361FFF"/>
    <w:rsid w:val="00362340"/>
    <w:rsid w:val="00363EFC"/>
    <w:rsid w:val="00364B7A"/>
    <w:rsid w:val="003653A5"/>
    <w:rsid w:val="00366971"/>
    <w:rsid w:val="00367DF7"/>
    <w:rsid w:val="00370AFA"/>
    <w:rsid w:val="0037120F"/>
    <w:rsid w:val="0037242E"/>
    <w:rsid w:val="003743E9"/>
    <w:rsid w:val="0038005F"/>
    <w:rsid w:val="003803CC"/>
    <w:rsid w:val="00382949"/>
    <w:rsid w:val="00391AE3"/>
    <w:rsid w:val="0039539E"/>
    <w:rsid w:val="00396D4C"/>
    <w:rsid w:val="003A02BE"/>
    <w:rsid w:val="003A1765"/>
    <w:rsid w:val="003A3C32"/>
    <w:rsid w:val="003A4B9B"/>
    <w:rsid w:val="003A4D02"/>
    <w:rsid w:val="003A4D52"/>
    <w:rsid w:val="003A536E"/>
    <w:rsid w:val="003B42B9"/>
    <w:rsid w:val="003B6DEC"/>
    <w:rsid w:val="003B79D3"/>
    <w:rsid w:val="003C0DF3"/>
    <w:rsid w:val="003C2B92"/>
    <w:rsid w:val="003D0F74"/>
    <w:rsid w:val="003D126B"/>
    <w:rsid w:val="003D1D33"/>
    <w:rsid w:val="003D22C9"/>
    <w:rsid w:val="003D2368"/>
    <w:rsid w:val="003D28AC"/>
    <w:rsid w:val="003D37D8"/>
    <w:rsid w:val="003D387D"/>
    <w:rsid w:val="003D7B2A"/>
    <w:rsid w:val="003E266C"/>
    <w:rsid w:val="003E3C05"/>
    <w:rsid w:val="003F035C"/>
    <w:rsid w:val="003F282F"/>
    <w:rsid w:val="003F7A3C"/>
    <w:rsid w:val="00400E89"/>
    <w:rsid w:val="00401AB4"/>
    <w:rsid w:val="00402CA2"/>
    <w:rsid w:val="00402D95"/>
    <w:rsid w:val="00403ADD"/>
    <w:rsid w:val="00407629"/>
    <w:rsid w:val="004108EE"/>
    <w:rsid w:val="00410F1A"/>
    <w:rsid w:val="00412A31"/>
    <w:rsid w:val="004145E4"/>
    <w:rsid w:val="004200B9"/>
    <w:rsid w:val="00426133"/>
    <w:rsid w:val="004300B1"/>
    <w:rsid w:val="00430AF8"/>
    <w:rsid w:val="0043148F"/>
    <w:rsid w:val="0043354D"/>
    <w:rsid w:val="00434EB0"/>
    <w:rsid w:val="004358AB"/>
    <w:rsid w:val="00435DA7"/>
    <w:rsid w:val="004370A2"/>
    <w:rsid w:val="00444AEE"/>
    <w:rsid w:val="00445C28"/>
    <w:rsid w:val="004468B5"/>
    <w:rsid w:val="004502FB"/>
    <w:rsid w:val="00451E9F"/>
    <w:rsid w:val="004551F1"/>
    <w:rsid w:val="00456648"/>
    <w:rsid w:val="00457E00"/>
    <w:rsid w:val="00460B60"/>
    <w:rsid w:val="00461E7C"/>
    <w:rsid w:val="004639E0"/>
    <w:rsid w:val="00463A6D"/>
    <w:rsid w:val="00465A21"/>
    <w:rsid w:val="0047047F"/>
    <w:rsid w:val="00472C49"/>
    <w:rsid w:val="004732EB"/>
    <w:rsid w:val="00474DE3"/>
    <w:rsid w:val="00476EBE"/>
    <w:rsid w:val="00477959"/>
    <w:rsid w:val="00486217"/>
    <w:rsid w:val="00486A56"/>
    <w:rsid w:val="00494D73"/>
    <w:rsid w:val="004A12A9"/>
    <w:rsid w:val="004A1421"/>
    <w:rsid w:val="004A15E6"/>
    <w:rsid w:val="004A19C4"/>
    <w:rsid w:val="004A4A11"/>
    <w:rsid w:val="004A6EA4"/>
    <w:rsid w:val="004B113B"/>
    <w:rsid w:val="004B146A"/>
    <w:rsid w:val="004B1E69"/>
    <w:rsid w:val="004B2EE6"/>
    <w:rsid w:val="004B4146"/>
    <w:rsid w:val="004B5892"/>
    <w:rsid w:val="004B59DD"/>
    <w:rsid w:val="004B5E88"/>
    <w:rsid w:val="004B5EDE"/>
    <w:rsid w:val="004C0341"/>
    <w:rsid w:val="004C46D3"/>
    <w:rsid w:val="004C5D39"/>
    <w:rsid w:val="004C6BD9"/>
    <w:rsid w:val="004C7656"/>
    <w:rsid w:val="004C7C48"/>
    <w:rsid w:val="004D21B9"/>
    <w:rsid w:val="004D21FF"/>
    <w:rsid w:val="004D2DD5"/>
    <w:rsid w:val="004D41F0"/>
    <w:rsid w:val="004D55F1"/>
    <w:rsid w:val="004D578A"/>
    <w:rsid w:val="004D656B"/>
    <w:rsid w:val="004D7523"/>
    <w:rsid w:val="004E0AA9"/>
    <w:rsid w:val="004E0E29"/>
    <w:rsid w:val="004E1AEF"/>
    <w:rsid w:val="004E3081"/>
    <w:rsid w:val="004E3774"/>
    <w:rsid w:val="004E446B"/>
    <w:rsid w:val="004E4C60"/>
    <w:rsid w:val="004E5448"/>
    <w:rsid w:val="004E5DFC"/>
    <w:rsid w:val="004E642E"/>
    <w:rsid w:val="004E7ADC"/>
    <w:rsid w:val="004F4875"/>
    <w:rsid w:val="005031BA"/>
    <w:rsid w:val="00507211"/>
    <w:rsid w:val="00507934"/>
    <w:rsid w:val="0051171B"/>
    <w:rsid w:val="00512D1D"/>
    <w:rsid w:val="005131A5"/>
    <w:rsid w:val="00515160"/>
    <w:rsid w:val="00516D5A"/>
    <w:rsid w:val="005170FB"/>
    <w:rsid w:val="00522CAB"/>
    <w:rsid w:val="0052300D"/>
    <w:rsid w:val="00523B77"/>
    <w:rsid w:val="0052474C"/>
    <w:rsid w:val="00525074"/>
    <w:rsid w:val="00525520"/>
    <w:rsid w:val="005319EE"/>
    <w:rsid w:val="00531BE2"/>
    <w:rsid w:val="005421AC"/>
    <w:rsid w:val="00544C1A"/>
    <w:rsid w:val="00545831"/>
    <w:rsid w:val="00546D1B"/>
    <w:rsid w:val="0055027D"/>
    <w:rsid w:val="00554FA1"/>
    <w:rsid w:val="00555492"/>
    <w:rsid w:val="00556934"/>
    <w:rsid w:val="005607DF"/>
    <w:rsid w:val="00563B75"/>
    <w:rsid w:val="00564377"/>
    <w:rsid w:val="00564538"/>
    <w:rsid w:val="00566A89"/>
    <w:rsid w:val="00567E07"/>
    <w:rsid w:val="00572894"/>
    <w:rsid w:val="00574DC4"/>
    <w:rsid w:val="005771F7"/>
    <w:rsid w:val="00577B7B"/>
    <w:rsid w:val="00583F7F"/>
    <w:rsid w:val="00585E08"/>
    <w:rsid w:val="0058600B"/>
    <w:rsid w:val="00587913"/>
    <w:rsid w:val="00593428"/>
    <w:rsid w:val="005939B6"/>
    <w:rsid w:val="00593B65"/>
    <w:rsid w:val="005A15D6"/>
    <w:rsid w:val="005A1FD8"/>
    <w:rsid w:val="005A317D"/>
    <w:rsid w:val="005A79F9"/>
    <w:rsid w:val="005B782B"/>
    <w:rsid w:val="005C118E"/>
    <w:rsid w:val="005C3594"/>
    <w:rsid w:val="005C4595"/>
    <w:rsid w:val="005C46B7"/>
    <w:rsid w:val="005C7C8B"/>
    <w:rsid w:val="005D5617"/>
    <w:rsid w:val="005D6591"/>
    <w:rsid w:val="005D6869"/>
    <w:rsid w:val="005D7446"/>
    <w:rsid w:val="005E5F88"/>
    <w:rsid w:val="005F06F5"/>
    <w:rsid w:val="005F46C0"/>
    <w:rsid w:val="005F471D"/>
    <w:rsid w:val="005F720A"/>
    <w:rsid w:val="005F7467"/>
    <w:rsid w:val="005F78E7"/>
    <w:rsid w:val="006007F3"/>
    <w:rsid w:val="0060402C"/>
    <w:rsid w:val="006103DB"/>
    <w:rsid w:val="006124E5"/>
    <w:rsid w:val="0061252A"/>
    <w:rsid w:val="006135B3"/>
    <w:rsid w:val="006138D4"/>
    <w:rsid w:val="00616C03"/>
    <w:rsid w:val="00616F30"/>
    <w:rsid w:val="006215A2"/>
    <w:rsid w:val="00621F7D"/>
    <w:rsid w:val="00622AD1"/>
    <w:rsid w:val="00622CD1"/>
    <w:rsid w:val="00623267"/>
    <w:rsid w:val="00625428"/>
    <w:rsid w:val="0062670B"/>
    <w:rsid w:val="00626949"/>
    <w:rsid w:val="00630B86"/>
    <w:rsid w:val="00630F5B"/>
    <w:rsid w:val="00634C66"/>
    <w:rsid w:val="006352D1"/>
    <w:rsid w:val="00636E1A"/>
    <w:rsid w:val="00642BA5"/>
    <w:rsid w:val="006434E0"/>
    <w:rsid w:val="00650C90"/>
    <w:rsid w:val="0065172D"/>
    <w:rsid w:val="0065287D"/>
    <w:rsid w:val="0065671B"/>
    <w:rsid w:val="00656A5A"/>
    <w:rsid w:val="00663A42"/>
    <w:rsid w:val="0066418E"/>
    <w:rsid w:val="0066469F"/>
    <w:rsid w:val="0066738F"/>
    <w:rsid w:val="0066766F"/>
    <w:rsid w:val="00672D6C"/>
    <w:rsid w:val="0067780F"/>
    <w:rsid w:val="006864F6"/>
    <w:rsid w:val="00686C30"/>
    <w:rsid w:val="00690FA3"/>
    <w:rsid w:val="0069331D"/>
    <w:rsid w:val="00696DF8"/>
    <w:rsid w:val="0069783E"/>
    <w:rsid w:val="00697E26"/>
    <w:rsid w:val="006A0330"/>
    <w:rsid w:val="006A3A05"/>
    <w:rsid w:val="006A3AE1"/>
    <w:rsid w:val="006A3B57"/>
    <w:rsid w:val="006A6AB2"/>
    <w:rsid w:val="006B117D"/>
    <w:rsid w:val="006B19B7"/>
    <w:rsid w:val="006B242C"/>
    <w:rsid w:val="006B392C"/>
    <w:rsid w:val="006B4564"/>
    <w:rsid w:val="006B4CC0"/>
    <w:rsid w:val="006B65B0"/>
    <w:rsid w:val="006C42A5"/>
    <w:rsid w:val="006C5198"/>
    <w:rsid w:val="006C6A07"/>
    <w:rsid w:val="006D2CAA"/>
    <w:rsid w:val="006E0A3D"/>
    <w:rsid w:val="006E27F1"/>
    <w:rsid w:val="006E5BC8"/>
    <w:rsid w:val="006E7CBA"/>
    <w:rsid w:val="006F222F"/>
    <w:rsid w:val="006F2320"/>
    <w:rsid w:val="006F7B69"/>
    <w:rsid w:val="0070241F"/>
    <w:rsid w:val="007024A9"/>
    <w:rsid w:val="007030EF"/>
    <w:rsid w:val="00703C96"/>
    <w:rsid w:val="007130D7"/>
    <w:rsid w:val="00713E98"/>
    <w:rsid w:val="00715591"/>
    <w:rsid w:val="0071562D"/>
    <w:rsid w:val="00715AE8"/>
    <w:rsid w:val="0072516F"/>
    <w:rsid w:val="0073034D"/>
    <w:rsid w:val="00731ADC"/>
    <w:rsid w:val="00732F49"/>
    <w:rsid w:val="007330F2"/>
    <w:rsid w:val="00733DB0"/>
    <w:rsid w:val="00735043"/>
    <w:rsid w:val="00740444"/>
    <w:rsid w:val="00744577"/>
    <w:rsid w:val="007452CF"/>
    <w:rsid w:val="00746055"/>
    <w:rsid w:val="00746DA9"/>
    <w:rsid w:val="00747086"/>
    <w:rsid w:val="007515E2"/>
    <w:rsid w:val="00756D66"/>
    <w:rsid w:val="00761D80"/>
    <w:rsid w:val="0076364A"/>
    <w:rsid w:val="00766FC5"/>
    <w:rsid w:val="00770E5B"/>
    <w:rsid w:val="0077106D"/>
    <w:rsid w:val="00772930"/>
    <w:rsid w:val="00776E20"/>
    <w:rsid w:val="007814AF"/>
    <w:rsid w:val="007825F0"/>
    <w:rsid w:val="00787F88"/>
    <w:rsid w:val="00791235"/>
    <w:rsid w:val="0079721A"/>
    <w:rsid w:val="007A095C"/>
    <w:rsid w:val="007A0AF8"/>
    <w:rsid w:val="007A283A"/>
    <w:rsid w:val="007A65C8"/>
    <w:rsid w:val="007A6B16"/>
    <w:rsid w:val="007A7AC4"/>
    <w:rsid w:val="007B639C"/>
    <w:rsid w:val="007B7036"/>
    <w:rsid w:val="007C0870"/>
    <w:rsid w:val="007C2D10"/>
    <w:rsid w:val="007C457D"/>
    <w:rsid w:val="007D02A9"/>
    <w:rsid w:val="007D166D"/>
    <w:rsid w:val="007D17C7"/>
    <w:rsid w:val="007D2766"/>
    <w:rsid w:val="007D2FF7"/>
    <w:rsid w:val="007D74D8"/>
    <w:rsid w:val="007E13A4"/>
    <w:rsid w:val="007E20CA"/>
    <w:rsid w:val="007E3988"/>
    <w:rsid w:val="007E4698"/>
    <w:rsid w:val="007E6959"/>
    <w:rsid w:val="007E6991"/>
    <w:rsid w:val="007E7A36"/>
    <w:rsid w:val="007F222D"/>
    <w:rsid w:val="007F3FB7"/>
    <w:rsid w:val="007F518D"/>
    <w:rsid w:val="007F68FE"/>
    <w:rsid w:val="007F7E7E"/>
    <w:rsid w:val="00803C29"/>
    <w:rsid w:val="00804E5E"/>
    <w:rsid w:val="00804FAA"/>
    <w:rsid w:val="00805678"/>
    <w:rsid w:val="00805D26"/>
    <w:rsid w:val="0081553D"/>
    <w:rsid w:val="00815BE9"/>
    <w:rsid w:val="00815C94"/>
    <w:rsid w:val="00815CF6"/>
    <w:rsid w:val="00816990"/>
    <w:rsid w:val="00817366"/>
    <w:rsid w:val="00817981"/>
    <w:rsid w:val="00822851"/>
    <w:rsid w:val="00824A75"/>
    <w:rsid w:val="0082509A"/>
    <w:rsid w:val="00825A51"/>
    <w:rsid w:val="00825D53"/>
    <w:rsid w:val="008272DF"/>
    <w:rsid w:val="00831065"/>
    <w:rsid w:val="008337A7"/>
    <w:rsid w:val="00835397"/>
    <w:rsid w:val="00835BCB"/>
    <w:rsid w:val="00836773"/>
    <w:rsid w:val="00836E6A"/>
    <w:rsid w:val="008410D0"/>
    <w:rsid w:val="00841559"/>
    <w:rsid w:val="0084558B"/>
    <w:rsid w:val="00845924"/>
    <w:rsid w:val="00846107"/>
    <w:rsid w:val="00847E07"/>
    <w:rsid w:val="00851297"/>
    <w:rsid w:val="00851398"/>
    <w:rsid w:val="00852C43"/>
    <w:rsid w:val="00853737"/>
    <w:rsid w:val="00853C5F"/>
    <w:rsid w:val="008541B8"/>
    <w:rsid w:val="00857197"/>
    <w:rsid w:val="00857249"/>
    <w:rsid w:val="00861067"/>
    <w:rsid w:val="00862AE2"/>
    <w:rsid w:val="00862C25"/>
    <w:rsid w:val="00863CA2"/>
    <w:rsid w:val="00864A80"/>
    <w:rsid w:val="008655ED"/>
    <w:rsid w:val="00866942"/>
    <w:rsid w:val="00871B0D"/>
    <w:rsid w:val="00871B14"/>
    <w:rsid w:val="00872159"/>
    <w:rsid w:val="008735A1"/>
    <w:rsid w:val="00875962"/>
    <w:rsid w:val="00876691"/>
    <w:rsid w:val="00880325"/>
    <w:rsid w:val="00882ABD"/>
    <w:rsid w:val="008844A4"/>
    <w:rsid w:val="008857CC"/>
    <w:rsid w:val="0089314F"/>
    <w:rsid w:val="0089328E"/>
    <w:rsid w:val="0089513A"/>
    <w:rsid w:val="00896069"/>
    <w:rsid w:val="00896786"/>
    <w:rsid w:val="008976AB"/>
    <w:rsid w:val="008A2C15"/>
    <w:rsid w:val="008A3DBA"/>
    <w:rsid w:val="008A483E"/>
    <w:rsid w:val="008A4E12"/>
    <w:rsid w:val="008A5601"/>
    <w:rsid w:val="008B14CF"/>
    <w:rsid w:val="008B7726"/>
    <w:rsid w:val="008C08EC"/>
    <w:rsid w:val="008C2997"/>
    <w:rsid w:val="008C443B"/>
    <w:rsid w:val="008C538A"/>
    <w:rsid w:val="008D0618"/>
    <w:rsid w:val="008D1AEB"/>
    <w:rsid w:val="008D1E23"/>
    <w:rsid w:val="008D2A7C"/>
    <w:rsid w:val="008D3031"/>
    <w:rsid w:val="008D4F00"/>
    <w:rsid w:val="008D7DBC"/>
    <w:rsid w:val="008E08B2"/>
    <w:rsid w:val="008E0AFC"/>
    <w:rsid w:val="008E1E43"/>
    <w:rsid w:val="008E3116"/>
    <w:rsid w:val="008E463A"/>
    <w:rsid w:val="008E637F"/>
    <w:rsid w:val="008E66FE"/>
    <w:rsid w:val="008E7A13"/>
    <w:rsid w:val="008F014D"/>
    <w:rsid w:val="008F27DB"/>
    <w:rsid w:val="008F5B6F"/>
    <w:rsid w:val="009002A3"/>
    <w:rsid w:val="0090038C"/>
    <w:rsid w:val="009007EC"/>
    <w:rsid w:val="00900EF5"/>
    <w:rsid w:val="00901EE5"/>
    <w:rsid w:val="0090421D"/>
    <w:rsid w:val="00906447"/>
    <w:rsid w:val="0091349D"/>
    <w:rsid w:val="009141C7"/>
    <w:rsid w:val="009160EA"/>
    <w:rsid w:val="00920597"/>
    <w:rsid w:val="009213D4"/>
    <w:rsid w:val="00921E42"/>
    <w:rsid w:val="00922872"/>
    <w:rsid w:val="0092425B"/>
    <w:rsid w:val="00924D39"/>
    <w:rsid w:val="00924FFE"/>
    <w:rsid w:val="009263C3"/>
    <w:rsid w:val="009268AB"/>
    <w:rsid w:val="0093143E"/>
    <w:rsid w:val="009364FF"/>
    <w:rsid w:val="00942397"/>
    <w:rsid w:val="009425B4"/>
    <w:rsid w:val="00946F52"/>
    <w:rsid w:val="00950F44"/>
    <w:rsid w:val="00952A7D"/>
    <w:rsid w:val="00952BF8"/>
    <w:rsid w:val="00953747"/>
    <w:rsid w:val="0095565A"/>
    <w:rsid w:val="00955918"/>
    <w:rsid w:val="00960439"/>
    <w:rsid w:val="00961D67"/>
    <w:rsid w:val="00962D93"/>
    <w:rsid w:val="009636EF"/>
    <w:rsid w:val="0096408D"/>
    <w:rsid w:val="00964CDD"/>
    <w:rsid w:val="009651A8"/>
    <w:rsid w:val="009657E9"/>
    <w:rsid w:val="009663F6"/>
    <w:rsid w:val="0096666B"/>
    <w:rsid w:val="00971782"/>
    <w:rsid w:val="009719C3"/>
    <w:rsid w:val="0097578E"/>
    <w:rsid w:val="00976E55"/>
    <w:rsid w:val="009814B0"/>
    <w:rsid w:val="00984D41"/>
    <w:rsid w:val="009852BB"/>
    <w:rsid w:val="009853C4"/>
    <w:rsid w:val="0098547C"/>
    <w:rsid w:val="009860B4"/>
    <w:rsid w:val="00986724"/>
    <w:rsid w:val="0098718E"/>
    <w:rsid w:val="00994269"/>
    <w:rsid w:val="0099439A"/>
    <w:rsid w:val="00994737"/>
    <w:rsid w:val="009A0F00"/>
    <w:rsid w:val="009A37AE"/>
    <w:rsid w:val="009A4059"/>
    <w:rsid w:val="009A47EF"/>
    <w:rsid w:val="009B1979"/>
    <w:rsid w:val="009B1E1B"/>
    <w:rsid w:val="009B2CC0"/>
    <w:rsid w:val="009B4C38"/>
    <w:rsid w:val="009C0DAB"/>
    <w:rsid w:val="009C1E20"/>
    <w:rsid w:val="009D0378"/>
    <w:rsid w:val="009D0F18"/>
    <w:rsid w:val="009D1EFB"/>
    <w:rsid w:val="009D5964"/>
    <w:rsid w:val="009D6A0C"/>
    <w:rsid w:val="009E0725"/>
    <w:rsid w:val="009E1492"/>
    <w:rsid w:val="009E4B3F"/>
    <w:rsid w:val="009E5877"/>
    <w:rsid w:val="009E5EBE"/>
    <w:rsid w:val="009E75DF"/>
    <w:rsid w:val="009F69B0"/>
    <w:rsid w:val="00A0310D"/>
    <w:rsid w:val="00A073F4"/>
    <w:rsid w:val="00A07BBE"/>
    <w:rsid w:val="00A12B2D"/>
    <w:rsid w:val="00A16439"/>
    <w:rsid w:val="00A21057"/>
    <w:rsid w:val="00A217CE"/>
    <w:rsid w:val="00A21E86"/>
    <w:rsid w:val="00A22DFB"/>
    <w:rsid w:val="00A305E3"/>
    <w:rsid w:val="00A353F1"/>
    <w:rsid w:val="00A357B0"/>
    <w:rsid w:val="00A35B22"/>
    <w:rsid w:val="00A42B99"/>
    <w:rsid w:val="00A44169"/>
    <w:rsid w:val="00A479B6"/>
    <w:rsid w:val="00A50D3C"/>
    <w:rsid w:val="00A532E3"/>
    <w:rsid w:val="00A54D9C"/>
    <w:rsid w:val="00A57200"/>
    <w:rsid w:val="00A57865"/>
    <w:rsid w:val="00A62B31"/>
    <w:rsid w:val="00A63437"/>
    <w:rsid w:val="00A64850"/>
    <w:rsid w:val="00A65003"/>
    <w:rsid w:val="00A65202"/>
    <w:rsid w:val="00A72AB5"/>
    <w:rsid w:val="00A73299"/>
    <w:rsid w:val="00A7536B"/>
    <w:rsid w:val="00A80356"/>
    <w:rsid w:val="00A816B6"/>
    <w:rsid w:val="00A82D81"/>
    <w:rsid w:val="00A85EFE"/>
    <w:rsid w:val="00A96E79"/>
    <w:rsid w:val="00AA2033"/>
    <w:rsid w:val="00AA4A07"/>
    <w:rsid w:val="00AA6230"/>
    <w:rsid w:val="00AB632D"/>
    <w:rsid w:val="00AC5444"/>
    <w:rsid w:val="00AC70E1"/>
    <w:rsid w:val="00AD1D29"/>
    <w:rsid w:val="00AD328E"/>
    <w:rsid w:val="00AD5147"/>
    <w:rsid w:val="00AE0837"/>
    <w:rsid w:val="00AE11C8"/>
    <w:rsid w:val="00AE355C"/>
    <w:rsid w:val="00AE4EFC"/>
    <w:rsid w:val="00AE5731"/>
    <w:rsid w:val="00AE701C"/>
    <w:rsid w:val="00AE7127"/>
    <w:rsid w:val="00AF6BA2"/>
    <w:rsid w:val="00AF7167"/>
    <w:rsid w:val="00AF7801"/>
    <w:rsid w:val="00B00C04"/>
    <w:rsid w:val="00B019E2"/>
    <w:rsid w:val="00B020ED"/>
    <w:rsid w:val="00B036CB"/>
    <w:rsid w:val="00B11179"/>
    <w:rsid w:val="00B130D5"/>
    <w:rsid w:val="00B13566"/>
    <w:rsid w:val="00B13A54"/>
    <w:rsid w:val="00B14220"/>
    <w:rsid w:val="00B16868"/>
    <w:rsid w:val="00B17251"/>
    <w:rsid w:val="00B20257"/>
    <w:rsid w:val="00B2159A"/>
    <w:rsid w:val="00B21D32"/>
    <w:rsid w:val="00B313B2"/>
    <w:rsid w:val="00B34A43"/>
    <w:rsid w:val="00B35891"/>
    <w:rsid w:val="00B35E73"/>
    <w:rsid w:val="00B36912"/>
    <w:rsid w:val="00B404A0"/>
    <w:rsid w:val="00B4256A"/>
    <w:rsid w:val="00B432AB"/>
    <w:rsid w:val="00B54248"/>
    <w:rsid w:val="00B54D75"/>
    <w:rsid w:val="00B60C2A"/>
    <w:rsid w:val="00B65FC0"/>
    <w:rsid w:val="00B707DD"/>
    <w:rsid w:val="00B719F4"/>
    <w:rsid w:val="00B73995"/>
    <w:rsid w:val="00B74DBC"/>
    <w:rsid w:val="00B75E08"/>
    <w:rsid w:val="00B76684"/>
    <w:rsid w:val="00B7698F"/>
    <w:rsid w:val="00B84CEF"/>
    <w:rsid w:val="00B85F5F"/>
    <w:rsid w:val="00B86090"/>
    <w:rsid w:val="00B86395"/>
    <w:rsid w:val="00B86E2B"/>
    <w:rsid w:val="00B91DEC"/>
    <w:rsid w:val="00B92A56"/>
    <w:rsid w:val="00B931F8"/>
    <w:rsid w:val="00B95DB0"/>
    <w:rsid w:val="00B9722F"/>
    <w:rsid w:val="00B97741"/>
    <w:rsid w:val="00BA0721"/>
    <w:rsid w:val="00BA1883"/>
    <w:rsid w:val="00BA227D"/>
    <w:rsid w:val="00BA4C84"/>
    <w:rsid w:val="00BA6846"/>
    <w:rsid w:val="00BB6565"/>
    <w:rsid w:val="00BC09FC"/>
    <w:rsid w:val="00BC0DD5"/>
    <w:rsid w:val="00BC5AA0"/>
    <w:rsid w:val="00BC60E6"/>
    <w:rsid w:val="00BE4733"/>
    <w:rsid w:val="00BE66AA"/>
    <w:rsid w:val="00BE73B9"/>
    <w:rsid w:val="00BF436F"/>
    <w:rsid w:val="00BF444F"/>
    <w:rsid w:val="00BF688E"/>
    <w:rsid w:val="00BF77F5"/>
    <w:rsid w:val="00C01D8A"/>
    <w:rsid w:val="00C023EF"/>
    <w:rsid w:val="00C03986"/>
    <w:rsid w:val="00C15415"/>
    <w:rsid w:val="00C16FE4"/>
    <w:rsid w:val="00C172EB"/>
    <w:rsid w:val="00C22F98"/>
    <w:rsid w:val="00C2363B"/>
    <w:rsid w:val="00C26560"/>
    <w:rsid w:val="00C3062F"/>
    <w:rsid w:val="00C32E7A"/>
    <w:rsid w:val="00C408D9"/>
    <w:rsid w:val="00C42DB9"/>
    <w:rsid w:val="00C447FD"/>
    <w:rsid w:val="00C44B90"/>
    <w:rsid w:val="00C51434"/>
    <w:rsid w:val="00C51743"/>
    <w:rsid w:val="00C51A61"/>
    <w:rsid w:val="00C57393"/>
    <w:rsid w:val="00C64C71"/>
    <w:rsid w:val="00C6528B"/>
    <w:rsid w:val="00C661B3"/>
    <w:rsid w:val="00C70300"/>
    <w:rsid w:val="00C7037D"/>
    <w:rsid w:val="00C70637"/>
    <w:rsid w:val="00C71DC8"/>
    <w:rsid w:val="00C73E69"/>
    <w:rsid w:val="00C74592"/>
    <w:rsid w:val="00C767BA"/>
    <w:rsid w:val="00C8048C"/>
    <w:rsid w:val="00C80C68"/>
    <w:rsid w:val="00C86E9A"/>
    <w:rsid w:val="00C91743"/>
    <w:rsid w:val="00C93A3D"/>
    <w:rsid w:val="00C94F0A"/>
    <w:rsid w:val="00CA24FA"/>
    <w:rsid w:val="00CA2A55"/>
    <w:rsid w:val="00CA3203"/>
    <w:rsid w:val="00CA6058"/>
    <w:rsid w:val="00CA6BD1"/>
    <w:rsid w:val="00CB1B1B"/>
    <w:rsid w:val="00CB3E03"/>
    <w:rsid w:val="00CB580D"/>
    <w:rsid w:val="00CB6098"/>
    <w:rsid w:val="00CB623E"/>
    <w:rsid w:val="00CC0BA5"/>
    <w:rsid w:val="00CC1F3E"/>
    <w:rsid w:val="00CC236E"/>
    <w:rsid w:val="00CC2B2A"/>
    <w:rsid w:val="00CC6216"/>
    <w:rsid w:val="00CC6A8D"/>
    <w:rsid w:val="00CC70FA"/>
    <w:rsid w:val="00CD37C3"/>
    <w:rsid w:val="00CD3911"/>
    <w:rsid w:val="00CD48EF"/>
    <w:rsid w:val="00CD4BA1"/>
    <w:rsid w:val="00CD59A6"/>
    <w:rsid w:val="00CE33C1"/>
    <w:rsid w:val="00CE3834"/>
    <w:rsid w:val="00CE7774"/>
    <w:rsid w:val="00CF148C"/>
    <w:rsid w:val="00CF3D94"/>
    <w:rsid w:val="00CF48A3"/>
    <w:rsid w:val="00CF5081"/>
    <w:rsid w:val="00D058E4"/>
    <w:rsid w:val="00D07178"/>
    <w:rsid w:val="00D11C0B"/>
    <w:rsid w:val="00D11EE9"/>
    <w:rsid w:val="00D13F47"/>
    <w:rsid w:val="00D14E66"/>
    <w:rsid w:val="00D16677"/>
    <w:rsid w:val="00D17631"/>
    <w:rsid w:val="00D17CD3"/>
    <w:rsid w:val="00D21B22"/>
    <w:rsid w:val="00D24AEB"/>
    <w:rsid w:val="00D24AFD"/>
    <w:rsid w:val="00D27902"/>
    <w:rsid w:val="00D27984"/>
    <w:rsid w:val="00D31D50"/>
    <w:rsid w:val="00D323E9"/>
    <w:rsid w:val="00D34F5B"/>
    <w:rsid w:val="00D35023"/>
    <w:rsid w:val="00D403B8"/>
    <w:rsid w:val="00D45C1B"/>
    <w:rsid w:val="00D45E14"/>
    <w:rsid w:val="00D51C9A"/>
    <w:rsid w:val="00D5318C"/>
    <w:rsid w:val="00D53371"/>
    <w:rsid w:val="00D53BD5"/>
    <w:rsid w:val="00D55621"/>
    <w:rsid w:val="00D6000E"/>
    <w:rsid w:val="00D713D6"/>
    <w:rsid w:val="00D72DAF"/>
    <w:rsid w:val="00D745D0"/>
    <w:rsid w:val="00D75BB9"/>
    <w:rsid w:val="00D76276"/>
    <w:rsid w:val="00D77919"/>
    <w:rsid w:val="00D8083C"/>
    <w:rsid w:val="00D808D1"/>
    <w:rsid w:val="00D85F8D"/>
    <w:rsid w:val="00D87F81"/>
    <w:rsid w:val="00D90E39"/>
    <w:rsid w:val="00D92128"/>
    <w:rsid w:val="00D97E89"/>
    <w:rsid w:val="00DA14DB"/>
    <w:rsid w:val="00DA45EE"/>
    <w:rsid w:val="00DA58A3"/>
    <w:rsid w:val="00DB2F5B"/>
    <w:rsid w:val="00DB46CB"/>
    <w:rsid w:val="00DB695F"/>
    <w:rsid w:val="00DC03E7"/>
    <w:rsid w:val="00DC2287"/>
    <w:rsid w:val="00DC3710"/>
    <w:rsid w:val="00DC3B9E"/>
    <w:rsid w:val="00DC4FB9"/>
    <w:rsid w:val="00DC545F"/>
    <w:rsid w:val="00DC54A9"/>
    <w:rsid w:val="00DC6139"/>
    <w:rsid w:val="00DC6480"/>
    <w:rsid w:val="00DC6686"/>
    <w:rsid w:val="00DC6D84"/>
    <w:rsid w:val="00DC7F68"/>
    <w:rsid w:val="00DD1D7F"/>
    <w:rsid w:val="00DD360A"/>
    <w:rsid w:val="00DD7F91"/>
    <w:rsid w:val="00DE0985"/>
    <w:rsid w:val="00DE0DCA"/>
    <w:rsid w:val="00DE3C6A"/>
    <w:rsid w:val="00DE42BF"/>
    <w:rsid w:val="00DE4A1A"/>
    <w:rsid w:val="00DE4E11"/>
    <w:rsid w:val="00DE53FE"/>
    <w:rsid w:val="00DE6ED8"/>
    <w:rsid w:val="00E00A5F"/>
    <w:rsid w:val="00E05D64"/>
    <w:rsid w:val="00E06A18"/>
    <w:rsid w:val="00E07ABB"/>
    <w:rsid w:val="00E07D8F"/>
    <w:rsid w:val="00E1236C"/>
    <w:rsid w:val="00E13762"/>
    <w:rsid w:val="00E14E2F"/>
    <w:rsid w:val="00E1552D"/>
    <w:rsid w:val="00E1640B"/>
    <w:rsid w:val="00E30299"/>
    <w:rsid w:val="00E317A6"/>
    <w:rsid w:val="00E3190E"/>
    <w:rsid w:val="00E31F05"/>
    <w:rsid w:val="00E32285"/>
    <w:rsid w:val="00E34295"/>
    <w:rsid w:val="00E35F80"/>
    <w:rsid w:val="00E3667E"/>
    <w:rsid w:val="00E4228D"/>
    <w:rsid w:val="00E4254E"/>
    <w:rsid w:val="00E4608C"/>
    <w:rsid w:val="00E502A2"/>
    <w:rsid w:val="00E521B6"/>
    <w:rsid w:val="00E52931"/>
    <w:rsid w:val="00E53ACE"/>
    <w:rsid w:val="00E5519B"/>
    <w:rsid w:val="00E55FEE"/>
    <w:rsid w:val="00E57BD3"/>
    <w:rsid w:val="00E57D38"/>
    <w:rsid w:val="00E61111"/>
    <w:rsid w:val="00E65332"/>
    <w:rsid w:val="00E65F77"/>
    <w:rsid w:val="00E670CD"/>
    <w:rsid w:val="00E67EA9"/>
    <w:rsid w:val="00E76A70"/>
    <w:rsid w:val="00E7727F"/>
    <w:rsid w:val="00E83519"/>
    <w:rsid w:val="00E91889"/>
    <w:rsid w:val="00E91F0F"/>
    <w:rsid w:val="00E9223E"/>
    <w:rsid w:val="00E944E2"/>
    <w:rsid w:val="00E95C54"/>
    <w:rsid w:val="00E96103"/>
    <w:rsid w:val="00EA027D"/>
    <w:rsid w:val="00EB22CF"/>
    <w:rsid w:val="00EB33DC"/>
    <w:rsid w:val="00EB3414"/>
    <w:rsid w:val="00EB39DD"/>
    <w:rsid w:val="00EB40E4"/>
    <w:rsid w:val="00EB67BA"/>
    <w:rsid w:val="00EC16F8"/>
    <w:rsid w:val="00EC306F"/>
    <w:rsid w:val="00EC408E"/>
    <w:rsid w:val="00EC41F2"/>
    <w:rsid w:val="00EC4EB3"/>
    <w:rsid w:val="00EC5617"/>
    <w:rsid w:val="00EC7C9E"/>
    <w:rsid w:val="00ED230D"/>
    <w:rsid w:val="00ED2440"/>
    <w:rsid w:val="00EE1C0B"/>
    <w:rsid w:val="00EE59D0"/>
    <w:rsid w:val="00EE7FF3"/>
    <w:rsid w:val="00EF26BF"/>
    <w:rsid w:val="00EF435B"/>
    <w:rsid w:val="00EF4861"/>
    <w:rsid w:val="00EF50C7"/>
    <w:rsid w:val="00EF5E19"/>
    <w:rsid w:val="00EF779D"/>
    <w:rsid w:val="00EF7E82"/>
    <w:rsid w:val="00F01970"/>
    <w:rsid w:val="00F01B91"/>
    <w:rsid w:val="00F06AF6"/>
    <w:rsid w:val="00F079A5"/>
    <w:rsid w:val="00F07F69"/>
    <w:rsid w:val="00F107F9"/>
    <w:rsid w:val="00F111E0"/>
    <w:rsid w:val="00F117D4"/>
    <w:rsid w:val="00F16475"/>
    <w:rsid w:val="00F22D55"/>
    <w:rsid w:val="00F24A9A"/>
    <w:rsid w:val="00F2592D"/>
    <w:rsid w:val="00F25C5F"/>
    <w:rsid w:val="00F3182D"/>
    <w:rsid w:val="00F34EF2"/>
    <w:rsid w:val="00F3580F"/>
    <w:rsid w:val="00F360F7"/>
    <w:rsid w:val="00F37471"/>
    <w:rsid w:val="00F406BB"/>
    <w:rsid w:val="00F44AD0"/>
    <w:rsid w:val="00F45F26"/>
    <w:rsid w:val="00F46F60"/>
    <w:rsid w:val="00F50379"/>
    <w:rsid w:val="00F55102"/>
    <w:rsid w:val="00F57115"/>
    <w:rsid w:val="00F6298B"/>
    <w:rsid w:val="00F63B02"/>
    <w:rsid w:val="00F65350"/>
    <w:rsid w:val="00F65C21"/>
    <w:rsid w:val="00F700A6"/>
    <w:rsid w:val="00F760D1"/>
    <w:rsid w:val="00F8151A"/>
    <w:rsid w:val="00F83788"/>
    <w:rsid w:val="00F84D69"/>
    <w:rsid w:val="00F85054"/>
    <w:rsid w:val="00F87AEF"/>
    <w:rsid w:val="00F87C14"/>
    <w:rsid w:val="00F94F61"/>
    <w:rsid w:val="00FA01CA"/>
    <w:rsid w:val="00FA17B4"/>
    <w:rsid w:val="00FA3581"/>
    <w:rsid w:val="00FB10B8"/>
    <w:rsid w:val="00FB24BA"/>
    <w:rsid w:val="00FB28C8"/>
    <w:rsid w:val="00FB381D"/>
    <w:rsid w:val="00FB6172"/>
    <w:rsid w:val="00FB6492"/>
    <w:rsid w:val="00FC007D"/>
    <w:rsid w:val="00FC131A"/>
    <w:rsid w:val="00FC224A"/>
    <w:rsid w:val="00FC43D6"/>
    <w:rsid w:val="00FD1F8A"/>
    <w:rsid w:val="00FD2208"/>
    <w:rsid w:val="00FD2EC4"/>
    <w:rsid w:val="00FD63D3"/>
    <w:rsid w:val="00FD717D"/>
    <w:rsid w:val="00FD72DF"/>
    <w:rsid w:val="00FE44CF"/>
    <w:rsid w:val="00FE75D0"/>
    <w:rsid w:val="00FF1239"/>
    <w:rsid w:val="00FF1AC1"/>
    <w:rsid w:val="00FF5DE3"/>
    <w:rsid w:val="00FF62F7"/>
    <w:rsid w:val="00FF6EAF"/>
    <w:rsid w:val="00FF7408"/>
    <w:rsid w:val="01F65399"/>
    <w:rsid w:val="026A1A9F"/>
    <w:rsid w:val="03226A0E"/>
    <w:rsid w:val="04260169"/>
    <w:rsid w:val="04CC4830"/>
    <w:rsid w:val="050945F2"/>
    <w:rsid w:val="050E4034"/>
    <w:rsid w:val="056F4DC0"/>
    <w:rsid w:val="05F86FA8"/>
    <w:rsid w:val="06174B4A"/>
    <w:rsid w:val="06342461"/>
    <w:rsid w:val="065C2670"/>
    <w:rsid w:val="06677EA2"/>
    <w:rsid w:val="06F06056"/>
    <w:rsid w:val="07021FF9"/>
    <w:rsid w:val="071C7BC7"/>
    <w:rsid w:val="075A67A2"/>
    <w:rsid w:val="0840050B"/>
    <w:rsid w:val="086D38AF"/>
    <w:rsid w:val="08C44882"/>
    <w:rsid w:val="08C94E4D"/>
    <w:rsid w:val="0915227D"/>
    <w:rsid w:val="09164C3B"/>
    <w:rsid w:val="099842FD"/>
    <w:rsid w:val="0A3A2559"/>
    <w:rsid w:val="0A805158"/>
    <w:rsid w:val="0AF87126"/>
    <w:rsid w:val="0B4B1CD9"/>
    <w:rsid w:val="0B9B2EBC"/>
    <w:rsid w:val="0BA309DB"/>
    <w:rsid w:val="0BC90D6D"/>
    <w:rsid w:val="0BCB508B"/>
    <w:rsid w:val="0C070B14"/>
    <w:rsid w:val="0C1A22A8"/>
    <w:rsid w:val="0C26236E"/>
    <w:rsid w:val="0C9306BE"/>
    <w:rsid w:val="0CB05CD1"/>
    <w:rsid w:val="0D1B39E9"/>
    <w:rsid w:val="0DCB2021"/>
    <w:rsid w:val="0E3A01CC"/>
    <w:rsid w:val="0E9172D3"/>
    <w:rsid w:val="0EF1422C"/>
    <w:rsid w:val="0F3B23D4"/>
    <w:rsid w:val="0F3B3DD7"/>
    <w:rsid w:val="107B6AE8"/>
    <w:rsid w:val="11195DC6"/>
    <w:rsid w:val="115A70AD"/>
    <w:rsid w:val="116421D6"/>
    <w:rsid w:val="11EA1B00"/>
    <w:rsid w:val="121F5AC5"/>
    <w:rsid w:val="125037BB"/>
    <w:rsid w:val="12521250"/>
    <w:rsid w:val="12524B60"/>
    <w:rsid w:val="12E866AF"/>
    <w:rsid w:val="130C55D8"/>
    <w:rsid w:val="13244A23"/>
    <w:rsid w:val="13EE6B6B"/>
    <w:rsid w:val="1472386E"/>
    <w:rsid w:val="148F0FC6"/>
    <w:rsid w:val="151600A7"/>
    <w:rsid w:val="159F345A"/>
    <w:rsid w:val="15E43EF8"/>
    <w:rsid w:val="16A81136"/>
    <w:rsid w:val="16AC4207"/>
    <w:rsid w:val="178A56FB"/>
    <w:rsid w:val="17A8647B"/>
    <w:rsid w:val="18253B4C"/>
    <w:rsid w:val="190F1674"/>
    <w:rsid w:val="19132D2F"/>
    <w:rsid w:val="19210747"/>
    <w:rsid w:val="196E7CB2"/>
    <w:rsid w:val="198759D2"/>
    <w:rsid w:val="19D72BB5"/>
    <w:rsid w:val="1AD212BF"/>
    <w:rsid w:val="1AF900F3"/>
    <w:rsid w:val="1AFC6A2C"/>
    <w:rsid w:val="1BE0351A"/>
    <w:rsid w:val="1C120302"/>
    <w:rsid w:val="1C442FCB"/>
    <w:rsid w:val="1C532B00"/>
    <w:rsid w:val="1CCC12C5"/>
    <w:rsid w:val="1D1B1BAD"/>
    <w:rsid w:val="1D401A6B"/>
    <w:rsid w:val="1DCC5DA5"/>
    <w:rsid w:val="1E8A015B"/>
    <w:rsid w:val="1EA00E4A"/>
    <w:rsid w:val="1F4F1109"/>
    <w:rsid w:val="1F6A0646"/>
    <w:rsid w:val="206A0332"/>
    <w:rsid w:val="2091595B"/>
    <w:rsid w:val="20F51AC3"/>
    <w:rsid w:val="21AE6D2F"/>
    <w:rsid w:val="21C21552"/>
    <w:rsid w:val="21C3713A"/>
    <w:rsid w:val="24DA6297"/>
    <w:rsid w:val="252F3CBE"/>
    <w:rsid w:val="26694CDB"/>
    <w:rsid w:val="282C171E"/>
    <w:rsid w:val="2849297F"/>
    <w:rsid w:val="2936596A"/>
    <w:rsid w:val="2997006D"/>
    <w:rsid w:val="29AC5EF0"/>
    <w:rsid w:val="2B040631"/>
    <w:rsid w:val="2B0B5AF1"/>
    <w:rsid w:val="2B793244"/>
    <w:rsid w:val="2C094BA0"/>
    <w:rsid w:val="2C60205D"/>
    <w:rsid w:val="2C8F5C68"/>
    <w:rsid w:val="2CAD317E"/>
    <w:rsid w:val="2CC97424"/>
    <w:rsid w:val="2D2725F0"/>
    <w:rsid w:val="2D345768"/>
    <w:rsid w:val="2D73679B"/>
    <w:rsid w:val="2E994608"/>
    <w:rsid w:val="2E9C375A"/>
    <w:rsid w:val="2EA60EE0"/>
    <w:rsid w:val="2ED8262F"/>
    <w:rsid w:val="2F242CBD"/>
    <w:rsid w:val="2FB34058"/>
    <w:rsid w:val="300C74C4"/>
    <w:rsid w:val="304B3830"/>
    <w:rsid w:val="307D5A91"/>
    <w:rsid w:val="317B20C5"/>
    <w:rsid w:val="32A33E31"/>
    <w:rsid w:val="32D048D8"/>
    <w:rsid w:val="32D3622F"/>
    <w:rsid w:val="32D63CF2"/>
    <w:rsid w:val="32F26097"/>
    <w:rsid w:val="3341799D"/>
    <w:rsid w:val="337A399F"/>
    <w:rsid w:val="337F2EFA"/>
    <w:rsid w:val="339029A7"/>
    <w:rsid w:val="33CC5FD9"/>
    <w:rsid w:val="34697607"/>
    <w:rsid w:val="34DC6FBF"/>
    <w:rsid w:val="352019FA"/>
    <w:rsid w:val="35731520"/>
    <w:rsid w:val="35F436C6"/>
    <w:rsid w:val="36037C49"/>
    <w:rsid w:val="36B804EA"/>
    <w:rsid w:val="371766EB"/>
    <w:rsid w:val="3728049C"/>
    <w:rsid w:val="37CD3E9A"/>
    <w:rsid w:val="37D03480"/>
    <w:rsid w:val="37D87189"/>
    <w:rsid w:val="37E87EA7"/>
    <w:rsid w:val="37F761BE"/>
    <w:rsid w:val="380B1A51"/>
    <w:rsid w:val="382056BC"/>
    <w:rsid w:val="38AB6B19"/>
    <w:rsid w:val="39035D73"/>
    <w:rsid w:val="39144BF9"/>
    <w:rsid w:val="39236305"/>
    <w:rsid w:val="397D1814"/>
    <w:rsid w:val="3991694F"/>
    <w:rsid w:val="3A096C45"/>
    <w:rsid w:val="3B3315C9"/>
    <w:rsid w:val="3B3666AA"/>
    <w:rsid w:val="3B5D03F9"/>
    <w:rsid w:val="3B9C69ED"/>
    <w:rsid w:val="3C075E40"/>
    <w:rsid w:val="3C0F314C"/>
    <w:rsid w:val="3C8400FD"/>
    <w:rsid w:val="3C8D5215"/>
    <w:rsid w:val="3CB96E1E"/>
    <w:rsid w:val="3E2A5A13"/>
    <w:rsid w:val="3E6A5C1B"/>
    <w:rsid w:val="3E951BD3"/>
    <w:rsid w:val="3EB91E59"/>
    <w:rsid w:val="3FA23A80"/>
    <w:rsid w:val="3FB75DF9"/>
    <w:rsid w:val="418368ED"/>
    <w:rsid w:val="425C64FC"/>
    <w:rsid w:val="4278675D"/>
    <w:rsid w:val="431F105C"/>
    <w:rsid w:val="43F003B4"/>
    <w:rsid w:val="446458DA"/>
    <w:rsid w:val="446645C4"/>
    <w:rsid w:val="44E00C2F"/>
    <w:rsid w:val="44F12828"/>
    <w:rsid w:val="453F4EE8"/>
    <w:rsid w:val="457E0C0E"/>
    <w:rsid w:val="45A27895"/>
    <w:rsid w:val="4654463C"/>
    <w:rsid w:val="469D1E1F"/>
    <w:rsid w:val="4703453A"/>
    <w:rsid w:val="47401AE3"/>
    <w:rsid w:val="47847F9B"/>
    <w:rsid w:val="47B6276E"/>
    <w:rsid w:val="47D7714D"/>
    <w:rsid w:val="48CA305E"/>
    <w:rsid w:val="491D1161"/>
    <w:rsid w:val="4945471C"/>
    <w:rsid w:val="49C23604"/>
    <w:rsid w:val="4A6500D9"/>
    <w:rsid w:val="4B4D56DB"/>
    <w:rsid w:val="4BCB58DC"/>
    <w:rsid w:val="4BE87F26"/>
    <w:rsid w:val="4C081E20"/>
    <w:rsid w:val="4C3974A1"/>
    <w:rsid w:val="4C4D743A"/>
    <w:rsid w:val="4C561056"/>
    <w:rsid w:val="4CDC25C4"/>
    <w:rsid w:val="4D2A1AAB"/>
    <w:rsid w:val="4DBE15DE"/>
    <w:rsid w:val="4DFF45BC"/>
    <w:rsid w:val="4E61428A"/>
    <w:rsid w:val="4E7B705D"/>
    <w:rsid w:val="4ECB455C"/>
    <w:rsid w:val="4EF16D21"/>
    <w:rsid w:val="4F4E6BEF"/>
    <w:rsid w:val="4F6745C5"/>
    <w:rsid w:val="4F751E54"/>
    <w:rsid w:val="4FA9510C"/>
    <w:rsid w:val="50891C17"/>
    <w:rsid w:val="520E7D39"/>
    <w:rsid w:val="527310FD"/>
    <w:rsid w:val="52C145B3"/>
    <w:rsid w:val="532C19FA"/>
    <w:rsid w:val="536C046F"/>
    <w:rsid w:val="53777260"/>
    <w:rsid w:val="53BD324D"/>
    <w:rsid w:val="53DA3FDB"/>
    <w:rsid w:val="546B7691"/>
    <w:rsid w:val="54B52F23"/>
    <w:rsid w:val="559025B5"/>
    <w:rsid w:val="55BE6F35"/>
    <w:rsid w:val="56AB5747"/>
    <w:rsid w:val="57466A30"/>
    <w:rsid w:val="57E7750E"/>
    <w:rsid w:val="582C3304"/>
    <w:rsid w:val="583E683E"/>
    <w:rsid w:val="584263FC"/>
    <w:rsid w:val="58AA248A"/>
    <w:rsid w:val="592757C1"/>
    <w:rsid w:val="5A097D45"/>
    <w:rsid w:val="5A232744"/>
    <w:rsid w:val="5A8E433F"/>
    <w:rsid w:val="5ACC5639"/>
    <w:rsid w:val="5AFE0937"/>
    <w:rsid w:val="5B022AFF"/>
    <w:rsid w:val="5B1C238B"/>
    <w:rsid w:val="5BB72396"/>
    <w:rsid w:val="5BDA2541"/>
    <w:rsid w:val="5C8E70AE"/>
    <w:rsid w:val="5C9700DF"/>
    <w:rsid w:val="5CFF5AEE"/>
    <w:rsid w:val="5D5260D6"/>
    <w:rsid w:val="5E4106DA"/>
    <w:rsid w:val="5E4B362D"/>
    <w:rsid w:val="5E4B3828"/>
    <w:rsid w:val="5EC32979"/>
    <w:rsid w:val="5EFC5263"/>
    <w:rsid w:val="5F2B51D9"/>
    <w:rsid w:val="5F37440C"/>
    <w:rsid w:val="609E7926"/>
    <w:rsid w:val="60CC769A"/>
    <w:rsid w:val="60F3280A"/>
    <w:rsid w:val="615A0826"/>
    <w:rsid w:val="616E5025"/>
    <w:rsid w:val="62117B48"/>
    <w:rsid w:val="6233066F"/>
    <w:rsid w:val="625714F8"/>
    <w:rsid w:val="62AF2B34"/>
    <w:rsid w:val="62D7081D"/>
    <w:rsid w:val="63687194"/>
    <w:rsid w:val="638E50BC"/>
    <w:rsid w:val="64D27A6F"/>
    <w:rsid w:val="65765688"/>
    <w:rsid w:val="65A40D91"/>
    <w:rsid w:val="66F55A6B"/>
    <w:rsid w:val="67327F2E"/>
    <w:rsid w:val="674609A7"/>
    <w:rsid w:val="67465B30"/>
    <w:rsid w:val="68082611"/>
    <w:rsid w:val="688C533B"/>
    <w:rsid w:val="692F0DD2"/>
    <w:rsid w:val="692F6DB1"/>
    <w:rsid w:val="696B16A5"/>
    <w:rsid w:val="69772905"/>
    <w:rsid w:val="6A360EF4"/>
    <w:rsid w:val="6A736A2C"/>
    <w:rsid w:val="6AC4173D"/>
    <w:rsid w:val="6B3F6E7C"/>
    <w:rsid w:val="6B4F76A1"/>
    <w:rsid w:val="6BB6746F"/>
    <w:rsid w:val="6BFD03AE"/>
    <w:rsid w:val="6BFF6077"/>
    <w:rsid w:val="6C2308EC"/>
    <w:rsid w:val="6C867767"/>
    <w:rsid w:val="6CA34648"/>
    <w:rsid w:val="6D031FFE"/>
    <w:rsid w:val="6D870368"/>
    <w:rsid w:val="6DEF74D5"/>
    <w:rsid w:val="6E9856D0"/>
    <w:rsid w:val="6EB840FC"/>
    <w:rsid w:val="6EE920DC"/>
    <w:rsid w:val="6F377C99"/>
    <w:rsid w:val="6F7E7DE2"/>
    <w:rsid w:val="6FAA433E"/>
    <w:rsid w:val="704F1D50"/>
    <w:rsid w:val="7062369D"/>
    <w:rsid w:val="70D8666D"/>
    <w:rsid w:val="70F82977"/>
    <w:rsid w:val="711203ED"/>
    <w:rsid w:val="712A76BE"/>
    <w:rsid w:val="716D6D00"/>
    <w:rsid w:val="719901C6"/>
    <w:rsid w:val="71B131C3"/>
    <w:rsid w:val="71CC5821"/>
    <w:rsid w:val="71F26BCA"/>
    <w:rsid w:val="720542F1"/>
    <w:rsid w:val="72380013"/>
    <w:rsid w:val="72540D30"/>
    <w:rsid w:val="73426C39"/>
    <w:rsid w:val="73594771"/>
    <w:rsid w:val="740F0E4D"/>
    <w:rsid w:val="7469799F"/>
    <w:rsid w:val="74A66F51"/>
    <w:rsid w:val="74E24705"/>
    <w:rsid w:val="750506F3"/>
    <w:rsid w:val="758944AE"/>
    <w:rsid w:val="758C4507"/>
    <w:rsid w:val="75AA1A6C"/>
    <w:rsid w:val="76C0735A"/>
    <w:rsid w:val="76DE39EB"/>
    <w:rsid w:val="774B42DA"/>
    <w:rsid w:val="77CC2AC5"/>
    <w:rsid w:val="78AC0F28"/>
    <w:rsid w:val="78AD7E4B"/>
    <w:rsid w:val="7922758B"/>
    <w:rsid w:val="79766799"/>
    <w:rsid w:val="79B255D2"/>
    <w:rsid w:val="79B45BBB"/>
    <w:rsid w:val="79D0307E"/>
    <w:rsid w:val="79DE121D"/>
    <w:rsid w:val="79E249A2"/>
    <w:rsid w:val="7A5C7B4D"/>
    <w:rsid w:val="7B1F1C18"/>
    <w:rsid w:val="7B387938"/>
    <w:rsid w:val="7C341C52"/>
    <w:rsid w:val="7D033238"/>
    <w:rsid w:val="7D2F6ABF"/>
    <w:rsid w:val="7D50024E"/>
    <w:rsid w:val="7D637EF4"/>
    <w:rsid w:val="7E341B98"/>
    <w:rsid w:val="7E51328E"/>
    <w:rsid w:val="7F14576E"/>
    <w:rsid w:val="7FB735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semiHidden="0"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1"/>
    <w:qFormat/>
    <w:uiPriority w:val="99"/>
    <w:pPr>
      <w:keepNext/>
      <w:keepLines/>
      <w:adjustRightInd/>
      <w:snapToGrid/>
      <w:spacing w:before="200" w:line="360" w:lineRule="auto"/>
      <w:jc w:val="center"/>
      <w:textAlignment w:val="baseline"/>
      <w:outlineLvl w:val="0"/>
    </w:pPr>
    <w:rPr>
      <w:rFonts w:ascii="Times New Roman" w:hAnsi="Times New Roman" w:eastAsia="黑体" w:cs="Times New Roman"/>
      <w:b/>
      <w:bCs/>
      <w:color w:val="000000"/>
      <w:kern w:val="44"/>
      <w:sz w:val="36"/>
      <w:szCs w:val="44"/>
      <w:u w:color="000000"/>
    </w:rPr>
  </w:style>
  <w:style w:type="paragraph" w:styleId="3">
    <w:name w:val="heading 2"/>
    <w:basedOn w:val="1"/>
    <w:next w:val="1"/>
    <w:link w:val="32"/>
    <w:qFormat/>
    <w:uiPriority w:val="99"/>
    <w:pPr>
      <w:keepNext/>
      <w:keepLines/>
      <w:widowControl w:val="0"/>
      <w:adjustRightInd/>
      <w:snapToGrid/>
      <w:spacing w:before="260" w:after="260" w:line="416" w:lineRule="auto"/>
      <w:jc w:val="both"/>
      <w:outlineLvl w:val="1"/>
    </w:pPr>
    <w:rPr>
      <w:rFonts w:ascii="Arial" w:hAnsi="Arial" w:eastAsia="黑体" w:cs="Times New Roman"/>
      <w:b/>
      <w:bCs/>
      <w:kern w:val="2"/>
      <w:sz w:val="32"/>
      <w:szCs w:val="32"/>
    </w:rPr>
  </w:style>
  <w:style w:type="paragraph" w:styleId="4">
    <w:name w:val="heading 3"/>
    <w:basedOn w:val="1"/>
    <w:next w:val="1"/>
    <w:link w:val="33"/>
    <w:qFormat/>
    <w:uiPriority w:val="99"/>
    <w:pPr>
      <w:keepNext/>
      <w:keepLines/>
      <w:adjustRightInd/>
      <w:snapToGrid/>
      <w:spacing w:before="260" w:after="260" w:line="360" w:lineRule="auto"/>
      <w:textAlignment w:val="baseline"/>
      <w:outlineLvl w:val="2"/>
    </w:pPr>
    <w:rPr>
      <w:rFonts w:ascii="Times New Roman" w:hAnsi="Times New Roman" w:eastAsia="仿宋_GB2312" w:cs="Times New Roman"/>
      <w:b/>
      <w:bCs/>
      <w:sz w:val="30"/>
      <w:szCs w:val="32"/>
      <w:u w:color="000000"/>
    </w:rPr>
  </w:style>
  <w:style w:type="paragraph" w:styleId="5">
    <w:name w:val="heading 4"/>
    <w:basedOn w:val="1"/>
    <w:next w:val="1"/>
    <w:link w:val="34"/>
    <w:unhideWhenUsed/>
    <w:qFormat/>
    <w:uiPriority w:val="0"/>
    <w:pPr>
      <w:keepNext/>
      <w:keepLines/>
      <w:widowControl w:val="0"/>
      <w:adjustRightInd/>
      <w:snapToGrid/>
      <w:spacing w:before="280" w:after="290" w:line="376" w:lineRule="auto"/>
      <w:jc w:val="both"/>
      <w:outlineLvl w:val="3"/>
    </w:pPr>
    <w:rPr>
      <w:rFonts w:asciiTheme="majorHAnsi" w:hAnsiTheme="majorHAnsi" w:eastAsiaTheme="majorEastAsia" w:cstheme="majorBidi"/>
      <w:b/>
      <w:bCs/>
      <w:kern w:val="2"/>
      <w:sz w:val="28"/>
      <w:szCs w:val="28"/>
    </w:rPr>
  </w:style>
  <w:style w:type="paragraph" w:styleId="6">
    <w:name w:val="heading 5"/>
    <w:basedOn w:val="1"/>
    <w:next w:val="1"/>
    <w:link w:val="35"/>
    <w:unhideWhenUsed/>
    <w:qFormat/>
    <w:uiPriority w:val="0"/>
    <w:pPr>
      <w:keepNext/>
      <w:keepLines/>
      <w:widowControl w:val="0"/>
      <w:adjustRightInd/>
      <w:snapToGrid/>
      <w:spacing w:before="280" w:after="290" w:line="376" w:lineRule="auto"/>
      <w:jc w:val="both"/>
      <w:outlineLvl w:val="4"/>
    </w:pPr>
    <w:rPr>
      <w:rFonts w:ascii="Times New Roman" w:hAnsi="Times New Roman" w:eastAsia="宋体" w:cs="Times New Roman"/>
      <w:b/>
      <w:bCs/>
      <w:kern w:val="2"/>
      <w:sz w:val="28"/>
      <w:szCs w:val="28"/>
    </w:rPr>
  </w:style>
  <w:style w:type="paragraph" w:styleId="7">
    <w:name w:val="heading 6"/>
    <w:basedOn w:val="1"/>
    <w:next w:val="1"/>
    <w:link w:val="36"/>
    <w:unhideWhenUsed/>
    <w:qFormat/>
    <w:uiPriority w:val="0"/>
    <w:pPr>
      <w:keepNext/>
      <w:keepLines/>
      <w:widowControl w:val="0"/>
      <w:adjustRightInd/>
      <w:snapToGrid/>
      <w:spacing w:before="240" w:after="64" w:line="320" w:lineRule="auto"/>
      <w:jc w:val="both"/>
      <w:outlineLvl w:val="5"/>
    </w:pPr>
    <w:rPr>
      <w:rFonts w:asciiTheme="majorHAnsi" w:hAnsiTheme="majorHAnsi" w:eastAsiaTheme="majorEastAsia" w:cstheme="majorBidi"/>
      <w:b/>
      <w:bCs/>
      <w:kern w:val="2"/>
      <w:sz w:val="24"/>
      <w:szCs w:val="24"/>
    </w:rPr>
  </w:style>
  <w:style w:type="character" w:default="1" w:styleId="24">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8">
    <w:name w:val="Document Map"/>
    <w:basedOn w:val="1"/>
    <w:link w:val="43"/>
    <w:semiHidden/>
    <w:qFormat/>
    <w:uiPriority w:val="99"/>
    <w:pPr>
      <w:widowControl w:val="0"/>
      <w:shd w:val="clear" w:color="auto" w:fill="000080"/>
      <w:adjustRightInd/>
      <w:snapToGrid/>
      <w:spacing w:after="0"/>
      <w:jc w:val="both"/>
    </w:pPr>
    <w:rPr>
      <w:rFonts w:ascii="Times New Roman" w:hAnsi="Times New Roman" w:eastAsia="宋体" w:cs="Times New Roman"/>
      <w:kern w:val="2"/>
      <w:sz w:val="21"/>
      <w:szCs w:val="24"/>
    </w:rPr>
  </w:style>
  <w:style w:type="paragraph" w:styleId="9">
    <w:name w:val="annotation text"/>
    <w:basedOn w:val="1"/>
    <w:link w:val="41"/>
    <w:unhideWhenUsed/>
    <w:qFormat/>
    <w:uiPriority w:val="99"/>
  </w:style>
  <w:style w:type="paragraph" w:styleId="10">
    <w:name w:val="Body Text"/>
    <w:basedOn w:val="1"/>
    <w:link w:val="44"/>
    <w:qFormat/>
    <w:uiPriority w:val="99"/>
    <w:pPr>
      <w:widowControl w:val="0"/>
      <w:adjustRightInd/>
      <w:snapToGrid/>
      <w:spacing w:after="120"/>
      <w:jc w:val="both"/>
    </w:pPr>
    <w:rPr>
      <w:rFonts w:ascii="Times New Roman" w:hAnsi="Times New Roman" w:eastAsia="宋体" w:cs="Times New Roman"/>
      <w:kern w:val="2"/>
      <w:sz w:val="21"/>
      <w:szCs w:val="24"/>
    </w:rPr>
  </w:style>
  <w:style w:type="paragraph" w:styleId="11">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8"/>
      <w:szCs w:val="24"/>
    </w:rPr>
  </w:style>
  <w:style w:type="paragraph" w:styleId="12">
    <w:name w:val="Plain Text"/>
    <w:basedOn w:val="1"/>
    <w:link w:val="45"/>
    <w:qFormat/>
    <w:uiPriority w:val="99"/>
    <w:pPr>
      <w:adjustRightInd/>
      <w:snapToGrid/>
      <w:spacing w:after="0" w:line="351" w:lineRule="atLeast"/>
      <w:ind w:firstLine="419"/>
      <w:jc w:val="both"/>
      <w:textAlignment w:val="baseline"/>
    </w:pPr>
    <w:rPr>
      <w:rFonts w:ascii="宋体" w:hAnsi="Times New Roman" w:eastAsia="宋体" w:cs="Times New Roman"/>
      <w:color w:val="000000"/>
      <w:sz w:val="21"/>
      <w:szCs w:val="20"/>
      <w:u w:color="000000"/>
    </w:rPr>
  </w:style>
  <w:style w:type="paragraph" w:styleId="13">
    <w:name w:val="Balloon Text"/>
    <w:basedOn w:val="1"/>
    <w:link w:val="46"/>
    <w:qFormat/>
    <w:uiPriority w:val="99"/>
    <w:pPr>
      <w:widowControl w:val="0"/>
      <w:adjustRightInd/>
      <w:snapToGrid/>
      <w:spacing w:after="0"/>
      <w:jc w:val="both"/>
    </w:pPr>
    <w:rPr>
      <w:rFonts w:ascii="Times New Roman" w:hAnsi="Times New Roman" w:eastAsia="宋体" w:cs="Times New Roman"/>
      <w:kern w:val="2"/>
      <w:sz w:val="18"/>
      <w:szCs w:val="18"/>
    </w:rPr>
  </w:style>
  <w:style w:type="paragraph" w:styleId="14">
    <w:name w:val="footer"/>
    <w:basedOn w:val="1"/>
    <w:link w:val="38"/>
    <w:unhideWhenUsed/>
    <w:qFormat/>
    <w:uiPriority w:val="99"/>
    <w:pPr>
      <w:tabs>
        <w:tab w:val="center" w:pos="4153"/>
        <w:tab w:val="right" w:pos="8306"/>
      </w:tabs>
    </w:pPr>
    <w:rPr>
      <w:sz w:val="18"/>
      <w:szCs w:val="18"/>
    </w:rPr>
  </w:style>
  <w:style w:type="paragraph" w:styleId="15">
    <w:name w:val="header"/>
    <w:basedOn w:val="1"/>
    <w:link w:val="37"/>
    <w:unhideWhenUsed/>
    <w:qFormat/>
    <w:uiPriority w:val="99"/>
    <w:pPr>
      <w:pBdr>
        <w:bottom w:val="single" w:color="auto" w:sz="6" w:space="1"/>
      </w:pBdr>
      <w:tabs>
        <w:tab w:val="center" w:pos="4153"/>
        <w:tab w:val="right" w:pos="8306"/>
      </w:tabs>
      <w:jc w:val="center"/>
    </w:pPr>
    <w:rPr>
      <w:sz w:val="18"/>
      <w:szCs w:val="18"/>
    </w:rPr>
  </w:style>
  <w:style w:type="paragraph" w:styleId="16">
    <w:name w:val="toc 1"/>
    <w:basedOn w:val="1"/>
    <w:next w:val="1"/>
    <w:qFormat/>
    <w:uiPriority w:val="39"/>
    <w:pPr>
      <w:widowControl w:val="0"/>
      <w:tabs>
        <w:tab w:val="right" w:leader="dot" w:pos="8777"/>
      </w:tabs>
      <w:adjustRightInd/>
      <w:snapToGrid/>
      <w:spacing w:after="0" w:line="360" w:lineRule="auto"/>
      <w:jc w:val="both"/>
    </w:pPr>
    <w:rPr>
      <w:rFonts w:ascii="Times New Roman" w:hAnsi="Times New Roman" w:eastAsia="黑体" w:cs="Times New Roman"/>
      <w:kern w:val="2"/>
      <w:sz w:val="32"/>
      <w:szCs w:val="32"/>
    </w:rPr>
  </w:style>
  <w:style w:type="paragraph" w:styleId="17">
    <w:name w:val="footnote text"/>
    <w:basedOn w:val="1"/>
    <w:link w:val="47"/>
    <w:qFormat/>
    <w:uiPriority w:val="99"/>
    <w:pPr>
      <w:widowControl w:val="0"/>
      <w:adjustRightInd/>
      <w:spacing w:after="0"/>
    </w:pPr>
    <w:rPr>
      <w:rFonts w:ascii="Times New Roman" w:hAnsi="Times New Roman" w:eastAsia="宋体" w:cs="Times New Roman"/>
      <w:kern w:val="2"/>
      <w:sz w:val="18"/>
      <w:szCs w:val="18"/>
    </w:rPr>
  </w:style>
  <w:style w:type="paragraph" w:styleId="18">
    <w:name w:val="toc 2"/>
    <w:basedOn w:val="1"/>
    <w:next w:val="1"/>
    <w:qFormat/>
    <w:uiPriority w:val="39"/>
    <w:pPr>
      <w:widowControl w:val="0"/>
      <w:adjustRightInd/>
      <w:snapToGrid/>
      <w:spacing w:after="0"/>
      <w:ind w:left="420" w:leftChars="200"/>
      <w:jc w:val="both"/>
    </w:pPr>
    <w:rPr>
      <w:rFonts w:ascii="Times New Roman" w:hAnsi="Times New Roman" w:eastAsia="宋体" w:cs="Times New Roman"/>
      <w:kern w:val="2"/>
      <w:sz w:val="30"/>
      <w:szCs w:val="24"/>
    </w:rPr>
  </w:style>
  <w:style w:type="paragraph" w:styleId="19">
    <w:name w:val="HTML Preformatted"/>
    <w:basedOn w:val="1"/>
    <w:link w:val="48"/>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hAnsi="宋体" w:eastAsia="宋体" w:cs="宋体"/>
      <w:sz w:val="24"/>
      <w:szCs w:val="24"/>
    </w:rPr>
  </w:style>
  <w:style w:type="paragraph" w:styleId="20">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1">
    <w:name w:val="Title"/>
    <w:basedOn w:val="1"/>
    <w:next w:val="1"/>
    <w:link w:val="70"/>
    <w:qFormat/>
    <w:uiPriority w:val="0"/>
    <w:pPr>
      <w:widowControl w:val="0"/>
      <w:adjustRightInd/>
      <w:snapToGrid/>
      <w:spacing w:before="240" w:after="60"/>
      <w:jc w:val="center"/>
      <w:outlineLvl w:val="0"/>
    </w:pPr>
    <w:rPr>
      <w:rFonts w:eastAsia="宋体" w:asciiTheme="majorHAnsi" w:hAnsiTheme="majorHAnsi" w:cstheme="majorBidi"/>
      <w:b/>
      <w:bCs/>
      <w:kern w:val="2"/>
      <w:sz w:val="32"/>
      <w:szCs w:val="32"/>
    </w:rPr>
  </w:style>
  <w:style w:type="paragraph" w:styleId="22">
    <w:name w:val="annotation subject"/>
    <w:basedOn w:val="9"/>
    <w:next w:val="9"/>
    <w:link w:val="42"/>
    <w:qFormat/>
    <w:uiPriority w:val="99"/>
    <w:pPr>
      <w:widowControl w:val="0"/>
      <w:adjustRightInd/>
      <w:snapToGrid/>
      <w:spacing w:after="0"/>
    </w:pPr>
    <w:rPr>
      <w:rFonts w:ascii="Times New Roman" w:hAnsi="Times New Roman" w:eastAsia="宋体" w:cs="Times New Roman"/>
      <w:b/>
      <w:bCs/>
      <w:kern w:val="2"/>
      <w:sz w:val="21"/>
      <w:szCs w:val="24"/>
    </w:rPr>
  </w:style>
  <w:style w:type="character" w:styleId="25">
    <w:name w:val="page number"/>
    <w:basedOn w:val="24"/>
    <w:qFormat/>
    <w:uiPriority w:val="99"/>
  </w:style>
  <w:style w:type="character" w:styleId="26">
    <w:name w:val="FollowedHyperlink"/>
    <w:basedOn w:val="24"/>
    <w:unhideWhenUsed/>
    <w:qFormat/>
    <w:uiPriority w:val="99"/>
    <w:rPr>
      <w:color w:val="800080"/>
      <w:u w:val="single"/>
    </w:rPr>
  </w:style>
  <w:style w:type="character" w:styleId="27">
    <w:name w:val="Emphasis"/>
    <w:qFormat/>
    <w:uiPriority w:val="99"/>
    <w:rPr>
      <w:color w:val="CC0000"/>
    </w:rPr>
  </w:style>
  <w:style w:type="character" w:styleId="28">
    <w:name w:val="Hyperlink"/>
    <w:qFormat/>
    <w:uiPriority w:val="99"/>
    <w:rPr>
      <w:color w:val="0000FF"/>
      <w:u w:val="single"/>
    </w:rPr>
  </w:style>
  <w:style w:type="character" w:styleId="29">
    <w:name w:val="annotation reference"/>
    <w:basedOn w:val="24"/>
    <w:qFormat/>
    <w:uiPriority w:val="99"/>
    <w:rPr>
      <w:sz w:val="21"/>
      <w:szCs w:val="21"/>
    </w:rPr>
  </w:style>
  <w:style w:type="character" w:styleId="30">
    <w:name w:val="footnote reference"/>
    <w:basedOn w:val="24"/>
    <w:qFormat/>
    <w:uiPriority w:val="99"/>
    <w:rPr>
      <w:vertAlign w:val="superscript"/>
    </w:rPr>
  </w:style>
  <w:style w:type="character" w:customStyle="1" w:styleId="31">
    <w:name w:val="标题 1 Char"/>
    <w:basedOn w:val="24"/>
    <w:link w:val="2"/>
    <w:qFormat/>
    <w:uiPriority w:val="99"/>
    <w:rPr>
      <w:rFonts w:ascii="Times New Roman" w:hAnsi="Times New Roman" w:eastAsia="黑体" w:cs="Times New Roman"/>
      <w:b/>
      <w:bCs/>
      <w:color w:val="000000"/>
      <w:kern w:val="44"/>
      <w:sz w:val="36"/>
      <w:szCs w:val="44"/>
      <w:u w:color="000000"/>
    </w:rPr>
  </w:style>
  <w:style w:type="character" w:customStyle="1" w:styleId="32">
    <w:name w:val="标题 2 Char"/>
    <w:basedOn w:val="24"/>
    <w:link w:val="3"/>
    <w:qFormat/>
    <w:uiPriority w:val="99"/>
    <w:rPr>
      <w:rFonts w:ascii="Arial" w:hAnsi="Arial" w:eastAsia="黑体" w:cs="Times New Roman"/>
      <w:b/>
      <w:bCs/>
      <w:kern w:val="2"/>
      <w:sz w:val="32"/>
      <w:szCs w:val="32"/>
    </w:rPr>
  </w:style>
  <w:style w:type="character" w:customStyle="1" w:styleId="33">
    <w:name w:val="标题 3 Char"/>
    <w:basedOn w:val="24"/>
    <w:link w:val="4"/>
    <w:qFormat/>
    <w:uiPriority w:val="99"/>
    <w:rPr>
      <w:rFonts w:ascii="Times New Roman" w:hAnsi="Times New Roman" w:eastAsia="仿宋_GB2312" w:cs="Times New Roman"/>
      <w:b/>
      <w:bCs/>
      <w:sz w:val="30"/>
      <w:szCs w:val="32"/>
      <w:u w:color="000000"/>
    </w:rPr>
  </w:style>
  <w:style w:type="character" w:customStyle="1" w:styleId="34">
    <w:name w:val="标题 4 Char"/>
    <w:basedOn w:val="24"/>
    <w:link w:val="5"/>
    <w:qFormat/>
    <w:uiPriority w:val="0"/>
    <w:rPr>
      <w:rFonts w:asciiTheme="majorHAnsi" w:hAnsiTheme="majorHAnsi" w:eastAsiaTheme="majorEastAsia" w:cstheme="majorBidi"/>
      <w:b/>
      <w:bCs/>
      <w:kern w:val="2"/>
      <w:sz w:val="28"/>
      <w:szCs w:val="28"/>
    </w:rPr>
  </w:style>
  <w:style w:type="character" w:customStyle="1" w:styleId="35">
    <w:name w:val="标题 5 Char"/>
    <w:basedOn w:val="24"/>
    <w:link w:val="6"/>
    <w:qFormat/>
    <w:uiPriority w:val="0"/>
    <w:rPr>
      <w:rFonts w:ascii="Times New Roman" w:hAnsi="Times New Roman" w:eastAsia="宋体" w:cs="Times New Roman"/>
      <w:b/>
      <w:bCs/>
      <w:kern w:val="2"/>
      <w:sz w:val="28"/>
      <w:szCs w:val="28"/>
    </w:rPr>
  </w:style>
  <w:style w:type="character" w:customStyle="1" w:styleId="36">
    <w:name w:val="标题 6 Char"/>
    <w:basedOn w:val="24"/>
    <w:link w:val="7"/>
    <w:qFormat/>
    <w:uiPriority w:val="0"/>
    <w:rPr>
      <w:rFonts w:asciiTheme="majorHAnsi" w:hAnsiTheme="majorHAnsi" w:eastAsiaTheme="majorEastAsia" w:cstheme="majorBidi"/>
      <w:b/>
      <w:bCs/>
      <w:kern w:val="2"/>
      <w:sz w:val="24"/>
      <w:szCs w:val="24"/>
    </w:rPr>
  </w:style>
  <w:style w:type="character" w:customStyle="1" w:styleId="37">
    <w:name w:val="页眉 Char"/>
    <w:basedOn w:val="24"/>
    <w:link w:val="15"/>
    <w:qFormat/>
    <w:uiPriority w:val="99"/>
    <w:rPr>
      <w:rFonts w:ascii="Tahoma" w:hAnsi="Tahoma"/>
      <w:sz w:val="18"/>
      <w:szCs w:val="18"/>
    </w:rPr>
  </w:style>
  <w:style w:type="character" w:customStyle="1" w:styleId="38">
    <w:name w:val="页脚 Char"/>
    <w:basedOn w:val="24"/>
    <w:link w:val="14"/>
    <w:qFormat/>
    <w:uiPriority w:val="99"/>
    <w:rPr>
      <w:rFonts w:ascii="Tahoma" w:hAnsi="Tahoma"/>
      <w:sz w:val="18"/>
      <w:szCs w:val="18"/>
    </w:rPr>
  </w:style>
  <w:style w:type="paragraph" w:customStyle="1" w:styleId="39">
    <w:name w:val="标题1"/>
    <w:basedOn w:val="1"/>
    <w:qFormat/>
    <w:uiPriority w:val="0"/>
    <w:pPr>
      <w:widowControl w:val="0"/>
      <w:adjustRightInd/>
      <w:snapToGrid/>
      <w:spacing w:after="0"/>
      <w:ind w:firstLine="640" w:firstLineChars="200"/>
      <w:jc w:val="center"/>
    </w:pPr>
    <w:rPr>
      <w:rFonts w:ascii="Times New Roman" w:hAnsi="Times New Roman" w:eastAsia="黑体" w:cs="Times New Roman"/>
      <w:kern w:val="2"/>
      <w:sz w:val="32"/>
      <w:szCs w:val="21"/>
    </w:rPr>
  </w:style>
  <w:style w:type="paragraph" w:styleId="40">
    <w:name w:val="List Paragraph"/>
    <w:basedOn w:val="1"/>
    <w:qFormat/>
    <w:uiPriority w:val="99"/>
    <w:pPr>
      <w:ind w:firstLine="420" w:firstLineChars="200"/>
    </w:pPr>
  </w:style>
  <w:style w:type="character" w:customStyle="1" w:styleId="41">
    <w:name w:val="批注文字 Char"/>
    <w:basedOn w:val="24"/>
    <w:link w:val="9"/>
    <w:qFormat/>
    <w:uiPriority w:val="99"/>
    <w:rPr>
      <w:rFonts w:ascii="Tahoma" w:hAnsi="Tahoma"/>
    </w:rPr>
  </w:style>
  <w:style w:type="character" w:customStyle="1" w:styleId="42">
    <w:name w:val="批注主题 Char"/>
    <w:basedOn w:val="41"/>
    <w:link w:val="22"/>
    <w:qFormat/>
    <w:uiPriority w:val="99"/>
    <w:rPr>
      <w:rFonts w:ascii="Times New Roman" w:hAnsi="Times New Roman" w:eastAsia="宋体" w:cs="Times New Roman"/>
      <w:b/>
      <w:bCs/>
      <w:kern w:val="2"/>
      <w:sz w:val="21"/>
      <w:szCs w:val="24"/>
    </w:rPr>
  </w:style>
  <w:style w:type="character" w:customStyle="1" w:styleId="43">
    <w:name w:val="文档结构图 Char"/>
    <w:basedOn w:val="24"/>
    <w:link w:val="8"/>
    <w:semiHidden/>
    <w:qFormat/>
    <w:uiPriority w:val="99"/>
    <w:rPr>
      <w:rFonts w:ascii="Times New Roman" w:hAnsi="Times New Roman" w:eastAsia="宋体" w:cs="Times New Roman"/>
      <w:kern w:val="2"/>
      <w:sz w:val="21"/>
      <w:szCs w:val="24"/>
      <w:shd w:val="clear" w:color="auto" w:fill="000080"/>
    </w:rPr>
  </w:style>
  <w:style w:type="character" w:customStyle="1" w:styleId="44">
    <w:name w:val="正文文本 Char"/>
    <w:basedOn w:val="24"/>
    <w:link w:val="10"/>
    <w:qFormat/>
    <w:uiPriority w:val="99"/>
    <w:rPr>
      <w:rFonts w:ascii="Times New Roman" w:hAnsi="Times New Roman" w:eastAsia="宋体" w:cs="Times New Roman"/>
      <w:kern w:val="2"/>
      <w:sz w:val="21"/>
      <w:szCs w:val="24"/>
    </w:rPr>
  </w:style>
  <w:style w:type="character" w:customStyle="1" w:styleId="45">
    <w:name w:val="纯文本 Char"/>
    <w:basedOn w:val="24"/>
    <w:link w:val="12"/>
    <w:qFormat/>
    <w:uiPriority w:val="99"/>
    <w:rPr>
      <w:rFonts w:ascii="宋体" w:hAnsi="Times New Roman" w:eastAsia="宋体" w:cs="Times New Roman"/>
      <w:color w:val="000000"/>
      <w:sz w:val="21"/>
      <w:szCs w:val="20"/>
      <w:u w:color="000000"/>
    </w:rPr>
  </w:style>
  <w:style w:type="character" w:customStyle="1" w:styleId="46">
    <w:name w:val="批注框文本 Char"/>
    <w:basedOn w:val="24"/>
    <w:link w:val="13"/>
    <w:qFormat/>
    <w:uiPriority w:val="99"/>
    <w:rPr>
      <w:rFonts w:ascii="Times New Roman" w:hAnsi="Times New Roman" w:eastAsia="宋体" w:cs="Times New Roman"/>
      <w:kern w:val="2"/>
      <w:sz w:val="18"/>
      <w:szCs w:val="18"/>
    </w:rPr>
  </w:style>
  <w:style w:type="character" w:customStyle="1" w:styleId="47">
    <w:name w:val="脚注文本 Char"/>
    <w:basedOn w:val="24"/>
    <w:link w:val="17"/>
    <w:qFormat/>
    <w:uiPriority w:val="99"/>
    <w:rPr>
      <w:rFonts w:ascii="Times New Roman" w:hAnsi="Times New Roman" w:eastAsia="宋体" w:cs="Times New Roman"/>
      <w:kern w:val="2"/>
      <w:sz w:val="18"/>
      <w:szCs w:val="18"/>
    </w:rPr>
  </w:style>
  <w:style w:type="character" w:customStyle="1" w:styleId="48">
    <w:name w:val="HTML 预设格式 Char"/>
    <w:basedOn w:val="24"/>
    <w:link w:val="19"/>
    <w:qFormat/>
    <w:uiPriority w:val="0"/>
    <w:rPr>
      <w:rFonts w:ascii="宋体" w:hAnsi="宋体" w:eastAsia="宋体" w:cs="宋体"/>
      <w:sz w:val="24"/>
      <w:szCs w:val="24"/>
    </w:rPr>
  </w:style>
  <w:style w:type="paragraph" w:customStyle="1" w:styleId="49">
    <w:name w:val="xl69"/>
    <w:basedOn w:val="1"/>
    <w:qFormat/>
    <w:uiPriority w:val="99"/>
    <w:pPr>
      <w:pBdr>
        <w:top w:val="single" w:color="auto" w:sz="8" w:space="0"/>
        <w:left w:val="single" w:color="auto" w:sz="8" w:space="0"/>
        <w:right w:val="single" w:color="auto" w:sz="8" w:space="0"/>
      </w:pBdr>
      <w:adjustRightInd/>
      <w:snapToGrid/>
      <w:spacing w:before="100" w:beforeAutospacing="1" w:after="100" w:afterAutospacing="1"/>
      <w:jc w:val="center"/>
    </w:pPr>
    <w:rPr>
      <w:rFonts w:ascii="宋体" w:hAnsi="宋体" w:eastAsia="宋体" w:cs="宋体"/>
      <w:b/>
      <w:bCs/>
      <w:sz w:val="24"/>
      <w:szCs w:val="24"/>
    </w:rPr>
  </w:style>
  <w:style w:type="paragraph" w:customStyle="1" w:styleId="50">
    <w:name w:val="xl74"/>
    <w:basedOn w:val="1"/>
    <w:qFormat/>
    <w:uiPriority w:val="99"/>
    <w:pPr>
      <w:pBdr>
        <w:right w:val="single" w:color="auto" w:sz="8" w:space="0"/>
      </w:pBdr>
      <w:adjustRightInd/>
      <w:snapToGrid/>
      <w:spacing w:before="100" w:beforeAutospacing="1" w:after="100" w:afterAutospacing="1"/>
      <w:jc w:val="center"/>
    </w:pPr>
    <w:rPr>
      <w:rFonts w:ascii="宋体" w:hAnsi="宋体" w:eastAsia="宋体" w:cs="宋体"/>
    </w:rPr>
  </w:style>
  <w:style w:type="paragraph" w:customStyle="1" w:styleId="51">
    <w:name w:val="xl70"/>
    <w:basedOn w:val="1"/>
    <w:qFormat/>
    <w:uiPriority w:val="99"/>
    <w:pPr>
      <w:pBdr>
        <w:left w:val="single" w:color="auto" w:sz="8" w:space="0"/>
        <w:bottom w:val="single" w:color="auto" w:sz="8" w:space="0"/>
        <w:right w:val="single" w:color="auto" w:sz="8" w:space="0"/>
      </w:pBdr>
      <w:adjustRightInd/>
      <w:snapToGrid/>
      <w:spacing w:before="100" w:beforeAutospacing="1" w:after="100" w:afterAutospacing="1"/>
      <w:jc w:val="center"/>
    </w:pPr>
    <w:rPr>
      <w:rFonts w:ascii="宋体" w:hAnsi="宋体" w:eastAsia="宋体" w:cs="宋体"/>
      <w:b/>
      <w:bCs/>
      <w:sz w:val="24"/>
      <w:szCs w:val="24"/>
    </w:rPr>
  </w:style>
  <w:style w:type="paragraph" w:customStyle="1" w:styleId="52">
    <w:name w:val="font7"/>
    <w:basedOn w:val="1"/>
    <w:qFormat/>
    <w:uiPriority w:val="99"/>
    <w:pPr>
      <w:adjustRightInd/>
      <w:snapToGrid/>
      <w:spacing w:before="100" w:beforeAutospacing="1" w:after="100" w:afterAutospacing="1"/>
    </w:pPr>
    <w:rPr>
      <w:rFonts w:ascii="宋体" w:hAnsi="宋体" w:eastAsia="宋体" w:cs="宋体"/>
      <w:color w:val="000000"/>
      <w:sz w:val="24"/>
      <w:szCs w:val="24"/>
    </w:rPr>
  </w:style>
  <w:style w:type="paragraph" w:customStyle="1" w:styleId="53">
    <w:name w:val="xl72"/>
    <w:basedOn w:val="1"/>
    <w:qFormat/>
    <w:uiPriority w:val="99"/>
    <w:pPr>
      <w:pBdr>
        <w:bottom w:val="single" w:color="auto" w:sz="8" w:space="0"/>
        <w:right w:val="single" w:color="auto" w:sz="8" w:space="0"/>
      </w:pBdr>
      <w:adjustRightInd/>
      <w:snapToGrid/>
      <w:spacing w:before="100" w:beforeAutospacing="1" w:after="100" w:afterAutospacing="1"/>
      <w:jc w:val="center"/>
    </w:pPr>
    <w:rPr>
      <w:rFonts w:ascii="宋体" w:hAnsi="宋体" w:eastAsia="宋体" w:cs="宋体"/>
      <w:b/>
      <w:bCs/>
    </w:rPr>
  </w:style>
  <w:style w:type="paragraph" w:customStyle="1" w:styleId="54">
    <w:name w:val="xl67"/>
    <w:basedOn w:val="1"/>
    <w:qFormat/>
    <w:uiPriority w:val="99"/>
    <w:pPr>
      <w:pBdr>
        <w:bottom w:val="single" w:color="auto" w:sz="8" w:space="0"/>
        <w:right w:val="single" w:color="auto" w:sz="8" w:space="0"/>
      </w:pBdr>
      <w:adjustRightInd/>
      <w:snapToGrid/>
      <w:spacing w:before="100" w:beforeAutospacing="1" w:after="100" w:afterAutospacing="1"/>
      <w:jc w:val="center"/>
    </w:pPr>
    <w:rPr>
      <w:rFonts w:ascii="宋体" w:hAnsi="宋体" w:eastAsia="宋体" w:cs="宋体"/>
      <w:b/>
      <w:bCs/>
      <w:sz w:val="24"/>
      <w:szCs w:val="24"/>
    </w:rPr>
  </w:style>
  <w:style w:type="paragraph" w:customStyle="1" w:styleId="55">
    <w:name w:val="font5"/>
    <w:basedOn w:val="1"/>
    <w:qFormat/>
    <w:uiPriority w:val="99"/>
    <w:pPr>
      <w:adjustRightInd/>
      <w:snapToGrid/>
      <w:spacing w:before="100" w:beforeAutospacing="1" w:after="100" w:afterAutospacing="1"/>
    </w:pPr>
    <w:rPr>
      <w:rFonts w:ascii="宋体" w:hAnsi="宋体" w:eastAsia="宋体" w:cs="宋体"/>
      <w:b/>
      <w:bCs/>
      <w:color w:val="000000"/>
      <w:sz w:val="24"/>
      <w:szCs w:val="24"/>
    </w:rPr>
  </w:style>
  <w:style w:type="paragraph" w:customStyle="1" w:styleId="56">
    <w:name w:val="xl65"/>
    <w:basedOn w:val="1"/>
    <w:qFormat/>
    <w:uiPriority w:val="99"/>
    <w:pPr>
      <w:adjustRightInd/>
      <w:snapToGrid/>
      <w:spacing w:before="100" w:beforeAutospacing="1" w:after="100" w:afterAutospacing="1"/>
    </w:pPr>
    <w:rPr>
      <w:rFonts w:ascii="宋体" w:hAnsi="宋体" w:eastAsia="宋体" w:cs="宋体"/>
      <w:sz w:val="24"/>
      <w:szCs w:val="24"/>
    </w:rPr>
  </w:style>
  <w:style w:type="paragraph" w:customStyle="1" w:styleId="57">
    <w:name w:val="font6"/>
    <w:basedOn w:val="1"/>
    <w:qFormat/>
    <w:uiPriority w:val="99"/>
    <w:pPr>
      <w:adjustRightInd/>
      <w:snapToGrid/>
      <w:spacing w:before="100" w:beforeAutospacing="1" w:after="100" w:afterAutospacing="1"/>
    </w:pPr>
    <w:rPr>
      <w:rFonts w:ascii="宋体" w:hAnsi="宋体" w:eastAsia="宋体" w:cs="宋体"/>
      <w:color w:val="000000"/>
    </w:rPr>
  </w:style>
  <w:style w:type="paragraph" w:customStyle="1" w:styleId="58">
    <w:name w:val="xl75"/>
    <w:basedOn w:val="1"/>
    <w:qFormat/>
    <w:uiPriority w:val="99"/>
    <w:pPr>
      <w:pBdr>
        <w:bottom w:val="single" w:color="auto" w:sz="8" w:space="0"/>
        <w:right w:val="single" w:color="auto" w:sz="8" w:space="0"/>
      </w:pBdr>
      <w:adjustRightInd/>
      <w:snapToGrid/>
      <w:spacing w:before="100" w:beforeAutospacing="1" w:after="100" w:afterAutospacing="1"/>
      <w:jc w:val="center"/>
    </w:pPr>
    <w:rPr>
      <w:rFonts w:ascii="宋体" w:hAnsi="宋体" w:eastAsia="宋体" w:cs="宋体"/>
    </w:rPr>
  </w:style>
  <w:style w:type="paragraph" w:customStyle="1" w:styleId="59">
    <w:name w:val="Char Char Char Char Char Char1 Char"/>
    <w:basedOn w:val="1"/>
    <w:qFormat/>
    <w:uiPriority w:val="99"/>
    <w:pPr>
      <w:adjustRightInd/>
      <w:snapToGrid/>
      <w:spacing w:after="160" w:line="240" w:lineRule="exact"/>
    </w:pPr>
    <w:rPr>
      <w:rFonts w:ascii="Times New Roman" w:hAnsi="Times New Roman" w:eastAsia="宋体" w:cs="Times New Roman"/>
      <w:kern w:val="2"/>
      <w:sz w:val="21"/>
      <w:szCs w:val="24"/>
    </w:rPr>
  </w:style>
  <w:style w:type="paragraph" w:customStyle="1" w:styleId="60">
    <w:name w:val="xl68"/>
    <w:basedOn w:val="1"/>
    <w:qFormat/>
    <w:uiPriority w:val="99"/>
    <w:pPr>
      <w:pBdr>
        <w:bottom w:val="single" w:color="auto" w:sz="8" w:space="0"/>
        <w:right w:val="single" w:color="auto" w:sz="8" w:space="0"/>
      </w:pBdr>
      <w:adjustRightInd/>
      <w:snapToGrid/>
      <w:spacing w:before="100" w:beforeAutospacing="1" w:after="100" w:afterAutospacing="1"/>
      <w:jc w:val="center"/>
      <w:textAlignment w:val="top"/>
    </w:pPr>
    <w:rPr>
      <w:rFonts w:ascii="宋体" w:hAnsi="宋体" w:eastAsia="宋体" w:cs="宋体"/>
    </w:rPr>
  </w:style>
  <w:style w:type="paragraph" w:customStyle="1" w:styleId="61">
    <w:name w:val="xl66"/>
    <w:basedOn w:val="1"/>
    <w:qFormat/>
    <w:uiPriority w:val="99"/>
    <w:pPr>
      <w:pBdr>
        <w:top w:val="single" w:color="auto" w:sz="8" w:space="0"/>
        <w:bottom w:val="single" w:color="auto" w:sz="8" w:space="0"/>
        <w:right w:val="single" w:color="auto" w:sz="8" w:space="0"/>
      </w:pBdr>
      <w:adjustRightInd/>
      <w:snapToGrid/>
      <w:spacing w:before="100" w:beforeAutospacing="1" w:after="100" w:afterAutospacing="1"/>
      <w:jc w:val="center"/>
    </w:pPr>
    <w:rPr>
      <w:rFonts w:ascii="宋体" w:hAnsi="宋体" w:eastAsia="宋体" w:cs="宋体"/>
      <w:b/>
      <w:bCs/>
      <w:sz w:val="24"/>
      <w:szCs w:val="24"/>
    </w:rPr>
  </w:style>
  <w:style w:type="paragraph" w:customStyle="1" w:styleId="62">
    <w:name w:val="xl73"/>
    <w:basedOn w:val="1"/>
    <w:qFormat/>
    <w:uiPriority w:val="99"/>
    <w:pPr>
      <w:pBdr>
        <w:top w:val="single" w:color="auto" w:sz="8" w:space="0"/>
        <w:right w:val="single" w:color="auto" w:sz="8" w:space="0"/>
      </w:pBdr>
      <w:adjustRightInd/>
      <w:snapToGrid/>
      <w:spacing w:before="100" w:beforeAutospacing="1" w:after="100" w:afterAutospacing="1"/>
      <w:jc w:val="center"/>
    </w:pPr>
    <w:rPr>
      <w:rFonts w:ascii="宋体" w:hAnsi="宋体" w:eastAsia="宋体" w:cs="宋体"/>
      <w:b/>
      <w:bCs/>
      <w:sz w:val="24"/>
      <w:szCs w:val="24"/>
    </w:rPr>
  </w:style>
  <w:style w:type="paragraph" w:customStyle="1" w:styleId="63">
    <w:name w:val="xl71"/>
    <w:basedOn w:val="1"/>
    <w:qFormat/>
    <w:uiPriority w:val="99"/>
    <w:pPr>
      <w:pBdr>
        <w:right w:val="single" w:color="auto" w:sz="8" w:space="0"/>
      </w:pBdr>
      <w:adjustRightInd/>
      <w:snapToGrid/>
      <w:spacing w:before="100" w:beforeAutospacing="1" w:after="100" w:afterAutospacing="1"/>
      <w:jc w:val="center"/>
    </w:pPr>
    <w:rPr>
      <w:rFonts w:ascii="宋体" w:hAnsi="宋体" w:eastAsia="宋体" w:cs="宋体"/>
      <w:b/>
      <w:bCs/>
    </w:rPr>
  </w:style>
  <w:style w:type="paragraph" w:customStyle="1" w:styleId="64">
    <w:name w:val="样式 标题 2 + 行距: 固定值 30 磅"/>
    <w:basedOn w:val="3"/>
    <w:qFormat/>
    <w:uiPriority w:val="99"/>
    <w:pPr>
      <w:widowControl/>
      <w:spacing w:line="600" w:lineRule="exact"/>
      <w:jc w:val="left"/>
      <w:textAlignment w:val="baseline"/>
    </w:pPr>
    <w:rPr>
      <w:rFonts w:eastAsia="楷体_GB2312" w:cs="宋体"/>
      <w:color w:val="000000"/>
      <w:kern w:val="0"/>
      <w:szCs w:val="20"/>
      <w:u w:color="000000"/>
    </w:rPr>
  </w:style>
  <w:style w:type="paragraph" w:customStyle="1" w:styleId="65">
    <w:name w:val="列出段落1"/>
    <w:basedOn w:val="1"/>
    <w:qFormat/>
    <w:uiPriority w:val="99"/>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customStyle="1" w:styleId="66">
    <w:name w:val="Char Char"/>
    <w:basedOn w:val="1"/>
    <w:qFormat/>
    <w:uiPriority w:val="0"/>
    <w:pPr>
      <w:widowControl w:val="0"/>
      <w:adjustRightInd/>
      <w:snapToGrid/>
      <w:spacing w:after="0"/>
      <w:jc w:val="both"/>
    </w:pPr>
    <w:rPr>
      <w:rFonts w:ascii="Times New Roman" w:hAnsi="Times New Roman" w:eastAsia="宋体" w:cs="Times New Roman"/>
      <w:kern w:val="2"/>
      <w:sz w:val="21"/>
      <w:szCs w:val="24"/>
    </w:rPr>
  </w:style>
  <w:style w:type="paragraph" w:customStyle="1" w:styleId="67">
    <w:name w:val="Char"/>
    <w:basedOn w:val="1"/>
    <w:qFormat/>
    <w:uiPriority w:val="99"/>
    <w:pPr>
      <w:adjustRightInd/>
      <w:snapToGrid/>
      <w:spacing w:after="160" w:line="240" w:lineRule="exact"/>
    </w:pPr>
    <w:rPr>
      <w:rFonts w:ascii="Calibri" w:hAnsi="Calibri" w:eastAsia="宋体" w:cs="Times New Roman"/>
      <w:kern w:val="2"/>
      <w:sz w:val="21"/>
    </w:rPr>
  </w:style>
  <w:style w:type="paragraph" w:customStyle="1" w:styleId="68">
    <w:name w:val="p"/>
    <w:basedOn w:val="1"/>
    <w:qFormat/>
    <w:uiPriority w:val="99"/>
    <w:pPr>
      <w:adjustRightInd/>
      <w:snapToGrid/>
      <w:spacing w:before="100" w:beforeAutospacing="1" w:after="100" w:afterAutospacing="1"/>
    </w:pPr>
    <w:rPr>
      <w:rFonts w:ascii="宋体" w:hAnsi="宋体" w:eastAsia="宋体" w:cs="宋体"/>
      <w:sz w:val="24"/>
      <w:szCs w:val="24"/>
    </w:rPr>
  </w:style>
  <w:style w:type="paragraph" w:customStyle="1" w:styleId="69">
    <w:name w:val="默认段落字体 Para Char Char Char Char"/>
    <w:basedOn w:val="1"/>
    <w:qFormat/>
    <w:uiPriority w:val="99"/>
    <w:pPr>
      <w:widowControl w:val="0"/>
      <w:adjustRightInd/>
      <w:snapToGrid/>
      <w:spacing w:after="0"/>
      <w:jc w:val="both"/>
    </w:pPr>
    <w:rPr>
      <w:rFonts w:ascii="Times New Roman" w:hAnsi="Times New Roman" w:eastAsia="宋体" w:cs="Times New Roman"/>
      <w:sz w:val="21"/>
      <w:szCs w:val="20"/>
      <w:lang w:eastAsia="en-US"/>
    </w:rPr>
  </w:style>
  <w:style w:type="character" w:customStyle="1" w:styleId="70">
    <w:name w:val="标题 Char"/>
    <w:basedOn w:val="24"/>
    <w:link w:val="21"/>
    <w:qFormat/>
    <w:uiPriority w:val="0"/>
    <w:rPr>
      <w:rFonts w:eastAsia="宋体" w:asciiTheme="majorHAnsi" w:hAnsiTheme="majorHAnsi" w:cstheme="majorBidi"/>
      <w:b/>
      <w:bCs/>
      <w:kern w:val="2"/>
      <w:sz w:val="32"/>
      <w:szCs w:val="32"/>
    </w:rPr>
  </w:style>
  <w:style w:type="paragraph" w:customStyle="1" w:styleId="71">
    <w:name w:val="TOC 标题1"/>
    <w:basedOn w:val="2"/>
    <w:next w:val="1"/>
    <w:unhideWhenUsed/>
    <w:qFormat/>
    <w:uiPriority w:val="39"/>
    <w:pPr>
      <w:spacing w:before="480" w:after="0" w:line="276" w:lineRule="auto"/>
      <w:jc w:val="left"/>
      <w:textAlignment w:val="auto"/>
      <w:outlineLvl w:val="9"/>
    </w:pPr>
    <w:rPr>
      <w:rFonts w:asciiTheme="majorHAnsi" w:hAnsiTheme="majorHAnsi" w:eastAsiaTheme="majorEastAsia" w:cstheme="majorBidi"/>
      <w:color w:val="366091" w:themeColor="accent1" w:themeShade="BF"/>
      <w:kern w:val="0"/>
      <w:sz w:val="28"/>
      <w:szCs w:val="28"/>
    </w:rPr>
  </w:style>
  <w:style w:type="character" w:customStyle="1" w:styleId="72">
    <w:name w:val="font01"/>
    <w:basedOn w:val="24"/>
    <w:qFormat/>
    <w:uiPriority w:val="0"/>
    <w:rPr>
      <w:rFonts w:hint="eastAsia" w:ascii="宋体" w:hAnsi="宋体" w:eastAsia="宋体" w:cs="宋体"/>
      <w:b/>
      <w:color w:val="000000"/>
      <w:sz w:val="32"/>
      <w:szCs w:val="32"/>
      <w:u w:val="none"/>
    </w:rPr>
  </w:style>
  <w:style w:type="character" w:customStyle="1" w:styleId="73">
    <w:name w:val="font21"/>
    <w:basedOn w:val="24"/>
    <w:qFormat/>
    <w:uiPriority w:val="0"/>
    <w:rPr>
      <w:rFonts w:hint="default" w:ascii="Times New Roman" w:hAnsi="Times New Roman" w:cs="Times New Roman"/>
      <w:b/>
      <w:color w:val="000000"/>
      <w:sz w:val="32"/>
      <w:szCs w:val="3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5D98E-CC8C-4A9D-ABF7-19ADC223D45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2438</Words>
  <Characters>13900</Characters>
  <Lines>115</Lines>
  <Paragraphs>32</Paragraphs>
  <TotalTime>2668</TotalTime>
  <ScaleCrop>false</ScaleCrop>
  <LinksUpToDate>false</LinksUpToDate>
  <CharactersWithSpaces>16306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2019-11-18T06:52:00Z</dcterms:created>
  <dc:creator>Administrator</dc:creator>
  <cp:lastModifiedBy>Administrator</cp:lastModifiedBy>
  <cp:lastPrinted>2021-12-21T06:29:00Z</cp:lastPrinted>
  <dcterms:modified xsi:type="dcterms:W3CDTF">2025-03-14T06:22:42Z</dcterms:modified>
  <cp:revision>245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347EE358BFC84ACCA091E41B5C4CD26E</vt:lpwstr>
  </property>
</Properties>
</file>