
<file path=[Content_Types].xml><?xml version="1.0" encoding="utf-8"?>
<Types xmlns="http://schemas.openxmlformats.org/package/2006/content-types">
  <Default Extension="xml" ContentType="application/xml"/>
  <Default Extension="bmp" ContentType="image/bmp"/>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r>
        <mc:AlternateContent>
          <mc:Choice Requires="wpg">
            <w:drawing>
              <wp:anchor distT="0" distB="0" distL="114300" distR="114300" simplePos="0" relativeHeight="251659264" behindDoc="1" locked="0" layoutInCell="1" allowOverlap="1">
                <wp:simplePos x="0" y="0"/>
                <wp:positionH relativeFrom="column">
                  <wp:posOffset>-31750</wp:posOffset>
                </wp:positionH>
                <wp:positionV relativeFrom="paragraph">
                  <wp:posOffset>0</wp:posOffset>
                </wp:positionV>
                <wp:extent cx="7623175" cy="2670175"/>
                <wp:effectExtent l="0" t="0" r="0" b="0"/>
                <wp:wrapNone/>
                <wp:docPr id="3" name="组合 16"/>
                <wp:cNvGraphicFramePr/>
                <a:graphic xmlns:a="http://schemas.openxmlformats.org/drawingml/2006/main">
                  <a:graphicData uri="http://schemas.microsoft.com/office/word/2010/wordprocessingGroup">
                    <wpg:wgp>
                      <wpg:cNvGrpSpPr/>
                      <wpg:grpSpPr>
                        <a:xfrm>
                          <a:off x="0" y="0"/>
                          <a:ext cx="7623175" cy="2670175"/>
                          <a:chOff x="13622" y="283"/>
                          <a:chExt cx="12005" cy="4205139"/>
                        </a:xfrm>
                      </wpg:grpSpPr>
                      <wps:wsp>
                        <wps:cNvPr id="1" name="矩形 5"/>
                        <wps:cNvSpPr/>
                        <wps:spPr>
                          <a:xfrm>
                            <a:off x="13622" y="283"/>
                            <a:ext cx="12005" cy="6170"/>
                          </a:xfrm>
                          <a:prstGeom prst="rect">
                            <a:avLst/>
                          </a:prstGeom>
                          <a:solidFill>
                            <a:srgbClr val="FDBC11"/>
                          </a:solidFill>
                          <a:ln w="12700">
                            <a:noFill/>
                          </a:ln>
                        </wps:spPr>
                        <wps:bodyPr anchor="ctr" anchorCtr="0" upright="1"/>
                      </wps:wsp>
                      <wps:wsp>
                        <wps:cNvPr id="2" name="文本框 18"/>
                        <wps:cNvSpPr txBox="1"/>
                        <wps:spPr>
                          <a:xfrm>
                            <a:off x="17229" y="3022383"/>
                            <a:ext cx="8083" cy="1183039"/>
                          </a:xfrm>
                          <a:prstGeom prst="rect">
                            <a:avLst/>
                          </a:prstGeom>
                          <a:noFill/>
                          <a:ln>
                            <a:noFill/>
                          </a:ln>
                        </wps:spPr>
                        <wps:txbx>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wps:txbx>
                        <wps:bodyPr upright="1">
                          <a:noAutofit/>
                        </wps:bodyPr>
                      </wps:wsp>
                    </wpg:wgp>
                  </a:graphicData>
                </a:graphic>
              </wp:anchor>
            </w:drawing>
          </mc:Choice>
          <mc:Fallback>
            <w:pict>
              <v:group id="组合 16" o:spid="_x0000_s1026" o:spt="203" style="position:absolute;left:0pt;margin-left:-2.5pt;margin-top:0pt;height:210.25pt;width:600.25pt;z-index:-251657216;mso-width-relative:page;mso-height-relative:page;" coordorigin="13622,283" coordsize="12005,4205139" o:gfxdata="UEsDBAoAAAAAAIdO4kAAAAAAAAAAAAAAAAAEAAAAZHJzL1BLAwQUAAAACACHTuJAYOjDC9kAAAAI&#10;AQAADwAAAGRycy9kb3ducmV2LnhtbE2PQUvDQBCF74L/YRnBW7u71YjGTIoU9VQEW0G8TbPTJDS7&#10;G7LbpP33bk96eTC84b3vFcuT7cTIQ2i9Q9BzBYJd5U3raoSv7dvsEUSI5Ax13jHCmQMsy+urgnLj&#10;J/fJ4ybWIoW4kBNCE2OfSxmqhi2Fue/ZJW/vB0sxnUMtzUBTCredXCj1IC21LjU01POq4eqwOVqE&#10;94mmlzv9Oq4P+9X5Z5t9fK81I97eaPUMIvIp/j3DBT+hQ5mYdv7oTBAdwixLUyJC0ourn7IMxA7h&#10;fqEykGUh/w8ofwFQSwMEFAAAAAgAh07iQCsZgjGlAgAATwYAAA4AAABkcnMvZTJvRG9jLnhtbL1V&#10;TW7UMBTeI3EHy3uaOKEz06iZinZoNwgqFQ7gcZwfKYkt2zOZ7hGwZMUKCcEOiRsgjtPhGjw7TlqG&#10;IhWQ2GTs5+f3/P3Yc3i0aWq05kpXok0x2Qsx4i0TWdUWKX7x/PTBDCNtaJvRWrQ8xZdc46P5/XuH&#10;nUx4JEpRZ1whKNLqpJMpLo2RSRBoVvKG6j0heQuLuVANNTBVRZAp2kH1pg6iMJwEnVCZVIJxrSG6&#10;6Bexr6juUlDkecX4QrBVw1vTV1W8pgYg6bKSGs/dafOcM/MszzU3qE4xIDXuC01gvLTfYH5Ik0JR&#10;WVbMH4He5Qg7mBpatdB0LLWghqKVqn4p1VRMCS1ys8dEE/RAHCOAgoQ73JwpsZIOS5F0hRxJB6F2&#10;WP/rsuzp+lyhKktxjFFLGxD8+9eXV2/fIDKx5HSySCDnTMkLea58oOhnFu8mV439BSRo42i9HGnl&#10;G4MYBKeTKCbTfYwYrEWTaWgnjnhWgjp2H4knUYSRXZ/Fw9pjv5+Abfzuh1G4T+IDmxEMzQN7xvFI&#10;nQRb6muu9L9xdVFSyZ0E2vLguSIjVx8+X337hBwc2xlSRp50ooGyW0i6BexA1Q2oEzJ19hxx0kQq&#10;bc64aJAdpFiBu53p6PqJNj0lQ4ptq0VdZadVXbuJKpYntUJrCjfhdHF8Qohn8ae0ukUdyBFNw9CV&#10;boUt0NeuW2Ddouxx2dFSZJfACW1ZKeBWMaOwn5yY/patpKqKEk7bt/PyWGP9B53AUr2nt+9eb99/&#10;2X58hcjMwrbdvVbIbI6FteAQ/51q0yg6cBaNwyiKB5sOys1CiDiHEzKLwx2P/rF2I+80sbTTZAyA&#10;H24RwmyWG4/La3KD+H7/o5UReeV8ci2dVxRujBu5d8bdLf8m2ofs5txlXf8PzH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YOjDC9kAAAAIAQAADwAAAAAAAAABACAAAAAiAAAAZHJzL2Rvd25yZXYu&#10;eG1sUEsBAhQAFAAAAAgAh07iQCsZgjGlAgAATwYAAA4AAAAAAAAAAQAgAAAAKAEAAGRycy9lMm9E&#10;b2MueG1sUEsFBgAAAAAGAAYAWQEAAD8GAAAAAA==&#10;">
                <o:lock v:ext="edit" aspectratio="f"/>
                <v:rect id="矩形 5" o:spid="_x0000_s1026" o:spt="1" style="position:absolute;left:13622;top:283;height:6170;width:12005;v-text-anchor:middle;" fillcolor="#FDBC11" filled="t" stroked="f" coordsize="21600,21600" o:gfxdata="UEsDBAoAAAAAAIdO4kAAAAAAAAAAAAAAAAAEAAAAZHJzL1BLAwQUAAAACACHTuJA2TZxLrkAAADa&#10;AAAADwAAAGRycy9kb3ducmV2LnhtbEVP22oCMRB9F/oPYQp900ShYlejYMUi2IJu/YBxM+4u3Uy2&#10;Sbz9vREEn4bDuc5kdrGNOJEPtWMN/Z4CQVw4U3OpYfe77I5AhIhssHFMGq4UYDZ96UwwM+7MWzrl&#10;sRQphEOGGqoY20zKUFRkMfRcS5y4g/MWY4K+lMbjOYXbRg6UGkqLNaeGClv6rKj4y49Wg3/PbVT/&#10;85+PZU3F/Ot7vRkt9lq/vfbVGESkS3yKH+6VSfPh/sr9yuk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k2cS65AAAA2gAA&#10;AA8AAAAAAAAAAQAgAAAAIgAAAGRycy9kb3ducmV2LnhtbFBLAQIUABQAAAAIAIdO4kAzLwWeOwAA&#10;ADkAAAAQAAAAAAAAAAEAIAAAAAgBAABkcnMvc2hhcGV4bWwueG1sUEsFBgAAAAAGAAYAWwEAALID&#10;AAAAAA==&#10;">
                  <v:fill on="t" focussize="0,0"/>
                  <v:stroke on="f" weight="1pt"/>
                  <v:imagedata o:title=""/>
                  <o:lock v:ext="edit" aspectratio="f"/>
                </v:rect>
                <v:shape id="文本框 18" o:spid="_x0000_s1026" o:spt="202" type="#_x0000_t202" style="position:absolute;left:17229;top:3022383;height:1183039;width:8083;" filled="f" stroked="f" coordsize="21600,21600" o:gfxdata="UEsDBAoAAAAAAIdO4kAAAAAAAAAAAAAAAAAEAAAAZHJzL1BLAwQUAAAACACHTuJAc7hne7wAAADa&#10;AAAADwAAAGRycy9kb3ducmV2LnhtbEWPQWvCQBSE70L/w/IKvZndSCs1uvFQEXqqmLaCt0f2mYRm&#10;34bsNkn/vVsQPA4z8w2z2U62FQP1vnGsIU0UCOLSmYYrDV+f+/krCB+QDbaOScMfedjmD7MNZsaN&#10;fKShCJWIEPYZaqhD6DIpfVmTRZ+4jjh6F9dbDFH2lTQ9jhFuW7lQaiktNhwXauzorabyp/i1Gr4/&#10;LufTszpUO/vSjW5Sku1Kav30mKo1iEBTuIdv7XejYQH/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4Z3u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1349375</wp:posOffset>
                </wp:positionH>
                <wp:positionV relativeFrom="paragraph">
                  <wp:posOffset>8808085</wp:posOffset>
                </wp:positionV>
                <wp:extent cx="5132705" cy="101536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132705" cy="1015365"/>
                        </a:xfrm>
                        <a:prstGeom prst="rect">
                          <a:avLst/>
                        </a:prstGeom>
                        <a:noFill/>
                        <a:ln>
                          <a:noFill/>
                        </a:ln>
                      </wps:spPr>
                      <wps:txbx>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wps:txbx>
                      <wps:bodyPr upright="1">
                        <a:spAutoFit/>
                      </wps:bodyPr>
                    </wps:wsp>
                  </a:graphicData>
                </a:graphic>
              </wp:anchor>
            </w:drawing>
          </mc:Choice>
          <mc:Fallback>
            <w:pict>
              <v:shape id="_x0000_s1026" o:spid="_x0000_s1026" o:spt="202" type="#_x0000_t202" style="position:absolute;left:0pt;margin-left:106.25pt;margin-top:693.55pt;height:79.95pt;width:404.15pt;z-index:251664384;mso-width-relative:page;mso-height-relative:page;" filled="f" stroked="f" coordsize="21600,21600" o:gfxdata="UEsDBAoAAAAAAIdO4kAAAAAAAAAAAAAAAAAEAAAAZHJzL1BLAwQUAAAACACHTuJAovZZLNkAAAAO&#10;AQAADwAAAGRycy9kb3ducmV2LnhtbE2PzU7DMBCE70i8g7VI3KidQGgV4lSIH4kDF0q4b2MTR8Tr&#10;KHab9O3ZnuC2o/k0O1NtFz+Io51iH0hDtlIgLLXB9NRpaD5fbzYgYkIyOASyGk42wra+vKiwNGGm&#10;D3vcpU5wCMUSNbiUxlLK2DrrMa7CaIm97zB5TCynTpoJZw73g8yVupcee+IPDkf75Gz7szt4DSmZ&#10;x+zUvPj49rW8P89OtQU2Wl9fZeoBRLJL+oPhXJ+rQ82d9uFAJopBQ57lBaNs3G7WGYgzonLFc/Z8&#10;FXdrBbKu5P8Z9S9QSwMEFAAAAAgAh07iQGOMTn65AQAAawMAAA4AAABkcnMvZTJvRG9jLnhtbK1T&#10;zY7TMBC+I/EOlu/USVddUNR0BaqWCwKkZR/AdezGkv/kcZv0BeANOHHhznP1ORg72S4slz1wceyZ&#10;z9/M942zvhmtIUcZQXvX0npRUSKd8J12+5bef7l99YYSSNx13HgnW3qSQG82L1+sh9DIpe+96WQk&#10;SOKgGUJL+5RCwxiIXloOCx+kw6Ty0fKEx7hnXeQDslvDllV1zQYfuxC9kAAY3U5JOjPG5xB6pbSQ&#10;Wy8OVro0sUZpeEJJ0OsAdFO6VUqK9EkpkImYlqLSVFYsgvtdXtlmzZt95KHXYm6BP6eFJ5os1w6L&#10;Xqi2PHFyiPofKqtF9OBVWghv2SSkOIIq6uqJN3c9D7JoQashXEyH/0crPh4/R6I7fAloieMWJ37+&#10;/u3849f551eCMTRoCNAg7i4gMo3v/IjghzhgMOseVbT5i4oI5pHrdLFXjokIDK7qq+XrakWJwFxd&#10;1aur61XmYY/XQ4T0XnpL8qalEedXbOXHD5Am6AMkV3P+VhtTZmjcXwHkzBGWe596zLs07sZZ0M53&#10;J9RzCFHveyxVlzoQ3h4SkpZa+cYEm4lwBqXb+b3kIf95LqjHf2Tz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L2WSzZAAAADgEAAA8AAAAAAAAAAQAgAAAAIgAAAGRycy9kb3ducmV2LnhtbFBLAQIU&#10;ABQAAAAIAIdO4kBjjE5+uQEAAGsDAAAOAAAAAAAAAAEAIAAAACgBAABkcnMvZTJvRG9jLnhtbFBL&#10;BQYAAAAABgAGAFkBAABTBQAAAAA=&#10;">
                <v:fill on="f" focussize="0,0"/>
                <v:stroke on="f"/>
                <v:imagedata o:title=""/>
                <o:lock v:ext="edit" aspectratio="f"/>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679450</wp:posOffset>
                </wp:positionH>
                <wp:positionV relativeFrom="paragraph">
                  <wp:posOffset>2952115</wp:posOffset>
                </wp:positionV>
                <wp:extent cx="1548765" cy="1548765"/>
                <wp:effectExtent l="0" t="0" r="13335" b="13335"/>
                <wp:wrapNone/>
                <wp:docPr id="5" name="椭圆 8"/>
                <wp:cNvGraphicFramePr/>
                <a:graphic xmlns:a="http://schemas.openxmlformats.org/drawingml/2006/main">
                  <a:graphicData uri="http://schemas.microsoft.com/office/word/2010/wordprocessingShape">
                    <wps:wsp>
                      <wps:cNvSpPr/>
                      <wps:spPr>
                        <a:xfrm>
                          <a:off x="0" y="0"/>
                          <a:ext cx="1548765" cy="1548765"/>
                        </a:xfrm>
                        <a:prstGeom prst="ellipse">
                          <a:avLst/>
                        </a:prstGeom>
                        <a:solidFill>
                          <a:srgbClr val="FFFFFF"/>
                        </a:solidFill>
                        <a:ln w="12700">
                          <a:noFill/>
                        </a:ln>
                      </wps:spPr>
                      <wps:txbx>
                        <w:txbxContent>
                          <w:p/>
                        </w:txbxContent>
                      </wps:txbx>
                      <wps:bodyPr anchor="ctr" anchorCtr="0" upright="1"/>
                    </wps:wsp>
                  </a:graphicData>
                </a:graphic>
              </wp:anchor>
            </w:drawing>
          </mc:Choice>
          <mc:Fallback>
            <w:pict>
              <v:shape id="椭圆 8" o:spid="_x0000_s1026" o:spt="3" type="#_x0000_t3" style="position:absolute;left:0pt;margin-left:53.5pt;margin-top:232.45pt;height:121.95pt;width:121.95pt;z-index:251661312;v-text-anchor:middle;mso-width-relative:page;mso-height-relative:page;" fillcolor="#FFFFFF" filled="t" stroked="f" coordsize="21600,21600" o:gfxdata="UEsDBAoAAAAAAIdO4kAAAAAAAAAAAAAAAAAEAAAAZHJzL1BLAwQUAAAACACHTuJAUesZGNoAAAAL&#10;AQAADwAAAGRycy9kb3ducmV2LnhtbE2PwU7DMBBE70j8g7VI3KjdUtI0xKkQEhfEpYED3LaxGwdi&#10;O8ROk+brWU5w29GOZt7ku8m27KT70HgnYbkQwLSrvGpcLeHt9ekmBRYiOoWtd1rCWQfYFZcXOWbK&#10;j26vT2WsGYW4kKEEE2OXcR4qoy2Ghe+0o9/R9xYjyb7mqseRwm3LV0Ik3GLjqMFgpx+Nrr7KwUrA&#10;ef58f/54KL05v4zDajLfc7KX8vpqKe6BRT3FPzP84hM6FMR08INTgbWkxYa2RAnrZL0FRo7bO0HH&#10;QcJGpCnwIuf/NxQ/UEsDBBQAAAAIAIdO4kAQYOg8zAEAAJMDAAAOAAAAZHJzL2Uyb0RvYy54bWyt&#10;U81u2zAMvg/YOwi6L3aCtQ2MOD00yC7DVqDbAyiybAvQH0gldl5gT7Hjrnus7TlGyW7adZce5oNN&#10;itRHfh/pze1oDTspQO1dzZeLkjPlpG+062r+9cv+3ZozjMI1wninan5WyG+3b99shlCple+9aRQw&#10;AnFYDaHmfYyhKgqUvbICFz4oR8HWgxWRXOiKBsRA6NYUq7K8LgYPTQAvFSKd7qYgnxHhNYC+bbVU&#10;Oy+PVrk4oYIyIhIl7HVAvs3dtq2S8XPboorM1JyYxvymImQf0rvYbkTVgQi9lnML4jUtvOBkhXZU&#10;9AK1E1GwI+h/oKyW4NG3cSG9LSYiWRFisSxfaPPQi6AyF5Iaw0V0/H+w8tPpHphuan7FmROWBv77&#10;x89f37+xddJmCFhRykO4h9lDMhPRsQWbvkSBjVnP80VPNUYm6XB59X59c03AkmKPDuEUT9cDYPyg&#10;vGXJqLkyhsaXOItKnD5inLIfs9IxeqObvTYmO9Ad7gywk6D57vOT2qYCf6UZxwbqYHVTlhna+QQw&#10;JRpH+YnnxCxZcTyMFEzmwTdnEkg42XtaGxmBz85dnNboGEB3PfW+zJXTJZpV7mHeq7QMz/1c7+lf&#10;2v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esZGNoAAAALAQAADwAAAAAAAAABACAAAAAiAAAA&#10;ZHJzL2Rvd25yZXYueG1sUEsBAhQAFAAAAAgAh07iQBBg6DzMAQAAkwMAAA4AAAAAAAAAAQAgAAAA&#10;KQEAAGRycy9lMm9Eb2MueG1sUEsFBgAAAAAGAAYAWQEAAGcFAAAAAA==&#10;">
                <v:fill on="t" focussize="0,0"/>
                <v:stroke on="f" weight="1pt"/>
                <v:imagedata o:title=""/>
                <o:lock v:ext="edit" aspectratio="f"/>
                <v:textbox>
                  <w:txbxContent>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426720</wp:posOffset>
                </wp:positionH>
                <wp:positionV relativeFrom="paragraph">
                  <wp:posOffset>3260725</wp:posOffset>
                </wp:positionV>
                <wp:extent cx="2040255" cy="883920"/>
                <wp:effectExtent l="0" t="0" r="0" b="0"/>
                <wp:wrapNone/>
                <wp:docPr id="12" name="矩形 14"/>
                <wp:cNvGraphicFramePr/>
                <a:graphic xmlns:a="http://schemas.openxmlformats.org/drawingml/2006/main">
                  <a:graphicData uri="http://schemas.microsoft.com/office/word/2010/wordprocessingShape">
                    <wps:wsp>
                      <wps:cNvSpPr/>
                      <wps:spPr>
                        <a:xfrm>
                          <a:off x="0" y="0"/>
                          <a:ext cx="2040255" cy="883920"/>
                        </a:xfrm>
                        <a:prstGeom prst="rect">
                          <a:avLst/>
                        </a:prstGeom>
                        <a:noFill/>
                        <a:ln>
                          <a:noFill/>
                        </a:ln>
                      </wps:spPr>
                      <wps:txbx>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wps:txbx>
                      <wps:bodyPr upright="1">
                        <a:spAutoFit/>
                      </wps:bodyPr>
                    </wps:wsp>
                  </a:graphicData>
                </a:graphic>
              </wp:anchor>
            </w:drawing>
          </mc:Choice>
          <mc:Fallback>
            <w:pict>
              <v:rect id="矩形 14" o:spid="_x0000_s1026" o:spt="1" style="position:absolute;left:0pt;margin-left:33.6pt;margin-top:256.75pt;height:69.6pt;width:160.65pt;z-index:251666432;mso-width-relative:page;mso-height-relative:page;" filled="f" stroked="f" coordsize="21600,21600" o:gfxdata="UEsDBAoAAAAAAIdO4kAAAAAAAAAAAAAAAAAEAAAAZHJzL1BLAwQUAAAACACHTuJAalWpudkAAAAK&#10;AQAADwAAAGRycy9kb3ducmV2LnhtbE2Py07DMBBF90j8gzVIbBC1k5IHIU4XBaTSHaEf4MQmCY3H&#10;Uew++PtOV7Cb0T26c6Zcne3Ijmb2g0MJ0UIAM9g6PWAnYff1/pgD80GhVqNDI+HXeFhVtzelKrQ7&#10;4ac51qFjVIK+UBL6EKaCc9/2xiq/cJNByr7dbFWgde64ntWJyu3IYyFSbtWAdKFXk1n3pt3XByvh&#10;Y/u03a03/Gf/PLw+bLJa8CZ9k/L+LhIvwII5hz8YrvqkDhU5Ne6A2rNRQprFREpIomUCjIBlntPQ&#10;UJLEGfCq5P9fqC5QSwMEFAAAAAgAh07iQATsUoSwAQAAXQMAAA4AAABkcnMvZTJvRG9jLnhtbK1T&#10;S27bMBDdF+gdCO5rympSOILloICRbII2QJoD0BRpEeAPHNqST1Ogux6ixyl6jQ4pxWnTTRbdUMPh&#10;8M17b6j19WgNOcoI2ruWLhcVJdIJ32m3b+njl5t3K0ogcddx451s6UkCvd68fbMeQiNr33vTyUgQ&#10;xEEzhJb2KYWGMRC9tBwWPkiHh8pHyxNu4551kQ+Ibg2rq+oDG3zsQvRCAmB2Ox3SGTG+BtArpYXc&#10;enGw0qUJNUrDE0qCXgegm8JWKSnSZ6VAJmJaikpTWbEJxru8ss2aN/vIQ6/FTIG/hsILTZZrh03P&#10;UFueODlE/Q+U1SJ68CothLdsElIcQRXL6oU3Dz0PsmhBqyGcTYf/Bys+He8j0R2+hJoSxy1O/NfX&#10;7z9/fCPLi+zOEKDBoodwH+cdYJiljira/EURZCyOns6OyjERgcm6uqjqy0tKBJ6tVu+v6mI5e74d&#10;IqRb6S3JQUsjTqwYyY93kLAjlj6V5GbO32hjytSM+yuBhTnDMuGJYo7SuBtn3jvfnVDrIUS977HV&#10;svSB8PGQELT0yjemshkIXS8U5heSx/rnvlQ9/xW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GpV&#10;qbnZAAAACgEAAA8AAAAAAAAAAQAgAAAAIgAAAGRycy9kb3ducmV2LnhtbFBLAQIUABQAAAAIAIdO&#10;4kAE7FKEsAEAAF0DAAAOAAAAAAAAAAEAIAAAACgBAABkcnMvZTJvRG9jLnhtbFBLBQYAAAAABgAG&#10;AFkBAABKBQAAAAA=&#10;">
                <v:fill on="f" focussize="0,0"/>
                <v:stroke on="f"/>
                <v:imagedata o:title=""/>
                <o:lock v:ext="edit" aspectratio="f"/>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789940</wp:posOffset>
                </wp:positionH>
                <wp:positionV relativeFrom="paragraph">
                  <wp:posOffset>3082925</wp:posOffset>
                </wp:positionV>
                <wp:extent cx="1313815" cy="1313815"/>
                <wp:effectExtent l="0" t="0" r="635" b="635"/>
                <wp:wrapNone/>
                <wp:docPr id="11" name="椭圆 9"/>
                <wp:cNvGraphicFramePr/>
                <a:graphic xmlns:a="http://schemas.openxmlformats.org/drawingml/2006/main">
                  <a:graphicData uri="http://schemas.microsoft.com/office/word/2010/wordprocessingShape">
                    <wps:wsp>
                      <wps:cNvSpPr/>
                      <wps:spPr>
                        <a:xfrm>
                          <a:off x="0" y="0"/>
                          <a:ext cx="1313815" cy="1313815"/>
                        </a:xfrm>
                        <a:prstGeom prst="ellipse">
                          <a:avLst/>
                        </a:prstGeom>
                        <a:solidFill>
                          <a:srgbClr val="1F2959"/>
                        </a:solidFill>
                        <a:ln w="12700">
                          <a:noFill/>
                        </a:ln>
                      </wps:spPr>
                      <wps:txbx>
                        <w:txbxContent>
                          <w:p/>
                        </w:txbxContent>
                      </wps:txbx>
                      <wps:bodyPr anchor="ctr" anchorCtr="0" upright="1"/>
                    </wps:wsp>
                  </a:graphicData>
                </a:graphic>
              </wp:anchor>
            </w:drawing>
          </mc:Choice>
          <mc:Fallback>
            <w:pict>
              <v:shape id="椭圆 9" o:spid="_x0000_s1026" o:spt="3" type="#_x0000_t3" style="position:absolute;left:0pt;margin-left:62.2pt;margin-top:242.75pt;height:103.45pt;width:103.45pt;z-index:251665408;v-text-anchor:middle;mso-width-relative:page;mso-height-relative:page;" fillcolor="#1F2959" filled="t" stroked="f" coordsize="21600,21600" o:gfxdata="UEsDBAoAAAAAAIdO4kAAAAAAAAAAAAAAAAAEAAAAZHJzL1BLAwQUAAAACACHTuJAHnP3xNsAAAAL&#10;AQAADwAAAGRycy9kb3ducmV2LnhtbE2PwU7DMBBE70j8g7VI3KiTOCklxKkEEq3ojVK1101sktB4&#10;HcVu2v495gTH0T7NvC2WF9OzSY+usyQhnkXANNVWddRI2H2+PSyAOY+ksLekJVy1g2V5e1NgruyZ&#10;PvS09Q0LJeRylNB6P+Scu7rVBt3MDprC7cuOBn2IY8PViOdQbnqeRNGcG+woLLQ46NdW18ftyUj4&#10;vqp1dXifxMvh+Lhab8QKM7GX8v4ujp6BeX3xfzD86gd1KINTZU+kHOtDTtI0oBLSRZYBC4QQsQBW&#10;SZg/JSnwsuD/fyh/AFBLAwQUAAAACACHTuJA5n2pRM0BAACUAwAADgAAAGRycy9lMm9Eb2MueG1s&#10;rVPNbtswDL4P2DsIuje2U3RrjTg9NMguw1ag2wMoshwL0B9IJXZeYE+x4657rO05RsluunWXHnqR&#10;SZH+yO8jtbodrWFHBai9a3i1KDlTTvpWu33Dv37ZXlxzhlG4VhjvVMNPCvnt+u2b1RBqtfS9N60C&#10;RiAO6yE0vI8x1EWBsldW4MIH5SjYebAikgv7ogUxELo1xbIs3xWDhzaAlwqRbjdTkM+I8BJA33Va&#10;qo2XB6tcnFBBGRGJEvY6IF/nbrtOyfi561BFZhpOTGM+qQjZu3QW65Wo9yBCr+XcgnhJC884WaEd&#10;FT1DbUQU7AD6PyirJXj0XVxIb4uJSFaEWFTlM20eehFU5kJSYziLjq8HKz8d74Hpljah4swJSxP/&#10;/ePnr+/f2E0SZwhYU85DuIfZQzIT07EDm77EgY1Z0NNZUDVGJumyuqwur6srziTFHh3CKZ5+D4Dx&#10;g/KWJaPhyhiaXyItanH8iHHKfsxK1+iNbrfamOzAfndngB0FDbjaLm+ucttU4J8049hA8eX7sszQ&#10;zieACds4aijxnJglK467caa78+2JFBJO9p72Rkbgs3MXpz06BND7nnqvkmAZiYaVSc6Llbbhbz9n&#10;PT2m9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ec/fE2wAAAAsBAAAPAAAAAAAAAAEAIAAAACIA&#10;AABkcnMvZG93bnJldi54bWxQSwECFAAUAAAACACHTuJA5n2pRM0BAACUAwAADgAAAAAAAAABACAA&#10;AAAqAQAAZHJzL2Uyb0RvYy54bWxQSwUGAAAAAAYABgBZAQAAaQUAAAAA&#10;">
                <v:fill on="t" focussize="0,0"/>
                <v:stroke on="f" weight="1pt"/>
                <v:imagedata o:title=""/>
                <o:lock v:ext="edit" aspectratio="f"/>
                <v:textbox>
                  <w:txbxContent>
                    <w:p/>
                  </w:txbxContent>
                </v:textbox>
              </v:shape>
            </w:pict>
          </mc:Fallback>
        </mc:AlternateContent>
      </w:r>
      <w:r>
        <mc:AlternateContent>
          <mc:Choice Requires="wpg">
            <w:drawing>
              <wp:anchor distT="0" distB="0" distL="114300" distR="114300" simplePos="0" relativeHeight="251662336" behindDoc="0" locked="0" layoutInCell="1" allowOverlap="1">
                <wp:simplePos x="0" y="0"/>
                <wp:positionH relativeFrom="column">
                  <wp:posOffset>15875</wp:posOffset>
                </wp:positionH>
                <wp:positionV relativeFrom="paragraph">
                  <wp:posOffset>10435590</wp:posOffset>
                </wp:positionV>
                <wp:extent cx="7559675" cy="272415"/>
                <wp:effectExtent l="0" t="0" r="0" b="0"/>
                <wp:wrapNone/>
                <wp:docPr id="8" name="组合 13"/>
                <wp:cNvGraphicFramePr/>
                <a:graphic xmlns:a="http://schemas.openxmlformats.org/drawingml/2006/main">
                  <a:graphicData uri="http://schemas.microsoft.com/office/word/2010/wordprocessingGroup">
                    <wpg:wgp>
                      <wpg:cNvGrpSpPr/>
                      <wpg:grpSpPr>
                        <a:xfrm>
                          <a:off x="0" y="0"/>
                          <a:ext cx="7559675" cy="272415"/>
                          <a:chOff x="1483" y="16692"/>
                          <a:chExt cx="11905" cy="429203"/>
                        </a:xfrm>
                      </wpg:grpSpPr>
                      <wps:wsp>
                        <wps:cNvPr id="6" name="矩形 6"/>
                        <wps:cNvSpPr/>
                        <wps:spPr>
                          <a:xfrm>
                            <a:off x="1483" y="16692"/>
                            <a:ext cx="1125" cy="428"/>
                          </a:xfrm>
                          <a:prstGeom prst="rect">
                            <a:avLst/>
                          </a:prstGeom>
                          <a:solidFill>
                            <a:srgbClr val="FDBC11"/>
                          </a:solidFill>
                          <a:ln w="12700">
                            <a:noFill/>
                          </a:ln>
                        </wps:spPr>
                        <wps:bodyPr anchor="ctr" anchorCtr="0" upright="1"/>
                      </wps:wsp>
                      <wps:wsp>
                        <wps:cNvPr id="7" name="矩形 7"/>
                        <wps:cNvSpPr/>
                        <wps:spPr>
                          <a:xfrm>
                            <a:off x="2608" y="16693"/>
                            <a:ext cx="10780" cy="428"/>
                          </a:xfrm>
                          <a:prstGeom prst="rect">
                            <a:avLst/>
                          </a:prstGeom>
                          <a:solidFill>
                            <a:srgbClr val="1F2959"/>
                          </a:solidFill>
                          <a:ln w="12700">
                            <a:noFill/>
                          </a:ln>
                        </wps:spPr>
                        <wps:bodyPr anchor="ctr" anchorCtr="0" upright="1"/>
                      </wps:wsp>
                    </wpg:wgp>
                  </a:graphicData>
                </a:graphic>
              </wp:anchor>
            </w:drawing>
          </mc:Choice>
          <mc:Fallback>
            <w:pict>
              <v:group id="组合 13" o:spid="_x0000_s1026" o:spt="203" style="position:absolute;left:0pt;margin-left:1.25pt;margin-top:821.7pt;height:21.45pt;width:595.25pt;z-index:251662336;mso-width-relative:page;mso-height-relative:page;" coordorigin="1483,16692" coordsize="11905,429203" o:gfxdata="UEsDBAoAAAAAAIdO4kAAAAAAAAAAAAAAAAAEAAAAZHJzL1BLAwQUAAAACACHTuJA01yfJdoAAAAM&#10;AQAADwAAAGRycy9kb3ducmV2LnhtbE2PTUvDQBCG74L/YRnBm91s04YasylS1FMRbAXxtk2mSWh2&#10;NmS3SfvvnZzscd55eD+y9cW2YsDeN440qFkEAqlwZUOVhu/9+9MKhA+GStM6Qg1X9LDO7+8yk5Zu&#10;pC8cdqESbEI+NRrqELpUSl/UaI2fuQ6Jf0fXWxP47CtZ9mZkc9vKeRQl0pqGOKE2HW5qLE67s9Xw&#10;MZrxNVZvw/Z03Fx/98vPn61CrR8fVPQCIuAl/MMw1efqkHOngztT6UWrYb5kkOVkES9ATIB6jnnd&#10;YdJWSQwyz+TtiPwPUEsDBBQAAAAIAIdO4kC1TISPaAIAAGIGAAAOAAAAZHJzL2Uyb0RvYy54bWzF&#10;VU2O0zAU3iNxB8t7JnGmTdqo6Ui0dDYIRho4gOs4P1JiW7bbdPYsWHIDJHacYcRxRlyDZyfNQJnF&#10;AAI2qe1nf+993/fsLi4ObYP2XJtaigyTsxAjLpjMa1Fm+O2bzbMZRsZSkdNGCp7hG27wxfLpk0Wn&#10;Uh7JSjY51whAhEk7leHKWpUGgWEVb6k5k4oLCBZSt9TCVJdBrmkH6G0TRGEYB53UudKScWNgdd0H&#10;8YCoHwMoi6JmfC3ZruXC9qiaN9QCJVPVyuClr7YoOLOvi8Jwi5oMA1Prv5AExlv3DZYLmpaaqqpm&#10;Qwn0MSWccGppLSDpCLWmlqKdrn+CamumpZGFPWOyDXoiXhFgQcITbS613CnPpUy7Uo2ig1Enqv82&#10;LHu1v9KozjMMtgvaguFfb9/dfXiPyLkTp1NlCnsutbpWV3pYKPuZ43sodOt+gQk6eFlvRln5wSIG&#10;i8l0Oo+TKUYMYlESTci0151VYI47Riazc4wgSuJ4Hh2DL4bzhMzD4fQkmkehLyw45g5ciWNFnYKu&#10;NPdSmT+T6rqiinsHjJNhkCoepfr4+e7LJxT3Svkto0wmNaDYAxo9RPYoFSHRyHTmUEeaNFXa2Esu&#10;W+QGGdbQ277l6P6lsf3W4xaX1cimzjd10/iJLrerRqM9hXuwWT9fETKg/7CtEagDE6IkDD20kA6g&#10;x24EVOPk7Wm50VbmNyAJFayScKeY1XiYrGx/x3ZK12UF1fbpBndcW/0Dm5ITm5JfsimKQ7gSQ0/6&#10;lqPpaFOYzOAFcf08if6aT2QTzafz/+qTv1zw9PhGHJ5J97Z9P/dtcf/XsP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01yfJdoAAAAMAQAADwAAAAAAAAABACAAAAAiAAAAZHJzL2Rvd25yZXYueG1s&#10;UEsBAhQAFAAAAAgAh07iQLVMhI9oAgAAYgYAAA4AAAAAAAAAAQAgAAAAKQEAAGRycy9lMm9Eb2Mu&#10;eG1sUEsFBgAAAAAGAAYAWQEAAAMGAAAAAA==&#10;">
                <o:lock v:ext="edit" aspectratio="f"/>
                <v:rect id="_x0000_s1026" o:spid="_x0000_s1026" o:spt="1" style="position:absolute;left:1483;top:16692;height:428;width:1125;v-text-anchor:middle;" fillcolor="#FDBC11" filled="t" stroked="f" coordsize="21600,21600" o:gfxdata="UEsDBAoAAAAAAIdO4kAAAAAAAAAAAAAAAAAEAAAAZHJzL1BLAwQUAAAACACHTuJAVt/pWrwAAADa&#10;AAAADwAAAGRycy9kb3ducmV2LnhtbEWP3WoCMRSE7wXfIZyCd5ooKLo1CiqK0BbatQ9w3Bx3l25O&#10;1iT+9O2bguDlMDPfMPPl3TbiSj7UjjUMBwoEceFMzaWG78O2PwURIrLBxjFp+KUAy0W3M8fMuBt/&#10;0TWPpUgQDhlqqGJsMylDUZHFMHAtcfJOzluMSfpSGo+3BLeNHCk1kRZrTgsVtrSuqPjJL1aDH+c2&#10;qvPqY7atqVjt3t8+p5uj1r2XoXoFEeken+FHe280TOD/Sro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f6Vq8AAAA&#10;2gAAAA8AAAAAAAAAAQAgAAAAIgAAAGRycy9kb3ducmV2LnhtbFBLAQIUABQAAAAIAIdO4kAzLwWe&#10;OwAAADkAAAAQAAAAAAAAAAEAIAAAAAsBAABkcnMvc2hhcGV4bWwueG1sUEsFBgAAAAAGAAYAWwEA&#10;ALUDAAAAAA==&#10;">
                  <v:fill on="t" focussize="0,0"/>
                  <v:stroke on="f" weight="1pt"/>
                  <v:imagedata o:title=""/>
                  <o:lock v:ext="edit" aspectratio="f"/>
                </v:rect>
                <v:rect id="_x0000_s1026" o:spid="_x0000_s1026" o:spt="1" style="position:absolute;left:2608;top:16693;height:428;width:10780;v-text-anchor:middle;" fillcolor="#1F2959" filled="t" stroked="f" coordsize="21600,21600" o:gfxdata="UEsDBAoAAAAAAIdO4kAAAAAAAAAAAAAAAAAEAAAAZHJzL1BLAwQUAAAACACHTuJAzIyFMLoAAADa&#10;AAAADwAAAGRycy9kb3ducmV2LnhtbEWPS4sCMRCE74L/IbSwN80orMpoFBSFPXjxAV6bSc8z6QyT&#10;OOq/3wgLeyyq6itqvX1ZI3rqfOVYwXSSgCDOnK64UHC7HsdLED4gazSOScGbPGw3w8EaU+2efKb+&#10;EgoRIexTVFCG0KZS+qwki37iWuLo5a6zGKLsCqk7fEa4NXKWJHNpseK4UGJL+5Ky5vKwCmZh+djV&#10;1f1tWlP3mH/np+YglfoaTZMViECv8B/+a/9oBQv4XIk3QG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jIUwugAAANoA&#10;AAAPAAAAAAAAAAEAIAAAACIAAABkcnMvZG93bnJldi54bWxQSwECFAAUAAAACACHTuJAMy8FnjsA&#10;AAA5AAAAEAAAAAAAAAABACAAAAAJAQAAZHJzL3NoYXBleG1sLnhtbFBLBQYAAAAABgAGAFsBAACz&#10;AwAAAAA=&#10;">
                  <v:fill on="t" focussize="0,0"/>
                  <v:stroke on="f" weight="1pt"/>
                  <v:imagedata o:title=""/>
                  <o:lock v:ext="edit" aspectratio="f"/>
                </v:rect>
              </v:group>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2346325</wp:posOffset>
                </wp:positionH>
                <wp:positionV relativeFrom="paragraph">
                  <wp:posOffset>3639820</wp:posOffset>
                </wp:positionV>
                <wp:extent cx="4313555" cy="396875"/>
                <wp:effectExtent l="0" t="0" r="0" b="0"/>
                <wp:wrapNone/>
                <wp:docPr id="9" name="矩形 11"/>
                <wp:cNvGraphicFramePr/>
                <a:graphic xmlns:a="http://schemas.openxmlformats.org/drawingml/2006/main">
                  <a:graphicData uri="http://schemas.microsoft.com/office/word/2010/wordprocessingShape">
                    <wps:wsp>
                      <wps:cNvSpPr/>
                      <wps:spPr>
                        <a:xfrm>
                          <a:off x="0" y="0"/>
                          <a:ext cx="4313555" cy="396875"/>
                        </a:xfrm>
                        <a:prstGeom prst="rect">
                          <a:avLst/>
                        </a:prstGeom>
                        <a:noFill/>
                        <a:ln>
                          <a:noFill/>
                        </a:ln>
                      </wps:spPr>
                      <wps:txbx>
                        <w:txbxContent>
                          <w:p/>
                        </w:txbxContent>
                      </wps:txbx>
                      <wps:bodyPr wrap="none" upright="1">
                        <a:spAutoFit/>
                      </wps:bodyPr>
                    </wps:wsp>
                  </a:graphicData>
                </a:graphic>
              </wp:anchor>
            </w:drawing>
          </mc:Choice>
          <mc:Fallback>
            <w:pict>
              <v:rect id="矩形 11" o:spid="_x0000_s1026" o:spt="1" style="position:absolute;left:0pt;margin-left:184.75pt;margin-top:286.6pt;height:31.25pt;width:339.65pt;mso-wrap-style:none;z-index:251663360;mso-width-relative:page;mso-height-relative:page;" filled="f" stroked="f" coordsize="21600,21600" o:gfxdata="UEsDBAoAAAAAAIdO4kAAAAAAAAAAAAAAAAAEAAAAZHJzL1BLAwQUAAAACACHTuJAlmQX0dsAAAAM&#10;AQAADwAAAGRycy9kb3ducmV2LnhtbE2Py27CMBBF95X6D9ZU6qYqNgkJkMZhUfUhwaqUDzDxkFiN&#10;x1HsBPr3NSu6HM3RveeWm4vt2ISDN44kzGcCGFLttKFGwuH7/XkFzAdFWnWOUMIvethU93elKrQ7&#10;0xdO+9CwGEK+UBLaEPqCc1+3aJWfuR4p/k5usCrEc2i4HtQ5htuOJ0Lk3CpDsaFVPb62WP/sRyth&#10;8ZFs38yT2Bk7jeqw5YP4pJ2Ujw9z8QIs4CXcYLjqR3WootPRjaQ96ySk+TqLqIRsmSbAroRYrOKa&#10;o4Q8zZbAq5L/H1H9AVBLAwQUAAAACACHTuJAsGbtX7gBAABoAwAADgAAAGRycy9lMm9Eb2MueG1s&#10;rVNLbtswEN0X6B0I7mtacZwmguWggJFsijZA2gPQFGkR4A8c2pJPU6C7HqLHKXqNDinF+W2y6IYa&#10;Dodv3ntDra4Ha8hBRtDeNbSazSmRTvhWu11Dv3+7+XBJCSTuWm68kw09SqDX6/fvVn2o5ZnvvGll&#10;JAjioO5DQ7uUQs0YiE5aDjMfpMND5aPlCbdxx9rIe0S3hp3N5xes97EN0QsJgNnNeEgnxPgWQK+U&#10;FnLjxd5Kl0bUKA1PKAk6HYCuC1ulpEhflQKZiGkoKk1lxSYYb/PK1ite7yIPnRYTBf4WCi80Wa4d&#10;Nj1BbXjiZB/1KyirRfTgVZoJb9kopDiCKqr5C2/uOx5k0YJWQziZDv8PVnw53EWi24ZeUeK4xYH/&#10;/fHrz++fpKqyOX2AGmvuw12cdoBhVjqoaPMXNZChGHo8GSqHRAQmzxfVYrlcUiLwbHF1cflxmUHZ&#10;4+0QId1Kb0kOGhpxYMVHfvgMaSx9KMnNnL/RxmCe18Y9SyBmzrBMeKSYozRsh4n31rdHlNrjrBvq&#10;8GlTsg9R7zpsW5WeED7tEzYoffPt8coEigMozKfHkif8dF+qHn+Q9T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WZBfR2wAAAAwBAAAPAAAAAAAAAAEAIAAAACIAAABkcnMvZG93bnJldi54bWxQSwEC&#10;FAAUAAAACACHTuJAsGbtX7gBAABoAwAADgAAAAAAAAABACAAAAAqAQAAZHJzL2Uyb0RvYy54bWxQ&#10;SwUGAAAAAAYABgBZAQAAVAUAAAAA&#10;">
                <v:fill on="f" focussize="0,0"/>
                <v:stroke on="f"/>
                <v:imagedata o:title=""/>
                <o:lock v:ext="edit" aspectratio="f"/>
                <v:textbox style="mso-fit-shape-to-text:t;">
                  <w:txbxContent>
                    <w:p/>
                  </w:txbxContent>
                </v:textbox>
              </v:rect>
            </w:pict>
          </mc:Fallback>
        </mc:AlternateContent>
      </w:r>
    </w:p>
    <w:p/>
    <w:p>
      <w:pPr>
        <w:jc w:val="center"/>
        <w:rPr>
          <w:rFonts w:ascii="黑体" w:hAnsi="黑体" w:eastAsia="黑体" w:cs="黑体"/>
          <w:sz w:val="56"/>
          <w:szCs w:val="72"/>
        </w:rPr>
      </w:pPr>
    </w:p>
    <w:p>
      <w:pPr>
        <w:jc w:val="center"/>
        <w:rPr>
          <w:rFonts w:ascii="黑体" w:hAnsi="黑体" w:eastAsia="黑体" w:cs="黑体"/>
          <w:sz w:val="56"/>
          <w:szCs w:val="72"/>
        </w:rPr>
      </w:pPr>
    </w:p>
    <w:p>
      <w:pPr>
        <w:rPr>
          <w:rFonts w:ascii="黑体" w:hAnsi="Times New Roman" w:eastAsia="黑体"/>
          <w:sz w:val="48"/>
          <w:szCs w:val="48"/>
        </w:rPr>
      </w:pPr>
      <w:r>
        <w:rPr>
          <w:rFonts w:ascii="黑体" w:hAnsi="Times New Roman" w:eastAsia="黑体"/>
          <w:sz w:val="48"/>
          <w:szCs w:val="48"/>
        </w:rPr>
        <w:br w:type="page"/>
      </w: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kern w:val="0"/>
          <w:sz w:val="44"/>
          <w:szCs w:val="44"/>
          <w:highlight w:val="none"/>
          <w:lang w:eastAsia="zh-CN"/>
        </w:rPr>
      </w:pPr>
      <w:r>
        <w:rPr>
          <w:rFonts w:hint="eastAsia" w:ascii="楷体_GB2312" w:hAnsi="楷体_GB2312" w:eastAsia="楷体_GB2312" w:cs="楷体_GB2312"/>
          <w:color w:val="000000"/>
          <w:kern w:val="0"/>
          <w:sz w:val="44"/>
          <w:szCs w:val="44"/>
          <w:highlight w:val="none"/>
          <w:lang w:eastAsia="zh-CN"/>
        </w:rPr>
        <w:t>中国人民政治协商会议河北省阜平县委员会</w:t>
      </w:r>
    </w:p>
    <w:p>
      <w:pPr>
        <w:snapToGrid w:val="0"/>
        <w:jc w:val="center"/>
        <w:rPr>
          <w:rFonts w:ascii="楷体_GB2312" w:hAnsi="楷体_GB2312" w:eastAsia="楷体_GB2312" w:cs="楷体_GB2312"/>
          <w:color w:val="000000"/>
          <w:kern w:val="0"/>
          <w:sz w:val="44"/>
          <w:szCs w:val="44"/>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eastAsia="zh-CN"/>
        </w:rPr>
        <w:t>九</w:t>
      </w:r>
      <w:r>
        <w:rPr>
          <w:rFonts w:hint="eastAsia" w:ascii="楷体_GB2312" w:hAnsi="楷体_GB2312" w:eastAsia="楷体_GB2312" w:cs="楷体_GB2312"/>
          <w:color w:val="000000"/>
          <w:kern w:val="0"/>
          <w:sz w:val="44"/>
          <w:szCs w:val="44"/>
        </w:rPr>
        <w:t>月</w:t>
      </w:r>
    </w:p>
    <w:p>
      <w:pPr>
        <w:widowControl/>
        <w:spacing w:line="600" w:lineRule="exact"/>
        <w:jc w:val="left"/>
        <w:rPr>
          <w:rFonts w:ascii="黑体" w:hAnsi="黑体" w:eastAsia="黑体" w:cs="黑体"/>
          <w:bCs/>
          <w:sz w:val="32"/>
          <w:szCs w:val="32"/>
          <w:highlight w:val="yellow"/>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rPr>
          <w:rFonts w:ascii="黑体" w:eastAsia="黑体" w:cs="黑体"/>
          <w:b w:val="0"/>
          <w:bCs w:val="0"/>
          <w:kern w:val="0"/>
          <w:sz w:val="32"/>
          <w:szCs w:val="32"/>
        </w:rPr>
      </w:pPr>
      <w:r>
        <mc:AlternateContent>
          <mc:Choice Requires="wps">
            <w:drawing>
              <wp:anchor distT="0" distB="0" distL="114300" distR="114300" simplePos="0" relativeHeight="251667456" behindDoc="0" locked="0" layoutInCell="1" allowOverlap="1">
                <wp:simplePos x="0" y="0"/>
                <wp:positionH relativeFrom="column">
                  <wp:posOffset>-1088390</wp:posOffset>
                </wp:positionH>
                <wp:positionV relativeFrom="paragraph">
                  <wp:posOffset>1024890</wp:posOffset>
                </wp:positionV>
                <wp:extent cx="7793355" cy="3341370"/>
                <wp:effectExtent l="6350" t="6350" r="10795" b="24130"/>
                <wp:wrapNone/>
                <wp:docPr id="13" name="文本框 29"/>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1270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wps:txbx>
                      <wps:bodyPr anchor="ctr" anchorCtr="0" upright="1"/>
                    </wps:wsp>
                  </a:graphicData>
                </a:graphic>
              </wp:anchor>
            </w:drawing>
          </mc:Choice>
          <mc:Fallback>
            <w:pict>
              <v:shape id="文本框 29" o:spid="_x0000_s1026" o:spt="202" type="#_x0000_t202" style="position:absolute;left:0pt;margin-left:-85.7pt;margin-top:80.7pt;height:263.1pt;width:613.65pt;z-index:251667456;v-text-anchor:middle;mso-width-relative:page;mso-height-relative:page;" fillcolor="#FFD966" filled="t" stroked="t" coordsize="21600,21600" o:gfxdata="UEsDBAoAAAAAAIdO4kAAAAAAAAAAAAAAAAAEAAAAZHJzL1BLAwQUAAAACACHTuJACjhJPdsAAAAN&#10;AQAADwAAAGRycy9kb3ducmV2LnhtbE2PTU/DMAyG70j8h8hI3LakqOtGaboDA3FBILbC2WtMW9E4&#10;VZN9wK8nPcHN1vvo9eNifba9ONLoO8cakrkCQVw703Gjodo9zlYgfEA22DsmDd/kYV1eXhSYG3fi&#10;NzpuQyNiCfscNbQhDLmUvm7Jop+7gThmn260GOI6NtKMeIrltpc3SmXSYsfxQosD3bdUf20PVoNJ&#10;n6rNO252r8/1z4vr0uojDA9aX18l6g5EoHP4g2HSj+pQRqe9O7DxotcwS5ZJGtmYZNMwIWqxuAWx&#10;15CtlhnIspD/vyh/AVBLAwQUAAAACACHTuJAxXhGkDwCAACeBAAADgAAAGRycy9lMm9Eb2MueG1s&#10;rVTLjtMwFN0j8Q+W9zSdhmlp1HQkppQNAqSBD3D9SCz5JdttUj4A/oAVG/Z8V7+DayfTgUEjdUEX&#10;6bV9cu855/pmddNrhQ7cB2lNja8mU4y4oZZJ09T486fti1cYhUgMI8oaXuMjD/hm/fzZqnMVn9nW&#10;KsY9giQmVJ2rcRujq4oi0JZrEibWcQOHwnpNIix9UzBPOsiuVTGbTudFZz1z3lIeAuxuhkM8ZvSX&#10;JLRCSMo3lu41N3HI6rkiESSFVrqA15mtEJzGD0IEHpGqMSiN+QlFIN6lZ7FekarxxLWSjhTIJRQe&#10;adJEGih6TrUhkaC9l/+k0pJ6G6yIE2p1MQjJjoCKq+kjb+5a4njWAlYHdzY9/L+09P3ho0eSwU0o&#10;MTJEQ8dP37+dfvw6/fyKZstkUOdCBbg7B8jYv7Y9gO/3A2wm3b3wOv2DIgTnYO/xbC/vI6KwuVgs&#10;y/L6GiMKZ2X58qpc5AYUD687H+JbbjVKQY099C/bSg7vQgQqAL2HpGqOxLiVSo3w1vovGS6aW5Vp&#10;Bd/sIEQHAv3fbjfL+TwxhzRnyO4J7BZ+I3aEpOJjwVRcGdSBE7PFFNRSAqMg4ApCqB3YGUyTqQSr&#10;JEsc0ytP0/kLliRuSGgH2vkoMSGVt3vDctRywt4YhuLRQccMTCpObDRnGCkOg52ijIxEqkuQoE4Z&#10;sCZ1e+hqimK/6yFNCneWHeEGEEPB5xrT6PG4uI3DRO2dl00LfcvXI2eCa5vtHkcszcWf61zv4bOy&#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OEk92wAAAA0BAAAPAAAAAAAAAAEAIAAAACIAAABk&#10;cnMvZG93bnJldi54bWxQSwECFAAUAAAACACHTuJAxXhGkDwCAACeBAAADgAAAAAAAAABACAAAAAq&#10;AQAAZHJzL2Uyb0RvYy54bWxQSwUGAAAAAAYABgBZAQAA2AUAAAAA&#10;">
                <v:fill type="pattern" on="t" color2="#FFFFFF" focussize="0,0" r:id="rId14"/>
                <v:stroke weight="1pt" color="#FFD966" joinstyle="round"/>
                <v:imagedata o:title=""/>
                <o:lock v:ext="edit" aspectratio="f"/>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mc:Fallback>
        </mc:AlternateContent>
      </w:r>
      <w:r>
        <w:br w:type="page"/>
      </w:r>
      <w:r>
        <w:rPr>
          <w:rFonts w:hint="eastAsia" w:ascii="黑体" w:eastAsia="黑体" w:cs="黑体"/>
          <w:b w:val="0"/>
          <w:bCs w:val="0"/>
          <w:kern w:val="0"/>
          <w:sz w:val="32"/>
          <w:szCs w:val="32"/>
        </w:rPr>
        <w:t>一、部门职责</w:t>
      </w:r>
    </w:p>
    <w:p>
      <w:pPr>
        <w:keepNext/>
        <w:keepLines/>
        <w:spacing w:line="580" w:lineRule="exact"/>
        <w:ind w:firstLine="640" w:firstLineChars="200"/>
        <w:jc w:val="left"/>
        <w:outlineLvl w:val="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根据中共阜平县委办公室《关于印发政协阜平县委员会职能配置、内设机构和人员编制规定的通知》（阜办发[2002]52号），现将我单位部门概况说明如下：</w:t>
      </w:r>
    </w:p>
    <w:p>
      <w:pPr>
        <w:keepNext/>
        <w:keepLines/>
        <w:spacing w:line="580" w:lineRule="exact"/>
        <w:ind w:firstLine="640" w:firstLineChars="200"/>
        <w:jc w:val="left"/>
        <w:outlineLvl w:val="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（一）</w:t>
      </w:r>
      <w:r>
        <w:rPr>
          <w:rFonts w:hint="eastAsia" w:ascii="仿宋_GB2312" w:eastAsia="仿宋_GB2312" w:cs="ArialUnicodeMS"/>
          <w:b/>
          <w:bCs/>
          <w:kern w:val="0"/>
          <w:sz w:val="32"/>
          <w:szCs w:val="32"/>
          <w:highlight w:val="none"/>
        </w:rPr>
        <w:t>人民政协</w:t>
      </w:r>
      <w:r>
        <w:rPr>
          <w:rFonts w:hint="eastAsia" w:ascii="仿宋_GB2312" w:eastAsia="仿宋_GB2312" w:cs="ArialUnicodeMS"/>
          <w:kern w:val="0"/>
          <w:sz w:val="32"/>
          <w:szCs w:val="32"/>
          <w:highlight w:val="none"/>
        </w:rPr>
        <w:t>是爱国统一战线组织，是共产党领导的多党合作和政治协商的重要机构。主要职能是政治协商、民主监督和参政议政。</w:t>
      </w:r>
    </w:p>
    <w:p>
      <w:pPr>
        <w:keepNext/>
        <w:keepLines/>
        <w:spacing w:line="580" w:lineRule="exact"/>
        <w:ind w:firstLine="640" w:firstLineChars="200"/>
        <w:jc w:val="left"/>
        <w:outlineLvl w:val="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（二）</w:t>
      </w:r>
      <w:r>
        <w:rPr>
          <w:rFonts w:hint="eastAsia" w:ascii="仿宋_GB2312" w:eastAsia="仿宋_GB2312" w:cs="ArialUnicodeMS"/>
          <w:b/>
          <w:bCs/>
          <w:kern w:val="0"/>
          <w:sz w:val="32"/>
          <w:szCs w:val="32"/>
          <w:highlight w:val="none"/>
        </w:rPr>
        <w:t>政治协商</w:t>
      </w:r>
      <w:r>
        <w:rPr>
          <w:rFonts w:hint="eastAsia" w:ascii="仿宋_GB2312" w:eastAsia="仿宋_GB2312" w:cs="ArialUnicodeMS"/>
          <w:kern w:val="0"/>
          <w:sz w:val="32"/>
          <w:szCs w:val="32"/>
          <w:highlight w:val="none"/>
        </w:rPr>
        <w:t>是对国家和地方的大政方针以及政治、经济、文化和社会生活中的重要问题在决策之前进行协商和就决策执行过程中的重要问题进行协商。</w:t>
      </w:r>
    </w:p>
    <w:p>
      <w:pPr>
        <w:keepNext/>
        <w:keepLines/>
        <w:spacing w:line="580" w:lineRule="exact"/>
        <w:ind w:firstLine="640" w:firstLineChars="200"/>
        <w:jc w:val="left"/>
        <w:outlineLvl w:val="0"/>
        <w:rPr>
          <w:rFonts w:hint="eastAsia" w:ascii="仿宋_GB2312" w:eastAsia="仿宋_GB2312" w:cs="ArialUnicodeMS"/>
          <w:kern w:val="0"/>
          <w:sz w:val="32"/>
          <w:szCs w:val="32"/>
          <w:highlight w:val="none"/>
        </w:rPr>
      </w:pPr>
      <w:r>
        <w:rPr>
          <w:rFonts w:hint="eastAsia" w:ascii="仿宋_GB2312" w:eastAsia="仿宋_GB2312" w:cs="ArialUnicodeMS"/>
          <w:kern w:val="0"/>
          <w:sz w:val="32"/>
          <w:szCs w:val="32"/>
          <w:highlight w:val="none"/>
        </w:rPr>
        <w:t>（三）</w:t>
      </w:r>
      <w:r>
        <w:rPr>
          <w:rFonts w:hint="eastAsia" w:ascii="仿宋_GB2312" w:eastAsia="仿宋_GB2312" w:cs="ArialUnicodeMS"/>
          <w:b/>
          <w:bCs/>
          <w:kern w:val="0"/>
          <w:sz w:val="32"/>
          <w:szCs w:val="32"/>
          <w:highlight w:val="none"/>
        </w:rPr>
        <w:t>民主监督</w:t>
      </w:r>
      <w:r>
        <w:rPr>
          <w:rFonts w:hint="eastAsia" w:ascii="仿宋_GB2312" w:eastAsia="仿宋_GB2312" w:cs="ArialUnicodeMS"/>
          <w:kern w:val="0"/>
          <w:sz w:val="32"/>
          <w:szCs w:val="32"/>
          <w:highlight w:val="none"/>
        </w:rPr>
        <w:t>是对国家宪法、法律和法规的实施、重大方针政策的贯彻执行、国家机关及其工作人员的工作，通过建议和批评进行监督。</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仿宋_GB2312" w:eastAsia="仿宋_GB2312" w:cs="ArialUnicodeMS"/>
          <w:kern w:val="0"/>
          <w:sz w:val="32"/>
          <w:szCs w:val="32"/>
          <w:highlight w:val="none"/>
        </w:rPr>
        <w:t>（四）</w:t>
      </w:r>
      <w:r>
        <w:rPr>
          <w:rFonts w:hint="eastAsia" w:ascii="仿宋_GB2312" w:eastAsia="仿宋_GB2312" w:cs="ArialUnicodeMS"/>
          <w:b/>
          <w:bCs/>
          <w:kern w:val="0"/>
          <w:sz w:val="32"/>
          <w:szCs w:val="32"/>
          <w:highlight w:val="none"/>
        </w:rPr>
        <w:t>参政议政</w:t>
      </w:r>
      <w:r>
        <w:rPr>
          <w:rFonts w:hint="eastAsia" w:ascii="仿宋_GB2312" w:eastAsia="仿宋_GB2312" w:cs="ArialUnicodeMS"/>
          <w:kern w:val="0"/>
          <w:sz w:val="32"/>
          <w:szCs w:val="32"/>
          <w:highlight w:val="none"/>
        </w:rPr>
        <w:t>是组织政协委员，通过调查研究，积极参与各种政治、经济、文化和社会活动，通过多种方式，广开言路，广开才路，充分发表意见，为改革开放和现代化建设发挥作用。</w:t>
      </w:r>
      <w:r>
        <w:rPr>
          <w:rFonts w:hint="eastAsia" w:ascii="黑体" w:hAnsi="Calibri" w:eastAsia="黑体" w:cs="黑体"/>
          <w:kern w:val="0"/>
          <w:sz w:val="32"/>
          <w:szCs w:val="32"/>
        </w:rPr>
        <w:t>二、机构设置</w:t>
      </w:r>
    </w:p>
    <w:p>
      <w:pPr>
        <w:spacing w:line="580" w:lineRule="exact"/>
        <w:ind w:firstLine="640" w:firstLineChars="200"/>
        <w:rPr>
          <w:rFonts w:hint="eastAsia"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w:t>
      </w:r>
      <w:r>
        <w:rPr>
          <w:rFonts w:hint="eastAsia" w:ascii="仿宋_GB2312" w:hAnsi="Calibri" w:eastAsia="仿宋_GB2312" w:cs="ArialUnicodeMS"/>
          <w:kern w:val="0"/>
          <w:sz w:val="32"/>
          <w:szCs w:val="32"/>
          <w:lang w:val="en-US" w:eastAsia="zh-CN"/>
        </w:rPr>
        <w:t>1</w:t>
      </w:r>
      <w:r>
        <w:rPr>
          <w:rFonts w:hint="eastAsia" w:ascii="仿宋_GB2312" w:hAnsi="Calibri" w:eastAsia="仿宋_GB2312" w:cs="ArialUnicodeMS"/>
          <w:kern w:val="0"/>
          <w:sz w:val="32"/>
          <w:szCs w:val="32"/>
        </w:rPr>
        <w:t>个，具体情况如下：</w:t>
      </w:r>
    </w:p>
    <w:p>
      <w:pPr>
        <w:spacing w:line="580" w:lineRule="exact"/>
        <w:ind w:firstLine="640" w:firstLineChars="200"/>
        <w:rPr>
          <w:rFonts w:hint="eastAsia" w:ascii="仿宋_GB2312" w:hAnsi="Calibri" w:eastAsia="仿宋_GB2312" w:cs="ArialUnicodeMS"/>
          <w:kern w:val="0"/>
          <w:sz w:val="32"/>
          <w:szCs w:val="32"/>
        </w:rPr>
      </w:pPr>
    </w:p>
    <w:p>
      <w:pPr>
        <w:spacing w:line="580" w:lineRule="exact"/>
        <w:ind w:firstLine="640" w:firstLineChars="200"/>
        <w:rPr>
          <w:rFonts w:hint="eastAsia" w:ascii="仿宋_GB2312" w:hAnsi="Calibri" w:eastAsia="仿宋_GB2312" w:cs="ArialUnicodeMS"/>
          <w:kern w:val="0"/>
          <w:sz w:val="32"/>
          <w:szCs w:val="32"/>
        </w:rPr>
      </w:pPr>
    </w:p>
    <w:tbl>
      <w:tblPr>
        <w:tblStyle w:val="6"/>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3485" w:type="dxa"/>
          </w:tcPr>
          <w:p>
            <w:pPr>
              <w:spacing w:line="560" w:lineRule="exact"/>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中国人民政治协商会议河北省阜平县委员会</w:t>
            </w:r>
          </w:p>
        </w:tc>
        <w:tc>
          <w:tcPr>
            <w:tcW w:w="244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行政单位</w:t>
            </w:r>
          </w:p>
        </w:tc>
        <w:tc>
          <w:tcPr>
            <w:tcW w:w="266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line="560" w:lineRule="exact"/>
              <w:ind w:firstLine="560" w:firstLineChars="200"/>
              <w:jc w:val="left"/>
              <w:rPr>
                <w:rFonts w:ascii="仿宋_GB2312" w:hAnsi="Calibri" w:eastAsia="仿宋_GB2312" w:cs="ArialUnicodeMS"/>
                <w:kern w:val="0"/>
                <w:sz w:val="28"/>
                <w:szCs w:val="28"/>
              </w:rPr>
            </w:pPr>
          </w:p>
        </w:tc>
      </w:tr>
    </w:tbl>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ind w:firstLine="420" w:firstLineChars="200"/>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mc:AlternateContent>
          <mc:Choice Requires="wps">
            <w:drawing>
              <wp:anchor distT="0" distB="0" distL="114300" distR="114300" simplePos="0" relativeHeight="251668480"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4" name="文本框 37"/>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wps:spPr>
                      <wps:txb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wps:txbx>
                      <wps:bodyPr upright="1"/>
                    </wps:wsp>
                  </a:graphicData>
                </a:graphic>
              </wp:anchor>
            </w:drawing>
          </mc:Choice>
          <mc:Fallback>
            <w:pict>
              <v:shape id="文本框 37" o:spid="_x0000_s1026" o:spt="202" type="#_x0000_t202" style="position:absolute;left:0pt;margin-left:-85.7pt;margin-top:238.15pt;height:173.25pt;width:613.65pt;z-index:251668480;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ugZcz7gBAABaAwAADgAAAGRycy9lMm9Eb2Mu&#10;eG1srVPBbtswDL0P2D8Iui92k6VpjTgFiqC7DNuAbh+gyHIsQBIFUYmdH9j+YKdddt935TtGyWla&#10;tJceepEpknrke6SXN4M1bK8CanA1v5iUnCknodFuW/Mf3+8+XHGGUbhGGHCq5geF/Gb1/t2y95Wa&#10;QgemUYERiMOq9zXvYvRVUaDslBU4Aa8cBVsIVkS6hm3RBNETujXFtCwvix5C4wNIhUje9RjkJ8Tw&#10;GkBoWy3VGuTOKhdH1KCMiEQJO+2Rr3K3batk/Nq2qCIzNSemMZ9UhOxNOovVUlTbIHyn5akF8ZoW&#10;nnGyQjsqeoZaiyjYLugXUFbLAAhtnEiwxUgkK0IsLspn2tx3wqvMhaRGfxYd3w5Wftl/C0w3tAkf&#10;OXPC0sSPv38d//w7/v3JZoskUO+xorx7T5lxuIWBkh/8SM7Ee2iDTV9ixChO8h7O8qohMknOxeJ6&#10;NpvPOZMUm9IuTBfzhFM8PvcB4ycFliWj5oHml2UV+88Yx9SHlFTNwZ02Js/QONbX/HI2L/ODc4TA&#10;jaMaicTYbLLisBlOzDbQHIjYzge97ahmppbTSfLc3Gk90kyf3jPo4y+x+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rro+T3gAAAA0BAAAPAAAAAAAAAAEAIAAAACIAAABkcnMvZG93bnJldi54bWxQ&#10;SwECFAAUAAAACACHTuJAugZcz7gBAABaAwAADgAAAAAAAAABACAAAAAtAQAAZHJzL2Uyb0RvYy54&#10;bWxQSwUGAAAAAAYABgBZAQAAVwUAAAAA&#10;">
                <v:fill on="f" focussize="0,0"/>
                <v:stroke on="f" weight="0.5pt"/>
                <v:imagedata o:title=""/>
                <o:lock v:ext="edit" aspectratio="f"/>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mc:Fallback>
        </mc:AlternateConten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mc:AlternateContent>
          <mc:Choice Requires="wps">
            <w:drawing>
              <wp:anchor distT="0" distB="0" distL="114300" distR="114300" simplePos="0" relativeHeight="251669504" behindDoc="0" locked="0" layoutInCell="1" allowOverlap="1">
                <wp:simplePos x="0" y="0"/>
                <wp:positionH relativeFrom="column">
                  <wp:posOffset>-1153160</wp:posOffset>
                </wp:positionH>
                <wp:positionV relativeFrom="paragraph">
                  <wp:posOffset>55245</wp:posOffset>
                </wp:positionV>
                <wp:extent cx="7793355" cy="3341370"/>
                <wp:effectExtent l="4445" t="4445" r="12700" b="6985"/>
                <wp:wrapNone/>
                <wp:docPr id="15" name="文本框 38"/>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wps:txbx>
                      <wps:bodyPr anchor="ctr" anchorCtr="0" upright="1"/>
                    </wps:wsp>
                  </a:graphicData>
                </a:graphic>
              </wp:anchor>
            </w:drawing>
          </mc:Choice>
          <mc:Fallback>
            <w:pict>
              <v:shape id="文本框 38" o:spid="_x0000_s1026" o:spt="202" type="#_x0000_t202" style="position:absolute;left:0pt;margin-left:-90.8pt;margin-top:4.35pt;height:263.1pt;width:613.65pt;z-index:251669504;v-text-anchor:middle;mso-width-relative:page;mso-height-relative:page;" fillcolor="#FFD966" filled="t" stroked="t" coordsize="21600,21600" o:gfxdata="UEsDBAoAAAAAAIdO4kAAAAAAAAAAAAAAAAAEAAAAZHJzL1BLAwQUAAAACACHTuJAq0UWJdcAAAAL&#10;AQAADwAAAGRycy9kb3ducmV2LnhtbE2PsXLCMAyG9971HXzqXTewQ4mbpnEYeu3AWGBhc2I3yTWW&#10;c7Yh8PaIqd2k06dfn6rNxY3sbEMcPCrIlgKYxdabATsFh/3XogAWk0ajR49WwdVG2NSPD5UujZ/x&#10;2553qWMUgrHUCvqUppLz2PbW6bj0k0Wa/fjgdKI2dNwEPVO4G/lKCMmdHpAu9HqyH71tf3cnRxrp&#10;2MxTtw17idfoVsNB5vJTqeenTLwDS/aS/mC469MO1OTU+BOayEYFi6zIJLEKildgd0Csc6oaBfnL&#10;+g14XfH/P9Q3UEsDBBQAAAAIAIdO4kARO0TfPAIAAJ0EAAAOAAAAZHJzL2Uyb0RvYy54bWytVEtu&#10;2zAQ3RfoHQjua9lR7SSC5QCN626KtkDaA9D8SAT4A0lbcg/Q3qCrbrrPuXyODinFaVME8KJeyEPy&#10;aea9Nxwtb3qt0J77IK2p8WwyxYgbapk0TY2/fN68usIoRGIYUdbwGh94wDerly+Wnav4hW2tYtwj&#10;SGJC1bkatzG6qigCbbkmYWIdN3AorNckwtI3BfOkg+xaFRfT6aLorGfOW8pDgN31cIjHjP6chFYI&#10;Sfna0p3mJg5ZPVckgqTQShfwKrMVgtP4UYjAI1I1BqUxP6EIxNv0LFZLUjWeuFbSkQI5h8ITTZpI&#10;A0VPqdYkErTz8p9UWlJvgxVxQq0uBiHZEVAxmz7x5q4ljmctYHVwJ9PD/0tLP+w/eSQZ3IQ5RoZo&#10;6Pjxx/fjz/vjr2+ovEoGdS5UgLtzgIz9G9sD+GE/wGbS3Quv0z8oQnAO9h5O9vI+Igqbl5fXZTmH&#10;MhTOyvL1rLzMDSgeX3c+xHfcapSCGnvoX7aV7N+HCFQA+gBJ1RyJcSOVGuGt9V8zXDS3KtMKvtlC&#10;iPYE+r/ZrK8Xi8Qc0pwg22ewG/iN2BGSio8FU3FlUFfjRTkHsZTAJAi4gRBqB24G02QmwSrJEsX0&#10;xvNs/oIlhWsS2oF1PkpESOXtzrActZywt4aheHDQMAODihMZzRlGisNcpygjI5HqHCSIUwacSc0e&#10;mpqi2G97SJPCrWUHuADEULC5xjR6PC5u4zBQO+dl00Lb8u3ImeDWZrfHCUtj8ec613v8qq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KtFFiXXAAAACwEAAA8AAAAAAAAAAQAgAAAAIgAAAGRycy9k&#10;b3ducmV2LnhtbFBLAQIUABQAAAAIAIdO4kARO0TfPAIAAJ0EAAAOAAAAAAAAAAEAIAAAACYBAABk&#10;cnMvZTJvRG9jLnhtbFBLBQYAAAAABgAGAFkBAADUBQAAAAA=&#10;">
                <v:fill type="pattern" on="t" color2="#FFFFFF" focussize="0,0" r:id="rId14"/>
                <v:stroke weight="0.5pt" color="#FFD966" joinstyle="round"/>
                <v:imagedata o:title=""/>
                <o:lock v:ext="edit"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mc:Fallback>
        </mc:AlternateConten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年度收入总计（含结转和结余）</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年度决算相比，收入减少</w:t>
      </w:r>
      <w:r>
        <w:rPr>
          <w:rFonts w:hint="eastAsia" w:ascii="仿宋_GB2312" w:hAnsi="Times New Roman" w:eastAsia="仿宋_GB2312" w:cs="DengXian-Regular"/>
          <w:sz w:val="32"/>
          <w:szCs w:val="32"/>
          <w:lang w:val="en-US" w:eastAsia="zh-CN"/>
        </w:rPr>
        <w:t>31.06</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降低</w:t>
      </w:r>
      <w:r>
        <w:rPr>
          <w:rFonts w:hint="eastAsia" w:ascii="仿宋_GB2312" w:hAnsi="Times New Roman" w:eastAsia="仿宋_GB2312" w:cs="DengXian-Regular"/>
          <w:sz w:val="32"/>
          <w:szCs w:val="32"/>
          <w:lang w:val="en-US" w:eastAsia="zh-CN"/>
        </w:rPr>
        <w:t>13.14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eastAsia="zh-CN"/>
        </w:rPr>
        <w:t>厉行节约，减少了日常公用经费及项目经费支出</w:t>
      </w:r>
      <w:r>
        <w:rPr>
          <w:rFonts w:hint="eastAsia" w:ascii="仿宋_GB2312" w:hAnsi="Times New Roman" w:eastAsia="仿宋_GB2312" w:cs="DengXian-Regular"/>
          <w:sz w:val="32"/>
          <w:szCs w:val="32"/>
        </w:rPr>
        <w:t>。支出总计（含结转和结余）</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年度决算相比，支出减少</w:t>
      </w:r>
      <w:r>
        <w:rPr>
          <w:rFonts w:hint="eastAsia" w:ascii="仿宋_GB2312" w:hAnsi="Times New Roman" w:eastAsia="仿宋_GB2312" w:cs="DengXian-Regular"/>
          <w:sz w:val="32"/>
          <w:szCs w:val="32"/>
          <w:lang w:val="en-US" w:eastAsia="zh-CN"/>
        </w:rPr>
        <w:t>31.06</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降低</w:t>
      </w:r>
      <w:r>
        <w:rPr>
          <w:rFonts w:hint="eastAsia" w:ascii="仿宋_GB2312" w:hAnsi="Times New Roman" w:eastAsia="仿宋_GB2312" w:cs="DengXian-Regular"/>
          <w:sz w:val="32"/>
          <w:szCs w:val="32"/>
          <w:lang w:val="en-US" w:eastAsia="zh-CN"/>
        </w:rPr>
        <w:t>13.14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eastAsia="zh-CN"/>
        </w:rPr>
        <w:t>厉行节约，减少了日常公用经费及项目经费支出</w:t>
      </w:r>
      <w:r>
        <w:rPr>
          <w:rFonts w:hint="eastAsia" w:ascii="仿宋_GB2312" w:hAnsi="Times New Roman" w:eastAsia="仿宋_GB2312" w:cs="DengXian-Regular"/>
          <w:sz w:val="32"/>
          <w:szCs w:val="32"/>
        </w:rPr>
        <w:t>。</w:t>
      </w:r>
    </w:p>
    <w:p>
      <w:pPr>
        <w:keepNext/>
        <w:keepLines/>
        <w:numPr>
          <w:ilvl w:val="0"/>
          <w:numId w:val="1"/>
        </w:numPr>
        <w:snapToGrid w:val="0"/>
        <w:spacing w:line="580" w:lineRule="exact"/>
        <w:ind w:firstLine="640" w:firstLineChars="200"/>
        <w:outlineLvl w:val="1"/>
        <w:rPr>
          <w:rFonts w:ascii="仿宋_GB2312" w:hAnsi="Times New Roman" w:eastAsia="仿宋_GB2312" w:cs="DengXian-Regular"/>
          <w:sz w:val="32"/>
          <w:szCs w:val="32"/>
        </w:rPr>
      </w:pPr>
      <w:r>
        <w:rPr>
          <w:rFonts w:hint="eastAsia" w:ascii="黑体" w:hAnsi="Calibri" w:eastAsia="黑体"/>
          <w:sz w:val="32"/>
          <w:szCs w:val="32"/>
        </w:rPr>
        <w:t>收入决算情况说明</w:t>
      </w:r>
    </w:p>
    <w:p>
      <w:pPr>
        <w:keepNext/>
        <w:keepLines/>
        <w:numPr>
          <w:ilvl w:val="0"/>
          <w:numId w:val="0"/>
        </w:numPr>
        <w:snapToGrid w:val="0"/>
        <w:spacing w:line="580" w:lineRule="exact"/>
        <w:ind w:firstLine="640" w:firstLineChars="200"/>
        <w:outlineLvl w:val="1"/>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万元，其中：财政拨款收入</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；事业收入0万元，占0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；其他收入0万元，占0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三、支出决算情况说明</w:t>
      </w:r>
    </w:p>
    <w:p>
      <w:pPr>
        <w:keepNext/>
        <w:keepLines/>
        <w:snapToGrid w:val="0"/>
        <w:spacing w:line="580" w:lineRule="exact"/>
        <w:ind w:firstLine="640" w:firstLineChars="200"/>
        <w:outlineLvl w:val="1"/>
        <w:rPr>
          <w:rFonts w:ascii="黑体" w:hAnsi="Calibri" w:eastAsia="黑体"/>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万元，其中：基本支出</w:t>
      </w:r>
      <w:r>
        <w:rPr>
          <w:rFonts w:hint="eastAsia" w:ascii="仿宋_GB2312" w:hAnsi="Times New Roman" w:eastAsia="仿宋_GB2312" w:cs="DengXian-Regular"/>
          <w:sz w:val="32"/>
          <w:szCs w:val="32"/>
          <w:lang w:val="en-US" w:eastAsia="zh-CN"/>
        </w:rPr>
        <w:t>180.30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87.82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；项目支出</w:t>
      </w:r>
      <w:r>
        <w:rPr>
          <w:rFonts w:hint="eastAsia" w:ascii="仿宋_GB2312" w:hAnsi="Times New Roman" w:eastAsia="仿宋_GB2312" w:cs="DengXian-Regular"/>
          <w:sz w:val="32"/>
          <w:szCs w:val="32"/>
          <w:lang w:val="en-US" w:eastAsia="zh-CN"/>
        </w:rPr>
        <w:t>25.00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12.18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；经营支出0万元，占0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年度形成的财政拨款收支均为一般公共预算财政拨款，其中本年收入</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31.06</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13.14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厉行节约，减少了日常公用经费及项目经费支出</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31.06</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13.14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厉行节约，减少了日常公用经费及项目经费</w:t>
      </w:r>
      <w:r>
        <w:rPr>
          <w:rFonts w:hint="eastAsia" w:ascii="仿宋_GB2312" w:hAnsi="Times New Roman" w:eastAsia="仿宋_GB2312" w:cs="DengXian-Regular"/>
          <w:sz w:val="32"/>
          <w:szCs w:val="32"/>
        </w:rPr>
        <w:t>。</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年度一般公共预算财政拨款收入</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98.36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3.43</w:t>
      </w:r>
      <w:r>
        <w:rPr>
          <w:rFonts w:hint="eastAsia" w:ascii="仿宋_GB2312" w:hAnsi="Times New Roman" w:eastAsia="仿宋_GB2312" w:cs="DengXian-Regular"/>
          <w:sz w:val="32"/>
          <w:szCs w:val="32"/>
        </w:rPr>
        <w:t>万元，决算数小于预算数主要原因是</w:t>
      </w:r>
      <w:r>
        <w:rPr>
          <w:rFonts w:hint="eastAsia" w:ascii="仿宋_GB2312" w:hAnsi="Times New Roman" w:eastAsia="仿宋_GB2312" w:cs="DengXian-Regular"/>
          <w:sz w:val="32"/>
          <w:szCs w:val="32"/>
          <w:lang w:eastAsia="zh-CN"/>
        </w:rPr>
        <w:t>厉行节约，减少了日常公用经费及项目经费</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万元，完成年初预算的</w:t>
      </w:r>
      <w:r>
        <w:rPr>
          <w:rFonts w:hint="eastAsia" w:ascii="仿宋_GB2312" w:hAnsi="Times New Roman" w:eastAsia="仿宋_GB2312" w:cs="DengXian-Regular"/>
          <w:sz w:val="32"/>
          <w:szCs w:val="32"/>
          <w:lang w:val="en-US" w:eastAsia="zh-CN"/>
        </w:rPr>
        <w:t>98.36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w:t>
      </w:r>
      <w:r>
        <w:rPr>
          <w:rFonts w:hint="eastAsia" w:ascii="仿宋_GB2312" w:hAnsi="Times New Roman" w:eastAsia="仿宋_GB2312" w:cs="DengXian-Regular"/>
          <w:sz w:val="32"/>
          <w:szCs w:val="32"/>
          <w:lang w:val="en-US" w:eastAsia="zh-CN"/>
        </w:rPr>
        <w:t>3.43</w:t>
      </w:r>
      <w:r>
        <w:rPr>
          <w:rFonts w:hint="eastAsia" w:ascii="仿宋_GB2312" w:hAnsi="Times New Roman" w:eastAsia="仿宋_GB2312" w:cs="DengXian-Regular"/>
          <w:sz w:val="32"/>
          <w:szCs w:val="32"/>
        </w:rPr>
        <w:t>万元，决算数小于预算数主要原因是</w:t>
      </w:r>
      <w:r>
        <w:rPr>
          <w:rFonts w:hint="eastAsia" w:ascii="仿宋_GB2312" w:hAnsi="Times New Roman" w:eastAsia="仿宋_GB2312" w:cs="DengXian-Regular"/>
          <w:sz w:val="32"/>
          <w:szCs w:val="32"/>
          <w:lang w:eastAsia="zh-CN"/>
        </w:rPr>
        <w:t>厉行节约，减少了日常公用经费及项目经费</w:t>
      </w:r>
      <w:r>
        <w:rPr>
          <w:rFonts w:hint="eastAsia" w:ascii="仿宋_GB2312" w:hAnsi="Times New Roman" w:eastAsia="仿宋_GB2312" w:cs="DengXian-Regular"/>
          <w:sz w:val="32"/>
          <w:szCs w:val="32"/>
        </w:rPr>
        <w:t>。</w:t>
      </w:r>
    </w:p>
    <w:p>
      <w:pPr>
        <w:numPr>
          <w:ilvl w:val="0"/>
          <w:numId w:val="2"/>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年度财政拨款支出</w:t>
      </w:r>
      <w:r>
        <w:rPr>
          <w:rFonts w:hint="eastAsia" w:ascii="仿宋_GB2312" w:hAnsi="Times New Roman" w:eastAsia="仿宋_GB2312" w:cs="DengXian-Regular"/>
          <w:sz w:val="32"/>
          <w:szCs w:val="32"/>
          <w:lang w:val="en-US" w:eastAsia="zh-CN"/>
        </w:rPr>
        <w:t>205.30</w:t>
      </w:r>
      <w:r>
        <w:rPr>
          <w:rFonts w:hint="eastAsia" w:ascii="仿宋_GB2312" w:hAnsi="Times New Roman" w:eastAsia="仿宋_GB2312" w:cs="DengXian-Regular"/>
          <w:sz w:val="32"/>
          <w:szCs w:val="32"/>
        </w:rPr>
        <w:t>万元，主要用于以下方面</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一般公共服务（类）支出</w:t>
      </w:r>
      <w:r>
        <w:rPr>
          <w:rFonts w:hint="eastAsia" w:ascii="仿宋_GB2312" w:hAnsi="Times New Roman" w:eastAsia="仿宋_GB2312" w:cs="DengXian-Regular"/>
          <w:sz w:val="32"/>
          <w:szCs w:val="32"/>
          <w:lang w:val="en-US" w:eastAsia="zh-CN"/>
        </w:rPr>
        <w:t>151.13</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73.61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；社会保障和就业（类）支出</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lang w:val="en-US" w:eastAsia="zh-CN"/>
        </w:rPr>
        <w:t>40.23</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19.60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医疗卫生和计划生育支出</w:t>
      </w:r>
      <w:r>
        <w:rPr>
          <w:rFonts w:hint="eastAsia" w:ascii="仿宋_GB2312" w:hAnsi="Times New Roman" w:eastAsia="仿宋_GB2312" w:cs="DengXian-Regular"/>
          <w:sz w:val="32"/>
          <w:szCs w:val="32"/>
          <w:lang w:val="en-US" w:eastAsia="zh-CN"/>
        </w:rPr>
        <w:t>4.72万元，占2.30%，</w:t>
      </w:r>
      <w:r>
        <w:rPr>
          <w:rFonts w:hint="eastAsia" w:ascii="仿宋_GB2312" w:hAnsi="Times New Roman" w:eastAsia="仿宋_GB2312" w:cs="DengXian-Regular"/>
          <w:sz w:val="32"/>
          <w:szCs w:val="32"/>
        </w:rPr>
        <w:t>住房保障（类）支出</w:t>
      </w:r>
      <w:r>
        <w:rPr>
          <w:rFonts w:hint="eastAsia" w:ascii="仿宋_GB2312" w:hAnsi="Times New Roman" w:eastAsia="仿宋_GB2312" w:cs="DengXian-Regular"/>
          <w:sz w:val="32"/>
          <w:szCs w:val="32"/>
          <w:lang w:val="en-US" w:eastAsia="zh-CN"/>
        </w:rPr>
        <w:t>9.22</w:t>
      </w:r>
      <w:r>
        <w:rPr>
          <w:rFonts w:hint="eastAsia" w:ascii="仿宋_GB2312" w:hAnsi="Times New Roman" w:eastAsia="仿宋_GB2312" w:cs="DengXian-Regular"/>
          <w:sz w:val="32"/>
          <w:szCs w:val="32"/>
        </w:rPr>
        <w:t>万元，占</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lang w:val="en-US" w:eastAsia="zh-CN"/>
        </w:rPr>
        <w:t>4.49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eastAsia="仿宋_GB2312" w:cs="DengXian-Regular"/>
          <w:sz w:val="32"/>
          <w:szCs w:val="32"/>
        </w:rPr>
        <w:t>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年度一般公共预算财政拨款基本支出1</w:t>
      </w:r>
      <w:r>
        <w:rPr>
          <w:rFonts w:hint="eastAsia" w:ascii="仿宋_GB2312" w:eastAsia="仿宋_GB2312" w:cs="DengXian-Regular"/>
          <w:sz w:val="32"/>
          <w:szCs w:val="32"/>
          <w:lang w:val="en-US" w:eastAsia="zh-CN"/>
        </w:rPr>
        <w:t>80.3</w:t>
      </w:r>
      <w:r>
        <w:rPr>
          <w:rFonts w:hint="eastAsia" w:ascii="仿宋_GB2312" w:eastAsia="仿宋_GB2312" w:cs="DengXian-Regular"/>
          <w:sz w:val="32"/>
          <w:szCs w:val="32"/>
        </w:rPr>
        <w:t>0万元，其中：人员经费1</w:t>
      </w:r>
      <w:r>
        <w:rPr>
          <w:rFonts w:hint="eastAsia" w:ascii="仿宋_GB2312" w:eastAsia="仿宋_GB2312" w:cs="DengXian-Regular"/>
          <w:sz w:val="32"/>
          <w:szCs w:val="32"/>
          <w:lang w:val="en-US" w:eastAsia="zh-CN"/>
        </w:rPr>
        <w:t>45.93</w:t>
      </w:r>
      <w:r>
        <w:rPr>
          <w:rFonts w:hint="eastAsia" w:ascii="仿宋_GB2312" w:eastAsia="仿宋_GB2312" w:cs="DengXian-Regular"/>
          <w:sz w:val="32"/>
          <w:szCs w:val="32"/>
        </w:rPr>
        <w:t>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hint="eastAsia" w:ascii="仿宋_GB2312" w:eastAsia="仿宋_GB2312" w:cs="DengXian-Regular"/>
          <w:sz w:val="32"/>
          <w:szCs w:val="32"/>
          <w:lang w:val="en-US" w:eastAsia="zh-CN"/>
        </w:rPr>
        <w:t>34.37</w:t>
      </w:r>
      <w:r>
        <w:rPr>
          <w:rFonts w:hint="eastAsia" w:ascii="仿宋_GB2312" w:eastAsia="仿宋_GB2312" w:cs="DengXian-Regular"/>
          <w:sz w:val="32"/>
          <w:szCs w:val="32"/>
        </w:rPr>
        <w:t>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其他资本性支出。</w:t>
      </w:r>
    </w:p>
    <w:p>
      <w:pPr>
        <w:numPr>
          <w:ilvl w:val="0"/>
          <w:numId w:val="3"/>
        </w:numPr>
        <w:adjustRightInd w:val="0"/>
        <w:snapToGrid w:val="0"/>
        <w:spacing w:line="580" w:lineRule="exact"/>
        <w:ind w:firstLine="640" w:firstLineChars="200"/>
        <w:rPr>
          <w:rFonts w:hint="eastAsia" w:ascii="黑体" w:hAnsi="Calibri" w:eastAsia="黑体"/>
          <w:sz w:val="32"/>
          <w:szCs w:val="32"/>
        </w:rPr>
      </w:pPr>
      <w:r>
        <w:rPr>
          <w:rFonts w:hint="eastAsia" w:ascii="黑体" w:hAnsi="Calibri" w:eastAsia="黑体"/>
          <w:sz w:val="32"/>
          <w:szCs w:val="32"/>
        </w:rPr>
        <w:t>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w:t>
      </w:r>
      <w:r>
        <w:rPr>
          <w:rFonts w:hint="eastAsia" w:ascii="仿宋_GB2312" w:hAnsi="Times New Roman" w:eastAsia="仿宋_GB2312" w:cs="DengXian-Regular"/>
          <w:sz w:val="32"/>
          <w:szCs w:val="32"/>
          <w:lang w:val="en-US" w:eastAsia="zh-CN"/>
        </w:rPr>
        <w:t>3.06</w:t>
      </w:r>
      <w:r>
        <w:rPr>
          <w:rFonts w:hint="eastAsia" w:ascii="仿宋_GB2312" w:hAnsi="Times New Roman" w:eastAsia="仿宋_GB2312" w:cs="DengXian-Regular"/>
          <w:sz w:val="32"/>
          <w:szCs w:val="32"/>
        </w:rPr>
        <w:t>万元，完成</w:t>
      </w:r>
      <w:r>
        <w:rPr>
          <w:rFonts w:hint="eastAsia" w:ascii="仿宋_GB2312" w:hAnsi="Times New Roman" w:eastAsia="仿宋_GB2312" w:cs="DengXian-Regular"/>
          <w:sz w:val="32"/>
          <w:szCs w:val="32"/>
          <w:lang w:eastAsia="zh-CN"/>
        </w:rPr>
        <w:t>年初</w:t>
      </w:r>
      <w:r>
        <w:rPr>
          <w:rFonts w:hint="eastAsia" w:ascii="仿宋_GB2312" w:hAnsi="Times New Roman" w:eastAsia="仿宋_GB2312" w:cs="DengXian-Regular"/>
          <w:sz w:val="32"/>
          <w:szCs w:val="32"/>
        </w:rPr>
        <w:t>预算的</w:t>
      </w:r>
      <w:r>
        <w:rPr>
          <w:rFonts w:hint="eastAsia" w:ascii="仿宋_GB2312" w:hAnsi="Times New Roman" w:eastAsia="仿宋_GB2312" w:cs="DengXian-Regular"/>
          <w:sz w:val="32"/>
          <w:szCs w:val="32"/>
          <w:lang w:val="en-US" w:eastAsia="zh-CN"/>
        </w:rPr>
        <w:t>35.58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较</w:t>
      </w:r>
      <w:r>
        <w:rPr>
          <w:rFonts w:hint="eastAsia" w:ascii="仿宋_GB2312" w:hAnsi="Times New Roman" w:eastAsia="仿宋_GB2312" w:cs="DengXian-Regular"/>
          <w:sz w:val="32"/>
          <w:szCs w:val="32"/>
          <w:lang w:eastAsia="zh-CN"/>
        </w:rPr>
        <w:t>年初</w:t>
      </w:r>
      <w:r>
        <w:rPr>
          <w:rFonts w:hint="eastAsia" w:ascii="仿宋_GB2312" w:hAnsi="Times New Roman" w:eastAsia="仿宋_GB2312" w:cs="DengXian-Regular"/>
          <w:sz w:val="32"/>
          <w:szCs w:val="32"/>
        </w:rPr>
        <w:t>预算减少</w:t>
      </w:r>
      <w:r>
        <w:rPr>
          <w:rFonts w:hint="eastAsia" w:ascii="仿宋_GB2312" w:hAnsi="Times New Roman" w:eastAsia="仿宋_GB2312" w:cs="DengXian-Regular"/>
          <w:sz w:val="32"/>
          <w:szCs w:val="32"/>
          <w:lang w:val="en-US" w:eastAsia="zh-CN"/>
        </w:rPr>
        <w:t>5.54</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64.44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，主要是我单位认真落实中央“八项规定”精神和厉行节约要求，管理制度不断完善，“三公”经费支出得到了有效控制，实现了只减不增的目标；较</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5.54</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64.44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，主要是我单位认真落实中央“八项规定”精神和厉行节约要求，管理制度不断完善，“三公”经费支出得到了有效控制，实现了只减不增的目标。具体情况如下：</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（一）因公出国（境）费支出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参加其他单位组织的因公出国（境）团组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无本单位组织的出国（境）团组。因公出国（境）费支出较预算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；较上年决算无变化。</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（二）公务用车购置及运行维护费支出</w:t>
      </w:r>
      <w:r>
        <w:rPr>
          <w:rFonts w:hint="eastAsia" w:ascii="楷体_GB2312" w:hAnsi="Times New Roman" w:eastAsia="楷体_GB2312" w:cs="DengXian-Bold"/>
          <w:b/>
          <w:bCs/>
          <w:sz w:val="32"/>
          <w:szCs w:val="32"/>
          <w:lang w:val="en-US" w:eastAsia="zh-CN"/>
        </w:rPr>
        <w:t>3.06</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年度公务用车购置及运行维护费较预算减少</w:t>
      </w:r>
      <w:r>
        <w:rPr>
          <w:rFonts w:hint="eastAsia" w:ascii="仿宋_GB2312" w:hAnsi="Times New Roman" w:eastAsia="仿宋_GB2312" w:cs="DengXian-Regular"/>
          <w:sz w:val="32"/>
          <w:szCs w:val="32"/>
          <w:lang w:val="en-US" w:eastAsia="zh-CN"/>
        </w:rPr>
        <w:t>5.54</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64.44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，主要是我单位认真落实中央“八项规定”精神和厉行节约要求，管理制度不断完善，“三公”经费支出得到了有效控制，实现了只减不增的目标；较</w:t>
      </w:r>
      <w:r>
        <w:rPr>
          <w:rFonts w:hint="eastAsia" w:ascii="仿宋_GB2312" w:hAnsi="Times New Roman" w:eastAsia="仿宋_GB2312" w:cs="DengXian-Regular"/>
          <w:sz w:val="32"/>
          <w:szCs w:val="32"/>
          <w:lang w:val="en-US" w:eastAsia="zh-CN"/>
        </w:rPr>
        <w:t>2018年决算</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5.54</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64.44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，主要是我单位认真落实中央“八项规定”精神和厉行节约要求，管理制度不断完善，“三公”经费支出得到了有效控制，实现了只减不增的目标。</w:t>
      </w:r>
      <w:r>
        <w:rPr>
          <w:rFonts w:hint="eastAsia" w:ascii="仿宋_GB2312" w:hAnsi="Times New Roman" w:eastAsia="仿宋_GB2312" w:cs="DengXian-Bold"/>
          <w:b/>
          <w:bCs/>
          <w:sz w:val="32"/>
          <w:szCs w:val="32"/>
        </w:rPr>
        <w:t>其中：</w:t>
      </w:r>
    </w:p>
    <w:p>
      <w:pPr>
        <w:adjustRightInd w:val="0"/>
        <w:snapToGrid w:val="0"/>
        <w:spacing w:line="580" w:lineRule="exact"/>
        <w:ind w:firstLine="643" w:firstLineChars="200"/>
        <w:rPr>
          <w:rFonts w:hint="eastAsia" w:ascii="仿宋_GB2312" w:hAnsi="Times New Roman" w:eastAsia="仿宋_GB2312" w:cs="DengXian-Regular"/>
          <w:color w:val="000000"/>
          <w:sz w:val="32"/>
          <w:szCs w:val="32"/>
          <w:highlight w:val="none"/>
          <w:lang w:eastAsia="zh-CN"/>
        </w:rPr>
      </w:pPr>
      <w:r>
        <w:rPr>
          <w:rFonts w:hint="eastAsia" w:ascii="仿宋_GB2312" w:hAnsi="Times New Roman" w:eastAsia="仿宋_GB2312" w:cs="DengXian-Regular"/>
          <w:b/>
          <w:sz w:val="32"/>
          <w:szCs w:val="32"/>
        </w:rPr>
        <w:t>公务用车购置费</w:t>
      </w:r>
      <w:r>
        <w:rPr>
          <w:rFonts w:hint="eastAsia" w:ascii="仿宋_GB2312" w:hAnsi="Times New Roman" w:eastAsia="仿宋_GB2312" w:cs="DengXian-Regular"/>
          <w:b/>
          <w:sz w:val="32"/>
          <w:szCs w:val="32"/>
          <w:lang w:val="en-US" w:eastAsia="zh-CN"/>
        </w:rPr>
        <w:t>0万元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w:t>
      </w:r>
      <w:r>
        <w:rPr>
          <w:rFonts w:hint="eastAsia" w:ascii="仿宋_GB2312" w:hAnsi="Times New Roman" w:eastAsia="仿宋_GB2312" w:cs="DengXian-Regular"/>
          <w:color w:val="000000"/>
          <w:sz w:val="32"/>
          <w:szCs w:val="32"/>
          <w:highlight w:val="none"/>
        </w:rPr>
        <w:t>未发生“公务用车购置”经费支出</w:t>
      </w:r>
      <w:r>
        <w:rPr>
          <w:rFonts w:hint="eastAsia" w:ascii="仿宋_GB2312" w:hAnsi="Times New Roman" w:eastAsia="仿宋_GB2312" w:cs="DengXian-Regular"/>
          <w:color w:val="000000"/>
          <w:sz w:val="32"/>
          <w:szCs w:val="32"/>
          <w:highlight w:val="none"/>
          <w:lang w:eastAsia="zh-CN"/>
        </w:rPr>
        <w:t>，购置量</w:t>
      </w:r>
      <w:r>
        <w:rPr>
          <w:rFonts w:hint="eastAsia" w:ascii="仿宋_GB2312" w:hAnsi="Times New Roman" w:eastAsia="仿宋_GB2312" w:cs="DengXian-Regular"/>
          <w:color w:val="000000"/>
          <w:sz w:val="32"/>
          <w:szCs w:val="32"/>
          <w:highlight w:val="none"/>
          <w:lang w:val="en-US" w:eastAsia="zh-CN"/>
        </w:rPr>
        <w:t>0辆，</w:t>
      </w:r>
      <w:r>
        <w:rPr>
          <w:rFonts w:hint="eastAsia" w:ascii="仿宋_GB2312" w:hAnsi="Times New Roman" w:eastAsia="仿宋_GB2312" w:cs="DengXian-Regular"/>
          <w:color w:val="000000"/>
          <w:sz w:val="32"/>
          <w:szCs w:val="32"/>
          <w:highlight w:val="none"/>
        </w:rPr>
        <w:t>与年初预算持平</w:t>
      </w:r>
      <w:r>
        <w:rPr>
          <w:rFonts w:hint="eastAsia" w:ascii="仿宋_GB2312" w:hAnsi="Times New Roman" w:eastAsia="仿宋_GB2312" w:cs="DengXian-Regular"/>
          <w:color w:val="000000"/>
          <w:sz w:val="32"/>
          <w:szCs w:val="32"/>
          <w:highlight w:val="none"/>
          <w:lang w:eastAsia="zh-CN"/>
        </w:rPr>
        <w:t>，</w:t>
      </w:r>
      <w:r>
        <w:rPr>
          <w:rFonts w:hint="eastAsia" w:ascii="仿宋_GB2312" w:hAnsi="Times New Roman" w:eastAsia="仿宋_GB2312" w:cs="DengXian-Regular"/>
          <w:color w:val="000000"/>
          <w:sz w:val="32"/>
          <w:szCs w:val="32"/>
          <w:highlight w:val="none"/>
        </w:rPr>
        <w:t>与</w:t>
      </w:r>
      <w:r>
        <w:rPr>
          <w:rFonts w:ascii="仿宋_GB2312" w:hAnsi="Times New Roman" w:eastAsia="仿宋_GB2312" w:cs="DengXian-Regular"/>
          <w:color w:val="000000"/>
          <w:sz w:val="32"/>
          <w:szCs w:val="32"/>
          <w:highlight w:val="none"/>
        </w:rPr>
        <w:t>2018</w:t>
      </w:r>
      <w:r>
        <w:rPr>
          <w:rFonts w:hint="eastAsia" w:ascii="仿宋_GB2312" w:hAnsi="Times New Roman" w:eastAsia="仿宋_GB2312" w:cs="DengXian-Regular"/>
          <w:color w:val="000000"/>
          <w:sz w:val="32"/>
          <w:szCs w:val="32"/>
          <w:highlight w:val="none"/>
        </w:rPr>
        <w:t>年度决算支出持平</w:t>
      </w:r>
      <w:r>
        <w:rPr>
          <w:rFonts w:hint="eastAsia" w:ascii="仿宋_GB2312" w:hAnsi="Times New Roman" w:eastAsia="仿宋_GB2312" w:cs="DengXian-Regular"/>
          <w:color w:val="000000"/>
          <w:sz w:val="32"/>
          <w:szCs w:val="32"/>
          <w:highlight w:val="none"/>
          <w:lang w:eastAsia="zh-CN"/>
        </w:rPr>
        <w:t>。</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楷体_GB2312" w:hAnsi="Times New Roman" w:eastAsia="楷体_GB2312" w:cs="DengXian-Bold"/>
          <w:b/>
          <w:bCs/>
          <w:sz w:val="32"/>
          <w:szCs w:val="32"/>
          <w:lang w:val="en-US" w:eastAsia="zh-CN"/>
        </w:rPr>
        <w:t>3.06</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辆。公车运行维护费支出较预算减少</w:t>
      </w:r>
      <w:r>
        <w:rPr>
          <w:rFonts w:hint="eastAsia" w:ascii="仿宋_GB2312" w:hAnsi="Times New Roman" w:eastAsia="仿宋_GB2312" w:cs="DengXian-Regular"/>
          <w:sz w:val="32"/>
          <w:szCs w:val="32"/>
          <w:lang w:val="en-US" w:eastAsia="zh-CN"/>
        </w:rPr>
        <w:t>5.54</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64.64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主要是我单位认真落实中央“八项规定”精神和厉行节约要求，管理制度不断完善，“三公”经费支出得到了有效控制，实现了只减不增的目标；较上年</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5.54</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64.64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主要是我单位认真落实中央“八项规定”精神和厉行节约要求，管理制度不断完善，“三公”经费支出得到了有效控制，实现了只减不增的目标。</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楷体_GB2312" w:hAnsi="Times New Roman" w:eastAsia="楷体_GB2312" w:cs="DengXian-Bold"/>
          <w:b/>
          <w:bCs/>
          <w:sz w:val="32"/>
          <w:szCs w:val="32"/>
        </w:rPr>
        <w:t>（三）公务接待费支出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批次、</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人次。公务接待费支出较预算减少</w:t>
      </w:r>
      <w:r>
        <w:rPr>
          <w:rFonts w:hint="eastAsia" w:ascii="仿宋_GB2312" w:hAnsi="Times New Roman" w:eastAsia="仿宋_GB2312" w:cs="DengXian-Regular"/>
          <w:sz w:val="32"/>
          <w:szCs w:val="32"/>
          <w:lang w:val="en-US" w:eastAsia="zh-CN"/>
        </w:rPr>
        <w:t>0.60</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厉行节约，</w:t>
      </w:r>
      <w:r>
        <w:rPr>
          <w:rFonts w:hint="eastAsia" w:ascii="仿宋_GB2312" w:hAnsi="Times New Roman" w:eastAsia="仿宋_GB2312" w:cs="DengXian-Regular"/>
          <w:sz w:val="32"/>
          <w:szCs w:val="32"/>
        </w:rPr>
        <w:t>响应国家政策较201</w:t>
      </w:r>
      <w:r>
        <w:rPr>
          <w:rFonts w:hint="eastAsia" w:ascii="仿宋_GB2312" w:hAnsi="Times New Roman" w:eastAsia="仿宋_GB2312" w:cs="DengXian-Regular"/>
          <w:sz w:val="32"/>
          <w:szCs w:val="32"/>
          <w:lang w:val="en-US" w:eastAsia="zh-CN"/>
        </w:rPr>
        <w:t>8</w:t>
      </w:r>
      <w:r>
        <w:rPr>
          <w:rFonts w:hint="eastAsia" w:ascii="仿宋_GB2312" w:hAnsi="Times New Roman" w:eastAsia="仿宋_GB2312" w:cs="DengXian-Regular"/>
          <w:sz w:val="32"/>
          <w:szCs w:val="32"/>
        </w:rPr>
        <w:t>年减少了公务招待费用；较上年</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0.60</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eastAsia="zh-CN"/>
        </w:rPr>
        <w:t>厉行节约，</w:t>
      </w:r>
      <w:r>
        <w:rPr>
          <w:rFonts w:hint="eastAsia" w:ascii="仿宋_GB2312" w:hAnsi="Times New Roman" w:eastAsia="仿宋_GB2312" w:cs="DengXian-Regular"/>
          <w:sz w:val="32"/>
          <w:szCs w:val="32"/>
        </w:rPr>
        <w:t>响应国家政策较201</w:t>
      </w:r>
      <w:r>
        <w:rPr>
          <w:rFonts w:hint="eastAsia" w:ascii="仿宋_GB2312" w:hAnsi="Times New Roman" w:eastAsia="仿宋_GB2312" w:cs="DengXian-Regular"/>
          <w:sz w:val="32"/>
          <w:szCs w:val="32"/>
          <w:lang w:val="en-US" w:eastAsia="zh-CN"/>
        </w:rPr>
        <w:t>8</w:t>
      </w:r>
      <w:r>
        <w:rPr>
          <w:rFonts w:hint="eastAsia" w:ascii="仿宋_GB2312" w:hAnsi="Times New Roman" w:eastAsia="仿宋_GB2312" w:cs="DengXian-Regular"/>
          <w:sz w:val="32"/>
          <w:szCs w:val="32"/>
        </w:rPr>
        <w:t>年减少了公务</w:t>
      </w:r>
      <w:r>
        <w:rPr>
          <w:rFonts w:hint="eastAsia" w:ascii="仿宋_GB2312" w:hAnsi="Times New Roman" w:eastAsia="仿宋_GB2312" w:cs="DengXian-Regular"/>
          <w:sz w:val="32"/>
          <w:szCs w:val="32"/>
          <w:lang w:eastAsia="zh-CN"/>
        </w:rPr>
        <w:t>接</w:t>
      </w:r>
      <w:r>
        <w:rPr>
          <w:rFonts w:hint="eastAsia" w:ascii="仿宋_GB2312" w:hAnsi="Times New Roman" w:eastAsia="仿宋_GB2312" w:cs="DengXian-Regular"/>
          <w:sz w:val="32"/>
          <w:szCs w:val="32"/>
        </w:rPr>
        <w:t>待费用。</w:t>
      </w:r>
    </w:p>
    <w:p>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pPr>
        <w:adjustRightInd w:val="0"/>
        <w:snapToGrid w:val="0"/>
        <w:spacing w:line="580" w:lineRule="exact"/>
        <w:ind w:firstLine="643" w:firstLineChars="200"/>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adjustRightInd w:val="0"/>
        <w:snapToGrid w:val="0"/>
        <w:spacing w:line="580" w:lineRule="exact"/>
        <w:ind w:firstLine="640" w:firstLineChars="200"/>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根据预算绩效管理要求，本部门组织对2019年度一般公共预算项目支出全面开展绩效自评，其中，一级项目</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个，共涉及资金</w:t>
      </w:r>
      <w:r>
        <w:rPr>
          <w:rFonts w:hint="eastAsia" w:ascii="仿宋_GB2312" w:hAnsi="Times New Roman" w:eastAsia="仿宋_GB2312" w:cs="DengXian-Regular"/>
          <w:sz w:val="32"/>
          <w:szCs w:val="32"/>
          <w:lang w:val="en-US" w:eastAsia="zh-CN"/>
        </w:rPr>
        <w:t>25.00</w:t>
      </w:r>
      <w:r>
        <w:rPr>
          <w:rFonts w:hint="eastAsia" w:ascii="仿宋_GB2312" w:hAnsi="Times New Roman" w:eastAsia="仿宋_GB2312" w:cs="DengXian-Regular"/>
          <w:sz w:val="32"/>
          <w:szCs w:val="32"/>
        </w:rPr>
        <w:t>万元，占一般公共预算项目支出总额的</w:t>
      </w:r>
      <w:r>
        <w:rPr>
          <w:rFonts w:hint="eastAsia" w:ascii="仿宋_GB2312" w:hAnsi="Times New Roman" w:eastAsia="仿宋_GB2312" w:cs="DengXian-Regular"/>
          <w:sz w:val="32"/>
          <w:szCs w:val="32"/>
          <w:lang w:val="en-US" w:eastAsia="zh-CN"/>
        </w:rPr>
        <w:t>100%</w:t>
      </w:r>
      <w:r>
        <w:rPr>
          <w:rFonts w:hint="eastAsia" w:ascii="仿宋_GB2312" w:hAnsi="Times New Roman" w:eastAsia="仿宋_GB2312" w:cs="DengXian-Regular"/>
          <w:sz w:val="32"/>
          <w:szCs w:val="32"/>
        </w:rPr>
        <w:t>。组织对“</w:t>
      </w:r>
      <w:r>
        <w:rPr>
          <w:rFonts w:hint="eastAsia" w:ascii="仿宋_GB2312" w:hAnsi="Times New Roman" w:eastAsia="仿宋_GB2312" w:cs="DengXian-Regular"/>
          <w:sz w:val="32"/>
          <w:szCs w:val="32"/>
          <w:lang w:eastAsia="zh-CN"/>
        </w:rPr>
        <w:t>政协九届三次会议</w:t>
      </w:r>
      <w:r>
        <w:rPr>
          <w:rFonts w:hint="eastAsia" w:ascii="仿宋_GB2312" w:hAnsi="Times New Roman" w:eastAsia="仿宋_GB2312" w:cs="DengXian-Regular"/>
          <w:sz w:val="32"/>
          <w:szCs w:val="32"/>
        </w:rPr>
        <w:t>”项目开展了部门评价，涉及一般公共预算支出</w:t>
      </w:r>
      <w:r>
        <w:rPr>
          <w:rFonts w:hint="eastAsia" w:ascii="仿宋_GB2312" w:hAnsi="Times New Roman" w:eastAsia="仿宋_GB2312" w:cs="DengXian-Regular"/>
          <w:sz w:val="32"/>
          <w:szCs w:val="32"/>
          <w:lang w:val="en-US" w:eastAsia="zh-CN"/>
        </w:rPr>
        <w:t>25.00</w:t>
      </w:r>
      <w:r>
        <w:rPr>
          <w:rFonts w:hint="eastAsia" w:ascii="仿宋_GB2312" w:hAnsi="Times New Roman" w:eastAsia="仿宋_GB2312" w:cs="DengXian-Regular"/>
          <w:sz w:val="32"/>
          <w:szCs w:val="32"/>
        </w:rPr>
        <w:t>万元。从评价情况来看，阜平县政协部门以“部门职责—工作活动”为依据，确定部门预算项目和预算额度，清晰描述预算项目开支范围和内容，确定预算项目的绩效目标、绩效指标和评价标准，为预算绩效控制、绩效分析、绩效评价打下好的基础。阜平县政协部门对 201</w:t>
      </w:r>
      <w:r>
        <w:rPr>
          <w:rFonts w:hint="eastAsia" w:ascii="仿宋_GB2312" w:hAnsi="Times New Roman" w:eastAsia="仿宋_GB2312" w:cs="DengXian-Regular"/>
          <w:sz w:val="32"/>
          <w:szCs w:val="32"/>
          <w:lang w:val="en-US" w:eastAsia="zh-CN"/>
        </w:rPr>
        <w:t>9</w:t>
      </w:r>
      <w:r>
        <w:rPr>
          <w:rFonts w:hint="eastAsia" w:ascii="仿宋_GB2312" w:hAnsi="Times New Roman" w:eastAsia="仿宋_GB2312" w:cs="DengXian-Regular"/>
          <w:sz w:val="32"/>
          <w:szCs w:val="32"/>
        </w:rPr>
        <w:t>年初确定的部门一般公共预算支出专项项目全面开展了绩效自评。根据</w:t>
      </w:r>
      <w:bookmarkStart w:id="0" w:name="_Toc477179486"/>
      <w:r>
        <w:rPr>
          <w:rFonts w:hint="eastAsia" w:ascii="仿宋_GB2312" w:hAnsi="Times New Roman" w:eastAsia="仿宋_GB2312" w:cs="DengXian-Regular"/>
          <w:sz w:val="32"/>
          <w:szCs w:val="32"/>
        </w:rPr>
        <w:t>部门职责-工作活动绩效目标</w:t>
      </w:r>
      <w:bookmarkEnd w:id="0"/>
      <w:r>
        <w:rPr>
          <w:rFonts w:hint="eastAsia" w:ascii="仿宋_GB2312" w:hAnsi="Times New Roman" w:eastAsia="仿宋_GB2312" w:cs="DengXian-Regular"/>
          <w:sz w:val="32"/>
          <w:szCs w:val="32"/>
        </w:rPr>
        <w:t>评分，部门整体支出绩效为“优秀”。本部门依法合理有效地使用财政资金，提高财政资金使用效率，在完成部门职能目标中合理分配人、财、物，各个股室之间相配合，互为监督，使之达到较高的使用效率和实施效果。较好地实现了预算项目绩效目标，绩效自评覆盖率达到100%。</w:t>
      </w:r>
    </w:p>
    <w:p>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2. </w:t>
      </w:r>
      <w:r>
        <w:rPr>
          <w:rFonts w:hint="eastAsia" w:ascii="仿宋_GB2312" w:hAnsi="仿宋_GB2312" w:eastAsia="仿宋_GB2312" w:cs="仿宋_GB2312"/>
          <w:b/>
          <w:bCs/>
          <w:sz w:val="32"/>
          <w:szCs w:val="32"/>
        </w:rPr>
        <w:t>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仿宋_GB2312" w:eastAsia="仿宋_GB2312" w:cs="仿宋_GB2312"/>
          <w:sz w:val="32"/>
          <w:szCs w:val="32"/>
          <w:lang w:eastAsia="zh-CN"/>
        </w:rPr>
        <w:t>的政协九届三次会议</w:t>
      </w:r>
      <w:r>
        <w:rPr>
          <w:rFonts w:hint="eastAsia" w:ascii="仿宋_GB2312" w:hAnsi="仿宋_GB2312" w:eastAsia="仿宋_GB2312" w:cs="仿宋_GB2312"/>
          <w:sz w:val="32"/>
          <w:szCs w:val="32"/>
        </w:rPr>
        <w:t>项目绩效自评结果。</w:t>
      </w:r>
    </w:p>
    <w:p>
      <w:pPr>
        <w:numPr>
          <w:ilvl w:val="0"/>
          <w:numId w:val="0"/>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政协九届三次会议</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eastAsia="zh-CN"/>
        </w:rPr>
        <w:t>政协九届三次会议</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29.49</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25.00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84.77%</w:t>
      </w:r>
      <w:r>
        <w:rPr>
          <w:rFonts w:hint="eastAsia" w:ascii="仿宋_GB2312" w:hAnsi="仿宋_GB2312" w:eastAsia="仿宋_GB2312" w:cs="仿宋_GB2312"/>
          <w:sz w:val="32"/>
          <w:szCs w:val="32"/>
        </w:rPr>
        <w:t>。项目绩效目标完成情况：一是紧密配合县委中心工作，切实履行政治协商、民主监督、参政议政职能；二是充分发挥协调关系，汇聚力量，建言献策，服务大局作用。</w:t>
      </w:r>
      <w:r>
        <w:rPr>
          <w:rFonts w:hint="eastAsia" w:ascii="仿宋_GB2312" w:hAnsi="宋体" w:eastAsia="仿宋_GB2312"/>
          <w:color w:val="000000"/>
          <w:kern w:val="0"/>
          <w:sz w:val="32"/>
          <w:szCs w:val="32"/>
        </w:rPr>
        <w:t>绩效自评等级为“优”</w:t>
      </w:r>
    </w:p>
    <w:p>
      <w:pPr>
        <w:keepNext/>
        <w:keepLines/>
        <w:numPr>
          <w:ilvl w:val="0"/>
          <w:numId w:val="4"/>
        </w:numPr>
        <w:snapToGrid w:val="0"/>
        <w:spacing w:line="580" w:lineRule="exact"/>
        <w:ind w:firstLine="643" w:firstLineChars="200"/>
        <w:outlineLvl w:val="1"/>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财政评价项目绩效评价结果</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lang w:val="en-US" w:eastAsia="zh-CN"/>
        </w:rPr>
        <w:t>无</w:t>
      </w:r>
    </w:p>
    <w:p>
      <w:pPr>
        <w:keepNext/>
        <w:keepLines/>
        <w:numPr>
          <w:ilvl w:val="0"/>
          <w:numId w:val="0"/>
        </w:numPr>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七、其他重要事项的说明</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autoSpaceDE w:val="0"/>
        <w:autoSpaceDN w:val="0"/>
        <w:adjustRightInd w:val="0"/>
        <w:spacing w:line="600" w:lineRule="exact"/>
        <w:ind w:firstLine="640" w:firstLineChars="200"/>
        <w:jc w:val="left"/>
        <w:rPr>
          <w:rFonts w:hint="eastAsia" w:ascii="仿宋_GB2312" w:eastAsia="仿宋_GB2312" w:cs="DengXian-Regular"/>
          <w:sz w:val="32"/>
          <w:szCs w:val="32"/>
          <w:lang w:val="en-US"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w:t>
      </w:r>
      <w:r>
        <w:rPr>
          <w:rFonts w:hint="eastAsia" w:ascii="仿宋_GB2312" w:hAnsi="Times New Roman" w:eastAsia="仿宋_GB2312" w:cs="DengXian-Regular"/>
          <w:sz w:val="32"/>
          <w:szCs w:val="32"/>
          <w:lang w:val="en-US" w:eastAsia="zh-CN"/>
        </w:rPr>
        <w:t>34.37</w:t>
      </w:r>
      <w:r>
        <w:rPr>
          <w:rFonts w:hint="eastAsia" w:ascii="仿宋_GB2312" w:hAnsi="Times New Roman" w:eastAsia="仿宋_GB2312" w:cs="DengXian-Regular"/>
          <w:sz w:val="32"/>
          <w:szCs w:val="32"/>
        </w:rPr>
        <w:t>万元，比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eastAsia="zh-CN"/>
        </w:rPr>
        <w:t>决算</w:t>
      </w:r>
      <w:r>
        <w:rPr>
          <w:rFonts w:hint="eastAsia" w:ascii="仿宋_GB2312" w:hAnsi="Times New Roman" w:eastAsia="仿宋_GB2312" w:cs="DengXian-Regular"/>
          <w:sz w:val="32"/>
          <w:szCs w:val="32"/>
        </w:rPr>
        <w:t>减少</w:t>
      </w:r>
      <w:r>
        <w:rPr>
          <w:rFonts w:hint="eastAsia" w:ascii="仿宋_GB2312" w:hAnsi="Times New Roman" w:eastAsia="仿宋_GB2312" w:cs="DengXian-Regular"/>
          <w:sz w:val="32"/>
          <w:szCs w:val="32"/>
          <w:lang w:val="en-US" w:eastAsia="zh-CN"/>
        </w:rPr>
        <w:t>15.60</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31.22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eastAsia="zh-CN"/>
        </w:rPr>
        <w:t>厉行节约，减少了日常公用经费</w:t>
      </w:r>
      <w:r>
        <w:rPr>
          <w:rFonts w:hint="eastAsia" w:ascii="仿宋_GB2312" w:hAnsi="Times New Roman" w:eastAsia="仿宋_GB2312" w:cs="DengXian-Regular"/>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2019</w:t>
      </w:r>
      <w:r>
        <w:rPr>
          <w:rFonts w:hint="eastAsia" w:ascii="仿宋_GB2312" w:eastAsia="仿宋_GB2312" w:cs="DengXian-Regular"/>
          <w:sz w:val="32"/>
          <w:szCs w:val="32"/>
        </w:rPr>
        <w:t>年度机关运行经费支出</w:t>
      </w:r>
      <w:r>
        <w:rPr>
          <w:rFonts w:hint="eastAsia" w:ascii="仿宋_GB2312" w:eastAsia="仿宋_GB2312" w:cs="DengXian-Regular"/>
          <w:sz w:val="32"/>
          <w:szCs w:val="32"/>
          <w:lang w:val="en-US" w:eastAsia="zh-CN"/>
        </w:rPr>
        <w:t>34.37</w:t>
      </w:r>
      <w:r>
        <w:rPr>
          <w:rFonts w:hint="eastAsia" w:ascii="仿宋_GB2312" w:eastAsia="仿宋_GB2312" w:cs="DengXian-Regular"/>
          <w:sz w:val="32"/>
          <w:szCs w:val="32"/>
        </w:rPr>
        <w:t>万元，比年初预算数减少</w:t>
      </w:r>
      <w:r>
        <w:rPr>
          <w:rFonts w:hint="eastAsia" w:ascii="仿宋_GB2312" w:eastAsia="仿宋_GB2312" w:cs="DengXian-Regular"/>
          <w:sz w:val="32"/>
          <w:szCs w:val="32"/>
          <w:lang w:val="en-US" w:eastAsia="zh-CN"/>
        </w:rPr>
        <w:t>15.58</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31.19</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_GB2312" w:hAnsi="Times New Roman" w:eastAsia="仿宋_GB2312" w:cs="DengXian-Regular"/>
          <w:sz w:val="32"/>
          <w:szCs w:val="32"/>
          <w:lang w:eastAsia="zh-CN"/>
        </w:rPr>
        <w:t>厉行节约，减少了日常公用经费</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其中：办公费17.20万元、邮电费5.42万元、公务用车运行维护费3.06万元、其他交通费8.69万元。</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adjustRightInd w:val="0"/>
        <w:snapToGrid w:val="0"/>
        <w:spacing w:line="58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本部门2019年度政府采购支出总额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万元，从采购类型来看，政府采购货物支出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 xml:space="preserve"> 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 xml:space="preserve">万元、政府采购服务支出 </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万元。授予中小企业合同金额</w:t>
      </w:r>
      <w:bookmarkStart w:id="1" w:name="_GoBack"/>
      <w:bookmarkEnd w:id="1"/>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 xml:space="preserve">万元，占政府采购支出总额的 </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w:t>
      </w: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与上年无变化</w:t>
      </w:r>
      <w:r>
        <w:rPr>
          <w:rFonts w:hint="eastAsia" w:ascii="仿宋_GB2312" w:hAnsi="Times New Roman" w:eastAsia="仿宋_GB2312" w:cs="DengXian-Regular"/>
          <w:sz w:val="32"/>
          <w:szCs w:val="32"/>
        </w:rPr>
        <w:t>。其中，</w:t>
      </w:r>
      <w:r>
        <w:rPr>
          <w:rFonts w:hint="eastAsia" w:ascii="仿宋_GB2312" w:hAnsi="Times New Roman" w:eastAsia="仿宋_GB2312" w:cs="DengXian-Regular"/>
          <w:sz w:val="32"/>
          <w:szCs w:val="32"/>
          <w:highlight w:val="none"/>
        </w:rPr>
        <w:t>副部（省）级及以上领导用车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辆，主要领导干部用车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w:t>
      </w:r>
      <w:r>
        <w:rPr>
          <w:rFonts w:hint="eastAsia" w:ascii="仿宋_GB2312" w:hAnsi="Times New Roman" w:eastAsia="仿宋_GB2312" w:cs="DengXian-Regular"/>
          <w:sz w:val="32"/>
          <w:szCs w:val="32"/>
        </w:rPr>
        <w:t>机要通信用车</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辆，应急保障用车</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highlight w:val="none"/>
        </w:rPr>
        <w:t>执法执勤用车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辆，特种专业技术用车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辆，离退休干部用车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辆，其他用车</w:t>
      </w:r>
      <w:r>
        <w:rPr>
          <w:rFonts w:hint="eastAsia" w:ascii="仿宋_GB2312" w:hAnsi="Times New Roman" w:eastAsia="仿宋_GB2312" w:cs="DengXian-Regular"/>
          <w:sz w:val="32"/>
          <w:szCs w:val="32"/>
          <w:highlight w:val="none"/>
          <w:lang w:val="en-US" w:eastAsia="zh-CN"/>
        </w:rPr>
        <w:t>0</w:t>
      </w:r>
      <w:r>
        <w:rPr>
          <w:rFonts w:hint="eastAsia" w:ascii="仿宋_GB2312" w:hAnsi="Times New Roman" w:eastAsia="仿宋_GB2312" w:cs="DengXian-Regular"/>
          <w:sz w:val="32"/>
          <w:szCs w:val="32"/>
          <w:highlight w:val="none"/>
        </w:rPr>
        <w:t>辆</w:t>
      </w:r>
      <w:r>
        <w:rPr>
          <w:rFonts w:hint="eastAsia" w:ascii="仿宋_GB2312" w:hAnsi="Times New Roman" w:eastAsia="仿宋_GB2312" w:cs="DengXian-Regular"/>
          <w:sz w:val="32"/>
          <w:szCs w:val="32"/>
          <w:lang w:eastAsia="zh-CN"/>
        </w:rPr>
        <w:t>。</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与上年保持一致</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，与上年保持一致</w:t>
      </w:r>
      <w:r>
        <w:rPr>
          <w:rFonts w:hint="eastAsia" w:ascii="仿宋_GB2312" w:hAnsi="Times New Roman" w:eastAsia="仿宋_GB2312" w:cs="DengXian-Regular"/>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pPr>
        <w:spacing w:line="500" w:lineRule="exact"/>
        <w:ind w:firstLine="480" w:firstLineChars="150"/>
        <w:rPr>
          <w:rFonts w:ascii="仿宋" w:hAnsi="仿宋" w:eastAsia="仿宋" w:cs="仿宋_GB2312"/>
          <w:color w:val="000000"/>
          <w:sz w:val="32"/>
          <w:szCs w:val="32"/>
        </w:rPr>
      </w:pPr>
      <w:r>
        <w:rPr>
          <w:rFonts w:ascii="仿宋_GB2312" w:hAnsi="Times New Roman" w:eastAsia="仿宋_GB2312" w:cs="DengXian-Regular"/>
          <w:sz w:val="32"/>
          <w:szCs w:val="32"/>
        </w:rPr>
        <w:t xml:space="preserve">1. </w:t>
      </w:r>
      <w:r>
        <w:rPr>
          <w:rFonts w:hint="eastAsia" w:ascii="仿宋" w:hAnsi="仿宋" w:eastAsia="仿宋" w:cs="仿宋_GB2312"/>
          <w:color w:val="000000"/>
          <w:sz w:val="32"/>
          <w:szCs w:val="32"/>
        </w:rPr>
        <w:t>本部门2019年度</w:t>
      </w:r>
      <w:r>
        <w:rPr>
          <w:rFonts w:hint="eastAsia" w:ascii="仿宋" w:hAnsi="仿宋" w:eastAsia="仿宋" w:cs="黑体"/>
          <w:color w:val="000000"/>
          <w:kern w:val="0"/>
          <w:sz w:val="32"/>
          <w:szCs w:val="32"/>
        </w:rPr>
        <w:t>政府性基金预算财政拨款</w:t>
      </w:r>
      <w:r>
        <w:rPr>
          <w:rFonts w:hint="eastAsia" w:ascii="仿宋" w:hAnsi="仿宋" w:eastAsia="仿宋" w:cs="仿宋_GB2312"/>
          <w:color w:val="000000"/>
          <w:sz w:val="32"/>
          <w:szCs w:val="32"/>
        </w:rPr>
        <w:t>无收支及结转结余情况，故“</w:t>
      </w:r>
      <w:r>
        <w:rPr>
          <w:rFonts w:hint="eastAsia" w:ascii="仿宋" w:hAnsi="仿宋" w:eastAsia="仿宋" w:cs="黑体"/>
          <w:color w:val="000000"/>
          <w:kern w:val="0"/>
          <w:sz w:val="32"/>
          <w:szCs w:val="32"/>
        </w:rPr>
        <w:t>政府性基金预算财政拨款收入支出决算表”</w:t>
      </w:r>
      <w:r>
        <w:rPr>
          <w:rFonts w:hint="eastAsia" w:ascii="仿宋" w:hAnsi="仿宋" w:eastAsia="仿宋" w:cs="仿宋_GB2312"/>
          <w:color w:val="000000"/>
          <w:sz w:val="32"/>
          <w:szCs w:val="32"/>
        </w:rPr>
        <w:t>以空表列示</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本部门2019年度国有资本经营预算财政拨款无收支及结转结余情况，故“国有资本经营预算财政拨款支出决算表”以空表列示。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Pr>
        <w:jc w:val="center"/>
        <w:rPr>
          <w:rFonts w:ascii="黑体" w:hAnsi="黑体" w:eastAsia="黑体" w:cs="黑体"/>
          <w:sz w:val="56"/>
          <w:szCs w:val="72"/>
        </w:rPr>
      </w:pPr>
    </w:p>
    <w:p>
      <w:pPr>
        <w:jc w:val="cente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sz w:val="72"/>
        </w:rPr>
      </w:pPr>
      <w:r>
        <mc:AlternateContent>
          <mc:Choice Requires="wps">
            <w:drawing>
              <wp:anchor distT="0" distB="0" distL="114300" distR="114300" simplePos="0" relativeHeight="251670528" behindDoc="0" locked="0" layoutInCell="1" allowOverlap="1">
                <wp:simplePos x="0" y="0"/>
                <wp:positionH relativeFrom="column">
                  <wp:posOffset>-1021715</wp:posOffset>
                </wp:positionH>
                <wp:positionV relativeFrom="paragraph">
                  <wp:posOffset>441960</wp:posOffset>
                </wp:positionV>
                <wp:extent cx="7793355" cy="3341370"/>
                <wp:effectExtent l="4445" t="4445" r="12700" b="6985"/>
                <wp:wrapNone/>
                <wp:docPr id="16" name="文本框 64"/>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wps:txbx>
                      <wps:bodyPr anchor="ctr" anchorCtr="0" upright="1"/>
                    </wps:wsp>
                  </a:graphicData>
                </a:graphic>
              </wp:anchor>
            </w:drawing>
          </mc:Choice>
          <mc:Fallback>
            <w:pict>
              <v:shape id="文本框 64" o:spid="_x0000_s1026" o:spt="202" type="#_x0000_t202" style="position:absolute;left:0pt;margin-left:-80.45pt;margin-top:34.8pt;height:263.1pt;width:613.65pt;z-index:251670528;v-text-anchor:middle;mso-width-relative:page;mso-height-relative:page;" fillcolor="#FFD966" filled="t" stroked="t" coordsize="21600,21600" o:gfxdata="UEsDBAoAAAAAAIdO4kAAAAAAAAAAAAAAAAAEAAAAZHJzL1BLAwQUAAAACACHTuJAQ/c0pdcAAAAM&#10;AQAADwAAAGRycy9kb3ducmV2LnhtbE2PsW7CMBCG90q8g3WVuoEd1FgkxGFA7dCxwMLmxEcSNT5H&#10;tiHw9jVTO57u+//7rtrd7chu6MPgSEG2EsCQWmcG6hScjp/LDbAQNRk9OkIFDwywqxcvlS6Nm+kb&#10;b4fYsVRCodQK+hinkvPQ9mh1WLkJKe0uzlsd0+g7bryeU7kd+VoIya0eKF3o9YT7Htufw9UmjXhu&#10;5qn78kdJj2DXw0nm8kOpt9dMbIFFvMc/GJ76KQN1cmrclUxgo4JlJkWRWAWykMCehJDyHVijIC/y&#10;DfC64v+fqH8BUEsDBBQAAAAIAIdO4kBQeavVPQIAAJ0EAAAOAAAAZHJzL2Uyb0RvYy54bWytVEtu&#10;2zAQ3RfoHQjua9lRLDeC5QCN626KtkCaA9AkJRHgDyRtyT1Ae4Ouuuk+5/I5OqQUJ00RwIt6IQ/J&#10;p5n33nC0vO6VRHvuvDC6wrPJFCOuqWFCNxW++7p58xYjH4hmRBrNK3zgHl+vXr9adrbkF6Y1knGH&#10;IIn2ZWcr3IZgyyzztOWK+ImxXMNhbZwiAZauyZgjHWRXMruYTousM45ZZyj3HnbXwyEeM7pzEpq6&#10;FpSvDd0prsOQ1XFJAkjyrbAerxLbuuY0fK5rzwOSFQalIT2hCMTb+MxWS1I2jthW0JECOYfCM02K&#10;CA1FT6nWJBC0c+KfVEpQZ7ypw4QalQ1CkiOgYjZ95s1tSyxPWsBqb0+m+/+Xln7af3FIMLgJBUaa&#10;KOj48eeP46/74+/vqLiMBnXWl4C7tYAM/TvTA/hh38Nm1N3XTsV/UITgHOw9nOzlfUAUNheLqzyf&#10;zzGicJbnl7N8kRqQPb5unQ8fuFEoBhV20L9kK9l/9AGoAPQBEqtZEsJGSDnCW+O+JXjd3MhEy7tm&#10;CyHaE+j/ZrO+KorIHNKcINsXsBv4jdgREouPBWNxqVFX4SKfg1hKYBJquIEQKgtuet0kJt5IwSLF&#10;+MbLbP6CRYVr4tuBdTqKREjpzE6zFLWcsPeaoXCw0DANg4ojGcUZRpLDXMcoIQMR8hwkiJManInN&#10;Hpoao9Bve0gTw61hB7gARFOwucI0ODwubsIwUDvrRNNC29LtSJng1ia3xwmLY/F0neo9flVW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D9zSl1wAAAAwBAAAPAAAAAAAAAAEAIAAAACIAAABkcnMv&#10;ZG93bnJldi54bWxQSwECFAAUAAAACACHTuJAUHmr1T0CAACdBAAADgAAAAAAAAABACAAAAAmAQAA&#10;ZHJzL2Uyb0RvYy54bWxQSwUGAAAAAAYABgBZAQAA1QUAAAAA&#10;">
                <v:fill type="pattern" on="t" color2="#FFFFFF" focussize="0,0" r:id="rId14"/>
                <v:stroke weight="0.5pt" color="#FFD966" joinstyle="round"/>
                <v:imagedata o:title=""/>
                <o:lock v:ext="edit" aspectratio="f"/>
                <v:textbo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mc:Fallback>
        </mc:AlternateContent>
      </w:r>
    </w:p>
    <w:p/>
    <w:p/>
    <w:p/>
    <w:p/>
    <w:p/>
    <w:p/>
    <w:p/>
    <w:p/>
    <w:p/>
    <w:p/>
    <w:p/>
    <w:p/>
    <w:p/>
    <w:p>
      <w:pPr>
        <w:tabs>
          <w:tab w:val="left" w:pos="886"/>
        </w:tabs>
        <w:jc w:val="left"/>
        <w:sectPr>
          <w:headerReference r:id="rId11" w:type="first"/>
          <w:pgSz w:w="11906" w:h="16838"/>
          <w:pgMar w:top="2041" w:right="1531" w:bottom="2041" w:left="1531" w:header="851" w:footer="992" w:gutter="0"/>
          <w:pgNumType w:fmt="numberInDash"/>
          <w:cols w:space="0" w:num="1"/>
          <w:titlePg/>
          <w:docGrid w:type="lines" w:linePitch="312" w:charSpace="0"/>
        </w:sectPr>
      </w:pPr>
    </w:p>
    <w:p>
      <w:pPr>
        <w:rPr>
          <w:rFonts w:ascii="仿宋_GB2312" w:hAnsi="宋体" w:eastAsia="仿宋_GB2312" w:cs="ArialUnicodeMS"/>
          <w:sz w:val="32"/>
          <w:szCs w:val="32"/>
          <w:highlight w:val="yellow"/>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Pr>
        <w:jc w:val="left"/>
        <w:sectPr>
          <w:headerReference r:id="rId12"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pPr>
      <w:r>
        <mc:AlternateContent>
          <mc:Choice Requires="wps">
            <w:drawing>
              <wp:anchor distT="0" distB="0" distL="114300" distR="114300" simplePos="0" relativeHeight="251660288" behindDoc="1" locked="0" layoutInCell="1" allowOverlap="1">
                <wp:simplePos x="0" y="0"/>
                <wp:positionH relativeFrom="column">
                  <wp:posOffset>-1042035</wp:posOffset>
                </wp:positionH>
                <wp:positionV relativeFrom="paragraph">
                  <wp:posOffset>1725295</wp:posOffset>
                </wp:positionV>
                <wp:extent cx="7793355" cy="3341370"/>
                <wp:effectExtent l="4445" t="4445" r="12700" b="6985"/>
                <wp:wrapNone/>
                <wp:docPr id="4" name="文本框 65"/>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horz">
                          <a:fgClr>
                            <a:srgbClr val="FFD966"/>
                          </a:fgClr>
                          <a:bgClr>
                            <a:srgbClr val="FFFFFF"/>
                          </a:bgClr>
                        </a:pattFill>
                        <a:ln w="6350" cap="flat" cmpd="sng">
                          <a:solidFill>
                            <a:srgbClr val="FFD966"/>
                          </a:solidFill>
                          <a:prstDash val="solid"/>
                          <a:round/>
                          <a:headEnd type="none" w="med" len="med"/>
                          <a:tailEnd type="none" w="med" len="med"/>
                        </a:ln>
                      </wps:spPr>
                      <wps:txb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wps:txbx>
                      <wps:bodyPr anchor="ctr" anchorCtr="0" upright="1"/>
                    </wps:wsp>
                  </a:graphicData>
                </a:graphic>
              </wp:anchor>
            </w:drawing>
          </mc:Choice>
          <mc:Fallback>
            <w:pict>
              <v:shape id="文本框 65" o:spid="_x0000_s1026" o:spt="202" type="#_x0000_t202" style="position:absolute;left:0pt;margin-left:-82.05pt;margin-top:135.85pt;height:263.1pt;width:613.65pt;z-index:-251656192;v-text-anchor:middle;mso-width-relative:page;mso-height-relative:page;" fillcolor="#FFD966" filled="t" stroked="t" coordsize="21600,21600" o:gfxdata="UEsDBAoAAAAAAIdO4kAAAAAAAAAAAAAAAAAEAAAAZHJzL1BLAwQUAAAACACHTuJAaOMPYdgAAAAN&#10;AQAADwAAAGRycy9kb3ducmV2LnhtbE2PsU7DMBCGdyTewTokttZ2AIeGOB0QDIy0Xdic+Egi4nNk&#10;u0379rgTjKf7/v++q7dnN7EThjh60iDXAhhS5+1IvYbD/n31DCwmQ9ZMnlDDBSNsm9ub2lTWL/SJ&#10;p13qWS6hWBkNQ0pzxXnsBnQmrv2MlHffPjiT8hh6boNZcrmbeCGE4s6MlC8MZsbXAbuf3dFljfTV&#10;LnP/EfaKLtEV40E9qTet7++keAGW8Jz+YLjq5ww02an1R7KRTRpWUj3KzGooSlkCuyJCPRTAWg3l&#10;ptwAb2r+/4vmF1BLAwQUAAAACACHTuJAdZR/wDwCAACcBAAADgAAAGRycy9lMm9Eb2MueG1srVRL&#10;btswEN0X6B0I7mvZUew0guUAjetuirZA2gPQ/EgE+ANJW3IP0N6gq266z7l8jg4pxWlTBPCiXshD&#10;8mnmvTccLW96rdCe+yCtqfFsMsWIG2qZNE2Nv3zevHqNUYjEMKKs4TU+8IBvVi9fLDtX8QvbWsW4&#10;R5DEhKpzNW5jdFVRBNpyTcLEOm7gUFivSYSlbwrmSQfZtSouptNF0VnPnLeUhwC76+EQjxn9OQmt&#10;EJLytaU7zU0csnquSARJoZUu4FVmKwSn8aMQgUekagxKY35CEYi36VmslqRqPHGtpCMFcg6FJ5o0&#10;kQaKnlKtSSRo5+U/qbSk3gYr4oRaXQxCsiOgYjZ94s1dSxzPWsDq4E6mh/+Xln7Yf/JIshpfYmSI&#10;hoYff3w//rw//vqGFvPkT+dCBbA7B8DYv7E93JqH/QCbSXYvvE7/IAjBObh7OLnL+4gobF5dXZfl&#10;fI4RhbOyvJyVV9n/4vF150N8x61GKaixh/ZlV8n+fYhABaAPkFTNkRg3UqkR3lr/NcNFc6syreCb&#10;LYRoT6D9m836erFIzCHNCbJ9BruB34gdIan4WDAVVwZ1NV6UcxBLCQyCgAsIoXZgZjBNZhKskixR&#10;TG88z+YvWFK4JqEdWOejRIRU3u4My1HLCXtrGIoHBw0zMKc4kdGcYaQ4jHWKMjISqc5BgjhlwJnU&#10;7KGpKYr9toc0KdxadoALQAwFm2tMo8fj4jYO87RzXjYttC3fjpwJLm12exywNBV/rnO9x4/K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o4w9h2AAAAA0BAAAPAAAAAAAAAAEAIAAAACIAAABkcnMv&#10;ZG93bnJldi54bWxQSwECFAAUAAAACACHTuJAdZR/wDwCAACcBAAADgAAAAAAAAABACAAAAAnAQAA&#10;ZHJzL2Uyb0RvYy54bWxQSwUGAAAAAAYABgBZAQAA1QUAAAAA&#10;">
                <v:fill type="pattern" on="t" color2="#FFFFFF" focussize="0,0" r:id="rId14"/>
                <v:stroke weight="0.5pt" color="#FFD966" joinstyle="round"/>
                <v:imagedata o:title=""/>
                <o:lock v:ext="edit" aspectratio="f"/>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mc:Fallback>
        </mc:AlternateContent>
      </w: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rPr>
          <w:rFonts w:ascii="等线" w:hAnsi="等线" w:eastAsia="等线" w:cs="Times New Roman"/>
          <w:kern w:val="2"/>
          <w:sz w:val="21"/>
          <w:szCs w:val="22"/>
          <w:lang w:val="en-US" w:eastAsia="zh-CN" w:bidi="ar-SA"/>
        </w:rPr>
      </w:pPr>
    </w:p>
    <w:p>
      <w:pPr>
        <w:tabs>
          <w:tab w:val="left" w:pos="854"/>
        </w:tabs>
        <w:jc w:val="left"/>
        <w:rPr>
          <w:rFonts w:hint="eastAsia" w:cs="Times New Roman"/>
          <w:kern w:val="2"/>
          <w:sz w:val="21"/>
          <w:szCs w:val="22"/>
          <w:lang w:val="en-US" w:eastAsia="zh-CN" w:bidi="ar-SA"/>
        </w:rPr>
      </w:pPr>
      <w:r>
        <w:rPr>
          <w:rFonts w:hint="eastAsia" w:cs="Times New Roman"/>
          <w:kern w:val="2"/>
          <w:sz w:val="21"/>
          <w:szCs w:val="22"/>
          <w:lang w:val="en-US" w:eastAsia="zh-CN" w:bidi="ar-SA"/>
        </w:rPr>
        <w:tab/>
      </w:r>
    </w:p>
    <w:p>
      <w:pPr>
        <w:tabs>
          <w:tab w:val="left" w:pos="854"/>
        </w:tabs>
        <w:jc w:val="left"/>
        <w:rPr>
          <w:rFonts w:hint="eastAsia" w:ascii="黑体" w:hAnsi="黑体" w:eastAsia="黑体" w:cs="黑体"/>
          <w:b/>
          <w:bCs/>
          <w:kern w:val="2"/>
          <w:sz w:val="32"/>
          <w:szCs w:val="32"/>
          <w:lang w:val="en-US" w:eastAsia="zh-CN" w:bidi="ar-SA"/>
        </w:rPr>
      </w:pPr>
    </w:p>
    <w:p>
      <w:pPr>
        <w:tabs>
          <w:tab w:val="left" w:pos="854"/>
        </w:tabs>
        <w:jc w:val="left"/>
        <w:rPr>
          <w:rFonts w:hint="eastAsia" w:ascii="黑体" w:hAnsi="黑体" w:eastAsia="黑体" w:cs="黑体"/>
          <w:b/>
          <w:bCs/>
          <w:kern w:val="2"/>
          <w:sz w:val="32"/>
          <w:szCs w:val="32"/>
          <w:lang w:val="en-US" w:eastAsia="zh-CN" w:bidi="ar-SA"/>
        </w:rPr>
      </w:pPr>
    </w:p>
    <w:p>
      <w:pPr>
        <w:tabs>
          <w:tab w:val="left" w:pos="854"/>
        </w:tabs>
        <w:jc w:val="left"/>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一、收入支出决算总表</w:t>
      </w:r>
    </w:p>
    <w:p>
      <w:pPr>
        <w:tabs>
          <w:tab w:val="left" w:pos="886"/>
        </w:tabs>
        <w:jc w:val="left"/>
      </w:pPr>
      <w:r>
        <w:drawing>
          <wp:inline distT="0" distB="0" distL="114300" distR="114300">
            <wp:extent cx="5758815" cy="4299585"/>
            <wp:effectExtent l="0" t="0" r="13335" b="571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5"/>
                    <a:stretch>
                      <a:fillRect/>
                    </a:stretch>
                  </pic:blipFill>
                  <pic:spPr>
                    <a:xfrm>
                      <a:off x="0" y="0"/>
                      <a:ext cx="5758815" cy="4299585"/>
                    </a:xfrm>
                    <a:prstGeom prst="rect">
                      <a:avLst/>
                    </a:prstGeom>
                    <a:noFill/>
                    <a:ln>
                      <a:noFill/>
                    </a:ln>
                  </pic:spPr>
                </pic:pic>
              </a:graphicData>
            </a:graphic>
          </wp:inline>
        </w:drawing>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二、收入决算表</w:t>
      </w:r>
    </w:p>
    <w:p>
      <w:pPr>
        <w:jc w:val="left"/>
      </w:pPr>
      <w:r>
        <w:drawing>
          <wp:inline distT="0" distB="0" distL="114300" distR="114300">
            <wp:extent cx="5756275" cy="2368550"/>
            <wp:effectExtent l="0" t="0" r="15875" b="1270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6"/>
                    <a:stretch>
                      <a:fillRect/>
                    </a:stretch>
                  </pic:blipFill>
                  <pic:spPr>
                    <a:xfrm>
                      <a:off x="0" y="0"/>
                      <a:ext cx="5756275" cy="2368550"/>
                    </a:xfrm>
                    <a:prstGeom prst="rect">
                      <a:avLst/>
                    </a:prstGeom>
                    <a:noFill/>
                    <a:ln>
                      <a:noFill/>
                    </a:ln>
                  </pic:spPr>
                </pic:pic>
              </a:graphicData>
            </a:graphic>
          </wp:inline>
        </w:drawing>
      </w:r>
    </w:p>
    <w:p>
      <w:pPr>
        <w:jc w:val="left"/>
      </w:pPr>
    </w:p>
    <w:p>
      <w:pPr>
        <w:rPr>
          <w:rFonts w:hint="eastAsia" w:eastAsia="等线"/>
          <w:lang w:eastAsia="zh-CN"/>
        </w:rPr>
      </w:pPr>
      <w:r>
        <w:br w:type="page"/>
      </w:r>
      <w:r>
        <w:rPr>
          <w:rFonts w:hint="eastAsia" w:ascii="黑体" w:hAnsi="黑体" w:eastAsia="黑体" w:cs="黑体"/>
          <w:sz w:val="32"/>
          <w:szCs w:val="32"/>
          <w:lang w:eastAsia="zh-CN"/>
        </w:rPr>
        <w:t>三、支出决算表</w:t>
      </w:r>
    </w:p>
    <w:p>
      <w:r>
        <w:drawing>
          <wp:inline distT="0" distB="0" distL="114300" distR="114300">
            <wp:extent cx="5754370" cy="2638425"/>
            <wp:effectExtent l="0" t="0" r="17780" b="952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7"/>
                    <a:stretch>
                      <a:fillRect/>
                    </a:stretch>
                  </pic:blipFill>
                  <pic:spPr>
                    <a:xfrm>
                      <a:off x="0" y="0"/>
                      <a:ext cx="5754370" cy="2638425"/>
                    </a:xfrm>
                    <a:prstGeom prst="rect">
                      <a:avLst/>
                    </a:prstGeom>
                    <a:noFill/>
                    <a:ln>
                      <a:noFill/>
                    </a:ln>
                  </pic:spPr>
                </pic:pic>
              </a:graphicData>
            </a:graphic>
          </wp:inline>
        </w:drawing>
      </w:r>
    </w:p>
    <w:p>
      <w:pPr>
        <w:rPr>
          <w:rFonts w:hint="eastAsia" w:eastAsia="等线"/>
          <w:lang w:eastAsia="zh-CN"/>
        </w:rPr>
      </w:pPr>
      <w:r>
        <w:br w:type="page"/>
      </w:r>
      <w:r>
        <w:rPr>
          <w:rFonts w:hint="eastAsia" w:ascii="黑体" w:hAnsi="黑体" w:eastAsia="黑体" w:cs="黑体"/>
          <w:sz w:val="32"/>
          <w:szCs w:val="32"/>
          <w:lang w:eastAsia="zh-CN"/>
        </w:rPr>
        <w:t>四、财政拨款收入支出决算总表</w:t>
      </w:r>
    </w:p>
    <w:p>
      <w:r>
        <w:drawing>
          <wp:inline distT="0" distB="0" distL="114300" distR="114300">
            <wp:extent cx="5752465" cy="4435475"/>
            <wp:effectExtent l="0" t="0" r="635" b="317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8"/>
                    <a:stretch>
                      <a:fillRect/>
                    </a:stretch>
                  </pic:blipFill>
                  <pic:spPr>
                    <a:xfrm>
                      <a:off x="0" y="0"/>
                      <a:ext cx="5752465" cy="4435475"/>
                    </a:xfrm>
                    <a:prstGeom prst="rect">
                      <a:avLst/>
                    </a:prstGeom>
                    <a:noFill/>
                    <a:ln>
                      <a:noFill/>
                    </a:ln>
                  </pic:spPr>
                </pic:pic>
              </a:graphicData>
            </a:graphic>
          </wp:inline>
        </w:drawing>
      </w:r>
    </w:p>
    <w:p/>
    <w:p/>
    <w:p/>
    <w:p/>
    <w:p/>
    <w:p/>
    <w:p/>
    <w:p>
      <w:pPr>
        <w:jc w:val="left"/>
      </w:pPr>
    </w:p>
    <w:p>
      <w:pPr>
        <w:jc w:val="left"/>
      </w:pPr>
    </w:p>
    <w:p>
      <w:pPr>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五、一般公共预算财政拨款支出决算表</w:t>
      </w:r>
    </w:p>
    <w:p>
      <w:pPr>
        <w:jc w:val="left"/>
      </w:pPr>
      <w:r>
        <w:drawing>
          <wp:inline distT="0" distB="0" distL="114300" distR="114300">
            <wp:extent cx="5758815" cy="2947035"/>
            <wp:effectExtent l="0" t="0" r="13335" b="571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9"/>
                    <a:stretch>
                      <a:fillRect/>
                    </a:stretch>
                  </pic:blipFill>
                  <pic:spPr>
                    <a:xfrm>
                      <a:off x="0" y="0"/>
                      <a:ext cx="5758815" cy="2947035"/>
                    </a:xfrm>
                    <a:prstGeom prst="rect">
                      <a:avLst/>
                    </a:prstGeom>
                    <a:noFill/>
                    <a:ln>
                      <a:noFill/>
                    </a:ln>
                  </pic:spPr>
                </pic:pic>
              </a:graphicData>
            </a:graphic>
          </wp:inline>
        </w:drawing>
      </w:r>
    </w:p>
    <w:p>
      <w:pPr>
        <w:jc w:val="left"/>
        <w:rPr>
          <w:rFonts w:hint="eastAsia" w:eastAsia="等线"/>
          <w:lang w:eastAsia="zh-CN"/>
        </w:rPr>
      </w:pPr>
      <w:r>
        <w:br w:type="page"/>
      </w:r>
      <w:r>
        <w:rPr>
          <w:rFonts w:hint="eastAsia" w:ascii="黑体" w:hAnsi="黑体" w:eastAsia="黑体" w:cs="黑体"/>
          <w:sz w:val="32"/>
          <w:szCs w:val="32"/>
          <w:lang w:eastAsia="zh-CN"/>
        </w:rPr>
        <w:t>六、一般公共预算财政拨款基本支出决算表</w:t>
      </w:r>
    </w:p>
    <w:p>
      <w:pPr>
        <w:jc w:val="left"/>
      </w:pPr>
      <w:r>
        <w:drawing>
          <wp:inline distT="0" distB="0" distL="114300" distR="114300">
            <wp:extent cx="5759450" cy="3378835"/>
            <wp:effectExtent l="0" t="0" r="12700" b="12065"/>
            <wp:docPr id="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pic:cNvPicPr>
                      <a:picLocks noChangeAspect="1"/>
                    </pic:cNvPicPr>
                  </pic:nvPicPr>
                  <pic:blipFill>
                    <a:blip r:embed="rId20"/>
                    <a:stretch>
                      <a:fillRect/>
                    </a:stretch>
                  </pic:blipFill>
                  <pic:spPr>
                    <a:xfrm>
                      <a:off x="0" y="0"/>
                      <a:ext cx="5759450" cy="3378835"/>
                    </a:xfrm>
                    <a:prstGeom prst="rect">
                      <a:avLst/>
                    </a:prstGeom>
                    <a:noFill/>
                    <a:ln>
                      <a:noFill/>
                    </a:ln>
                  </pic:spPr>
                </pic:pic>
              </a:graphicData>
            </a:graphic>
          </wp:inline>
        </w:drawing>
      </w:r>
    </w:p>
    <w:p/>
    <w:p/>
    <w:p/>
    <w:p/>
    <w:p/>
    <w:p/>
    <w:p/>
    <w:p/>
    <w:p/>
    <w:p/>
    <w:p/>
    <w:p/>
    <w:p>
      <w:pPr>
        <w:jc w:val="left"/>
      </w:pPr>
      <w:r>
        <w:rPr>
          <w:rFonts w:hint="eastAsia" w:ascii="黑体" w:hAnsi="黑体" w:eastAsia="黑体" w:cs="黑体"/>
          <w:sz w:val="32"/>
          <w:szCs w:val="32"/>
          <w:lang w:eastAsia="zh-CN"/>
        </w:rPr>
        <w:t>七、一般公共预算财政拨款“三公”经费支出决算表</w:t>
      </w:r>
      <w:r>
        <w:drawing>
          <wp:inline distT="0" distB="0" distL="114300" distR="114300">
            <wp:extent cx="5752465" cy="1187450"/>
            <wp:effectExtent l="0" t="0" r="635" b="12700"/>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21"/>
                    <a:stretch>
                      <a:fillRect/>
                    </a:stretch>
                  </pic:blipFill>
                  <pic:spPr>
                    <a:xfrm>
                      <a:off x="0" y="0"/>
                      <a:ext cx="5752465" cy="1187450"/>
                    </a:xfrm>
                    <a:prstGeom prst="rect">
                      <a:avLst/>
                    </a:prstGeom>
                    <a:noFill/>
                    <a:ln>
                      <a:noFill/>
                    </a:ln>
                  </pic:spPr>
                </pic:pic>
              </a:graphicData>
            </a:graphic>
          </wp:inline>
        </w:drawing>
      </w:r>
      <w:r>
        <w:tab/>
      </w:r>
      <w:r>
        <w:tab/>
      </w:r>
      <w:r>
        <w:tab/>
      </w:r>
      <w:r>
        <w:tab/>
      </w:r>
    </w:p>
    <w:p/>
    <w:p/>
    <w:p/>
    <w:p/>
    <w:p/>
    <w:p/>
    <w:p/>
    <w:p/>
    <w:p/>
    <w:p/>
    <w:p/>
    <w:p/>
    <w:p/>
    <w:p/>
    <w:p/>
    <w:p/>
    <w:p>
      <w:pPr>
        <w:jc w:val="left"/>
      </w:pPr>
    </w:p>
    <w:p>
      <w:pPr>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八、政府性基金财政预算拨款收入支出决算表</w:t>
      </w:r>
    </w:p>
    <w:p>
      <w:pPr>
        <w:jc w:val="left"/>
      </w:pPr>
    </w:p>
    <w:p>
      <w:r>
        <w:drawing>
          <wp:inline distT="0" distB="0" distL="114300" distR="114300">
            <wp:extent cx="5758815" cy="1846580"/>
            <wp:effectExtent l="0" t="0" r="13335" b="1270"/>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r:embed="rId22"/>
                    <a:stretch>
                      <a:fillRect/>
                    </a:stretch>
                  </pic:blipFill>
                  <pic:spPr>
                    <a:xfrm>
                      <a:off x="0" y="0"/>
                      <a:ext cx="5758815" cy="1846580"/>
                    </a:xfrm>
                    <a:prstGeom prst="rect">
                      <a:avLst/>
                    </a:prstGeom>
                    <a:noFill/>
                    <a:ln>
                      <a:noFill/>
                    </a:ln>
                  </pic:spPr>
                </pic:pic>
              </a:graphicData>
            </a:graphic>
          </wp:inline>
        </w:drawing>
      </w:r>
    </w:p>
    <w:p/>
    <w:p/>
    <w:p/>
    <w:p/>
    <w:p/>
    <w:p/>
    <w:p/>
    <w:p/>
    <w:p/>
    <w:p/>
    <w:p/>
    <w:p/>
    <w:p/>
    <w:p/>
    <w:p>
      <w:pPr>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九、国有基本经营预算财政拨款支出决算表</w:t>
      </w:r>
    </w:p>
    <w:p>
      <w:pPr>
        <w:jc w:val="left"/>
      </w:pPr>
    </w:p>
    <w:p>
      <w:r>
        <w:drawing>
          <wp:inline distT="0" distB="0" distL="114300" distR="114300">
            <wp:extent cx="5757545" cy="2291080"/>
            <wp:effectExtent l="0" t="0" r="14605" b="13970"/>
            <wp:docPr id="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2"/>
                    <pic:cNvPicPr>
                      <a:picLocks noChangeAspect="1"/>
                    </pic:cNvPicPr>
                  </pic:nvPicPr>
                  <pic:blipFill>
                    <a:blip r:embed="rId23"/>
                    <a:stretch>
                      <a:fillRect/>
                    </a:stretch>
                  </pic:blipFill>
                  <pic:spPr>
                    <a:xfrm>
                      <a:off x="0" y="0"/>
                      <a:ext cx="5757545" cy="2291080"/>
                    </a:xfrm>
                    <a:prstGeom prst="rect">
                      <a:avLst/>
                    </a:prstGeom>
                    <a:noFill/>
                    <a:ln>
                      <a:noFill/>
                    </a:ln>
                  </pic:spPr>
                </pic:pic>
              </a:graphicData>
            </a:graphic>
          </wp:inline>
        </w:drawing>
      </w:r>
      <w:r>
        <w:br w:type="page"/>
      </w:r>
    </w:p>
    <w:p>
      <w:r>
        <mc:AlternateContent>
          <mc:Choice Requires="wps">
            <w:drawing>
              <wp:anchor distT="0" distB="0" distL="114300" distR="114300" simplePos="0" relativeHeight="251671552" behindDoc="0" locked="0" layoutInCell="1" allowOverlap="1">
                <wp:simplePos x="0" y="0"/>
                <wp:positionH relativeFrom="column">
                  <wp:posOffset>-895350</wp:posOffset>
                </wp:positionH>
                <wp:positionV relativeFrom="paragraph">
                  <wp:posOffset>-1082675</wp:posOffset>
                </wp:positionV>
                <wp:extent cx="7557770" cy="10682605"/>
                <wp:effectExtent l="0" t="0" r="5080" b="4445"/>
                <wp:wrapNone/>
                <wp:docPr id="17" name="矩形 81"/>
                <wp:cNvGraphicFramePr/>
                <a:graphic xmlns:a="http://schemas.openxmlformats.org/drawingml/2006/main">
                  <a:graphicData uri="http://schemas.microsoft.com/office/word/2010/wordprocessingShape">
                    <wps:wsp>
                      <wps:cNvSpPr/>
                      <wps:spPr>
                        <a:xfrm>
                          <a:off x="0" y="0"/>
                          <a:ext cx="7557770" cy="10682605"/>
                        </a:xfrm>
                        <a:prstGeom prst="rect">
                          <a:avLst/>
                        </a:prstGeom>
                        <a:solidFill>
                          <a:srgbClr val="FFC000"/>
                        </a:solidFill>
                        <a:ln w="12700">
                          <a:noFill/>
                        </a:ln>
                      </wps:spPr>
                      <wps:bodyPr anchor="ctr" anchorCtr="0" upright="1"/>
                    </wps:wsp>
                  </a:graphicData>
                </a:graphic>
              </wp:anchor>
            </w:drawing>
          </mc:Choice>
          <mc:Fallback>
            <w:pict>
              <v:rect id="矩形 81" o:spid="_x0000_s1026" o:spt="1" style="position:absolute;left:0pt;margin-left:-70.5pt;margin-top:-85.25pt;height:841.15pt;width:595.1pt;z-index:251671552;v-text-anchor:middle;mso-width-relative:page;mso-height-relative:page;" fillcolor="#FFC000" filled="t" stroked="f" coordsize="21600,21600" o:gfxdata="UEsDBAoAAAAAAIdO4kAAAAAAAAAAAAAAAAAEAAAAZHJzL1BLAwQUAAAACACHTuJAIJvLX90AAAAP&#10;AQAADwAAAGRycy9kb3ducmV2LnhtbE2PMU/DMBSEdyT+g/WQWFBru0ohDXE6VKqEGBAtDB0d242j&#10;xM9R7LTl3+NMsN3pne59V25vricXM4bWowC+ZEAMKq9bbAR8f+0XOZAQJWrZezQCfkyAbXV/V8pC&#10;+ysezOUYG5JKMBRSgI1xKCgNyhonw9IPBtPt7EcnY7JjQ/Uor6nc9XTF2DN1ssX0wcrB7KxR3XFy&#10;ArrPp7fs452edvXU2T07qS7nSojHB85egURzi39hmPETOlSJqfYT6kB6AQue8TQmzuqFrYHMGZZt&#10;VkDqpNac50Crkv7fUf0CUEsDBBQAAAAIAIdO4kB4OLhAywEAAIgDAAAOAAAAZHJzL2Uyb0RvYy54&#10;bWytU0uO2zAM3RfoHQTtJ3YCJA6MOLNIkNkU7QDTHkCRJVuAfqCUODlNge56iB6n6DVKyZ5MO93M&#10;ohuZFKlHvkd6c38xmpwFBOVsQ+ezkhJhuWuV7Rr65fPhbk1JiMy2TDsrGnoVgd5v37/bDL4WC9c7&#10;3QogCGJDPfiG9jH6uigC74VhYea8sBiUDgyL6EJXtMAGRDe6WJTlqhgctB4cFyHg7X4M0gkR3gLo&#10;pFRc7B0/GWHjiApCs4iUQq98oNvcrZSCx09SBhGJbigyjfnEImgf01lsN6zugPle8akF9pYWXnEy&#10;TFkseoPas8jICdQ/UEZxcMHJOOPOFCORrAiymJevtHnqmReZC0od/E308P9g+cfzIxDV4iZUlFhm&#10;cOK/vn7/+eMbWc+TOoMPNSY9+UeYvIBmonqRYNIXSZBLVvR6U1RcIuF4WS2XVVWh2Bxj83K1XqzK&#10;ZYItXt57CPFBOEOS0VDAmWUp2flDiGPqc0oqF5xW7UFpnR3ojjsN5MxwvofDrizzSBH9rzRtyYD1&#10;FxWG0zPrEsCIrS12k1iOvJJ1dO0VVWGW9w53hUegk7OL4+6cPKiux26zRvk5DijTmpYpbcCffi7y&#10;8gNt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gm8tf3QAAAA8BAAAPAAAAAAAAAAEAIAAAACIA&#10;AABkcnMvZG93bnJldi54bWxQSwECFAAUAAAACACHTuJAeDi4QMsBAACIAwAADgAAAAAAAAABACAA&#10;AAAsAQAAZHJzL2Uyb0RvYy54bWxQSwUGAAAAAAYABgBZAQAAaQUAAAAA&#10;">
                <v:fill on="t" focussize="0,0"/>
                <v:stroke on="f" weight="1pt"/>
                <v:imagedata o:title=""/>
                <o:lock v:ext="edit" aspectratio="f"/>
              </v:rect>
            </w:pict>
          </mc:Fallback>
        </mc:AlternateContent>
      </w:r>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20B0700000000000000"/>
    <w:charset w:val="80"/>
    <w:family w:val="swiss"/>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A00002EF" w:usb1="4000004B" w:usb2="00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C3A12"/>
    <w:multiLevelType w:val="singleLevel"/>
    <w:tmpl w:val="93EC3A12"/>
    <w:lvl w:ilvl="0" w:tentative="0">
      <w:start w:val="5"/>
      <w:numFmt w:val="chineseCounting"/>
      <w:suff w:val="nothing"/>
      <w:lvlText w:val="%1、"/>
      <w:lvlJc w:val="left"/>
      <w:rPr>
        <w:rFonts w:hint="eastAsia"/>
      </w:rPr>
    </w:lvl>
  </w:abstractNum>
  <w:abstractNum w:abstractNumId="1">
    <w:nsid w:val="D0391081"/>
    <w:multiLevelType w:val="singleLevel"/>
    <w:tmpl w:val="D0391081"/>
    <w:lvl w:ilvl="0" w:tentative="0">
      <w:start w:val="2"/>
      <w:numFmt w:val="chineseCounting"/>
      <w:suff w:val="nothing"/>
      <w:lvlText w:val="%1、"/>
      <w:lvlJc w:val="left"/>
      <w:rPr>
        <w:rFonts w:hint="eastAsia"/>
      </w:rPr>
    </w:lvl>
  </w:abstractNum>
  <w:abstractNum w:abstractNumId="2">
    <w:nsid w:val="F80629D9"/>
    <w:multiLevelType w:val="singleLevel"/>
    <w:tmpl w:val="F80629D9"/>
    <w:lvl w:ilvl="0" w:tentative="0">
      <w:start w:val="3"/>
      <w:numFmt w:val="decimal"/>
      <w:lvlText w:val="%1."/>
      <w:lvlJc w:val="left"/>
      <w:pPr>
        <w:tabs>
          <w:tab w:val="left" w:pos="312"/>
        </w:tabs>
      </w:pPr>
    </w:lvl>
  </w:abstractNum>
  <w:abstractNum w:abstractNumId="3">
    <w:nsid w:val="45DB9A87"/>
    <w:multiLevelType w:val="singleLevel"/>
    <w:tmpl w:val="45DB9A87"/>
    <w:lvl w:ilvl="0" w:tentative="0">
      <w:start w:val="3"/>
      <w:numFmt w:val="chineseCounting"/>
      <w:suff w:val="nothing"/>
      <w:lvlText w:val="（%1）"/>
      <w:lvlJc w:val="left"/>
      <w:rPr>
        <w:rFonts w:hint="eastAsia" w:cs="Times New Roman"/>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AF1C96"/>
    <w:rsid w:val="0007063E"/>
    <w:rsid w:val="00071ADD"/>
    <w:rsid w:val="00073392"/>
    <w:rsid w:val="00073F4E"/>
    <w:rsid w:val="00086C89"/>
    <w:rsid w:val="000A39FB"/>
    <w:rsid w:val="00117746"/>
    <w:rsid w:val="00163F95"/>
    <w:rsid w:val="00180A9A"/>
    <w:rsid w:val="001829C0"/>
    <w:rsid w:val="00184809"/>
    <w:rsid w:val="00192112"/>
    <w:rsid w:val="001B0127"/>
    <w:rsid w:val="001C12D5"/>
    <w:rsid w:val="001C69F7"/>
    <w:rsid w:val="001E45D3"/>
    <w:rsid w:val="002650EC"/>
    <w:rsid w:val="002A6C46"/>
    <w:rsid w:val="002C19B5"/>
    <w:rsid w:val="00371224"/>
    <w:rsid w:val="003A4EE8"/>
    <w:rsid w:val="00442CC2"/>
    <w:rsid w:val="00446244"/>
    <w:rsid w:val="00473C20"/>
    <w:rsid w:val="004D61CB"/>
    <w:rsid w:val="005011D6"/>
    <w:rsid w:val="00503F2E"/>
    <w:rsid w:val="00552226"/>
    <w:rsid w:val="00566120"/>
    <w:rsid w:val="00582E6D"/>
    <w:rsid w:val="005954D5"/>
    <w:rsid w:val="005A53FA"/>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A4337A"/>
    <w:rsid w:val="00A929C2"/>
    <w:rsid w:val="00AD097F"/>
    <w:rsid w:val="00B844F4"/>
    <w:rsid w:val="00BA06A1"/>
    <w:rsid w:val="00BA770A"/>
    <w:rsid w:val="00BF4D15"/>
    <w:rsid w:val="00C054DE"/>
    <w:rsid w:val="00C679A9"/>
    <w:rsid w:val="00C7541C"/>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7163D78"/>
    <w:rsid w:val="07FC2180"/>
    <w:rsid w:val="0D062437"/>
    <w:rsid w:val="12F950CC"/>
    <w:rsid w:val="133A7884"/>
    <w:rsid w:val="140A5480"/>
    <w:rsid w:val="15203569"/>
    <w:rsid w:val="17E850B6"/>
    <w:rsid w:val="186C3AEA"/>
    <w:rsid w:val="1DD06C43"/>
    <w:rsid w:val="1EFB5B4A"/>
    <w:rsid w:val="22556A3B"/>
    <w:rsid w:val="272C247B"/>
    <w:rsid w:val="2785617F"/>
    <w:rsid w:val="28B864DF"/>
    <w:rsid w:val="2925568A"/>
    <w:rsid w:val="2A0A4023"/>
    <w:rsid w:val="2A4319B2"/>
    <w:rsid w:val="2B0F5D51"/>
    <w:rsid w:val="2EFD2F79"/>
    <w:rsid w:val="305D4FE7"/>
    <w:rsid w:val="30DD134D"/>
    <w:rsid w:val="31C2036A"/>
    <w:rsid w:val="320D02A5"/>
    <w:rsid w:val="348E566F"/>
    <w:rsid w:val="354E2152"/>
    <w:rsid w:val="36F00B62"/>
    <w:rsid w:val="385B6F62"/>
    <w:rsid w:val="39397B33"/>
    <w:rsid w:val="394B238A"/>
    <w:rsid w:val="3A226944"/>
    <w:rsid w:val="3AEE6A48"/>
    <w:rsid w:val="3C1620AA"/>
    <w:rsid w:val="3CB74B33"/>
    <w:rsid w:val="3D8F080F"/>
    <w:rsid w:val="414B1C4E"/>
    <w:rsid w:val="44CE1FA4"/>
    <w:rsid w:val="455217DB"/>
    <w:rsid w:val="47A31857"/>
    <w:rsid w:val="487F73ED"/>
    <w:rsid w:val="4A347EAE"/>
    <w:rsid w:val="4BD0324C"/>
    <w:rsid w:val="4D245745"/>
    <w:rsid w:val="4FE4415F"/>
    <w:rsid w:val="502D7514"/>
    <w:rsid w:val="511E2961"/>
    <w:rsid w:val="516B0547"/>
    <w:rsid w:val="52375AE8"/>
    <w:rsid w:val="52600405"/>
    <w:rsid w:val="529B4319"/>
    <w:rsid w:val="52F156B1"/>
    <w:rsid w:val="534B4465"/>
    <w:rsid w:val="561D0B87"/>
    <w:rsid w:val="57773DD6"/>
    <w:rsid w:val="578B79AB"/>
    <w:rsid w:val="57BC55A7"/>
    <w:rsid w:val="58213477"/>
    <w:rsid w:val="599236D7"/>
    <w:rsid w:val="59F22F8B"/>
    <w:rsid w:val="5CCD3FD5"/>
    <w:rsid w:val="5E9D14AF"/>
    <w:rsid w:val="615653F1"/>
    <w:rsid w:val="61FA5F9D"/>
    <w:rsid w:val="62406F89"/>
    <w:rsid w:val="64CD6910"/>
    <w:rsid w:val="65FE2AF7"/>
    <w:rsid w:val="669B331A"/>
    <w:rsid w:val="66D24960"/>
    <w:rsid w:val="6789158D"/>
    <w:rsid w:val="67D81BA4"/>
    <w:rsid w:val="68C02497"/>
    <w:rsid w:val="6926697A"/>
    <w:rsid w:val="6AAF1C96"/>
    <w:rsid w:val="6F485175"/>
    <w:rsid w:val="6F607EAE"/>
    <w:rsid w:val="6FA61ED4"/>
    <w:rsid w:val="70717BDD"/>
    <w:rsid w:val="70A8778F"/>
    <w:rsid w:val="71CA7384"/>
    <w:rsid w:val="72382EDC"/>
    <w:rsid w:val="75681757"/>
    <w:rsid w:val="75A346A8"/>
    <w:rsid w:val="799D1348"/>
    <w:rsid w:val="79B9382C"/>
    <w:rsid w:val="7B043B76"/>
    <w:rsid w:val="7C041A6A"/>
    <w:rsid w:val="7E32757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rPr>
      <w:rFonts w:ascii="仿宋_GB2312" w:hAnsi="仿宋_GB2312" w:eastAsia="仿宋_GB2312" w:cs="仿宋_GB2312"/>
      <w:sz w:val="32"/>
      <w:szCs w:val="32"/>
      <w:lang w:val="zh-CN"/>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basedOn w:val="6"/>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Heading 1 Char"/>
    <w:basedOn w:val="8"/>
    <w:link w:val="2"/>
    <w:qFormat/>
    <w:uiPriority w:val="9"/>
    <w:rPr>
      <w:rFonts w:ascii="等线" w:hAnsi="等线" w:eastAsia="等线"/>
      <w:b/>
      <w:bCs/>
      <w:kern w:val="44"/>
      <w:sz w:val="44"/>
      <w:szCs w:val="44"/>
    </w:rPr>
  </w:style>
  <w:style w:type="character" w:customStyle="1" w:styleId="10">
    <w:name w:val="Body Text Char"/>
    <w:basedOn w:val="8"/>
    <w:link w:val="3"/>
    <w:semiHidden/>
    <w:qFormat/>
    <w:uiPriority w:val="99"/>
    <w:rPr>
      <w:rFonts w:ascii="等线" w:hAnsi="等线" w:eastAsia="等线"/>
    </w:rPr>
  </w:style>
  <w:style w:type="character" w:customStyle="1" w:styleId="11">
    <w:name w:val="Footer Char"/>
    <w:basedOn w:val="8"/>
    <w:link w:val="4"/>
    <w:qFormat/>
    <w:locked/>
    <w:uiPriority w:val="99"/>
    <w:rPr>
      <w:rFonts w:cs="Times New Roman"/>
      <w:sz w:val="18"/>
      <w:szCs w:val="18"/>
    </w:rPr>
  </w:style>
  <w:style w:type="character" w:customStyle="1" w:styleId="12">
    <w:name w:val="Header Char"/>
    <w:basedOn w:val="8"/>
    <w:link w:val="5"/>
    <w:qFormat/>
    <w:locked/>
    <w:uiPriority w:val="99"/>
    <w:rPr>
      <w:rFonts w:ascii="等线" w:hAnsi="等线" w:eastAsia="等线" w:cs="Times New Roman"/>
      <w:sz w:val="18"/>
      <w:szCs w:val="18"/>
    </w:rPr>
  </w:style>
  <w:style w:type="paragraph" w:customStyle="1" w:styleId="13">
    <w:name w:val="列出段落1"/>
    <w:basedOn w:val="1"/>
    <w:qFormat/>
    <w:uiPriority w:val="99"/>
    <w:pPr>
      <w:spacing w:before="2"/>
      <w:ind w:left="119" w:right="434" w:firstLine="643"/>
    </w:pPr>
    <w:rPr>
      <w:rFonts w:ascii="仿宋_GB2312" w:hAnsi="仿宋_GB2312" w:eastAsia="仿宋_GB2312" w:cs="仿宋_GB231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bmp"/><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35</Pages>
  <Words>1681</Words>
  <Characters>9585</Characters>
  <Lines>0</Lines>
  <Paragraphs>0</Paragraphs>
  <TotalTime>0</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2020-07-30T02:37:00Z</cp:lastPrinted>
  <dcterms:modified xsi:type="dcterms:W3CDTF">2021-06-24T02:51:15Z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3E18D3BEEBB34723A0E951854F0F0E45</vt:lpwstr>
  </property>
</Properties>
</file>